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7C286E" w14:textId="5A300ED5" w:rsidR="006E3ADD" w:rsidRPr="00EB04E2" w:rsidRDefault="006E3ADD" w:rsidP="00EB04E2">
      <w:pPr>
        <w:spacing w:line="240" w:lineRule="auto"/>
        <w:ind w:firstLine="0"/>
        <w:jc w:val="center"/>
        <w:rPr>
          <w:b/>
          <w:bCs/>
          <w:sz w:val="24"/>
        </w:rPr>
      </w:pPr>
      <w:r>
        <w:rPr>
          <w:b/>
          <w:bCs/>
          <w:noProof/>
          <w:sz w:val="24"/>
          <w14:ligatures w14:val="standardContextual"/>
        </w:rPr>
        <w:drawing>
          <wp:inline distT="0" distB="0" distL="0" distR="0" wp14:anchorId="4671265C" wp14:editId="1E27BEF1">
            <wp:extent cx="5400040" cy="3285490"/>
            <wp:effectExtent l="0" t="0" r="0" b="0"/>
            <wp:docPr id="195939091" name="Imagem 1" descr="Uma imagem com texto, captura de ecrã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39091" name="Imagem 1" descr="Uma imagem com texto, captura de ecrã&#10;&#10;Descrição gerada automa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85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BEFADF" w14:textId="77777777" w:rsidR="00AF6F0C" w:rsidRDefault="00AF6F0C" w:rsidP="006E3ADD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</w:p>
    <w:p w14:paraId="055EC0A9" w14:textId="61492937" w:rsidR="006E3ADD" w:rsidRPr="006E3ADD" w:rsidRDefault="006E3ADD" w:rsidP="006E3ADD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  <w:r w:rsidRPr="006E3ADD">
        <w:rPr>
          <w:rFonts w:cs="Arial"/>
          <w:b/>
          <w:bCs/>
          <w:color w:val="000000" w:themeColor="text1"/>
          <w:shd w:val="clear" w:color="auto" w:fill="FFFFFF"/>
        </w:rPr>
        <w:t xml:space="preserve">XXVII Congreso Internacional Y Semipresencial de História de los Derechos Humanos </w:t>
      </w:r>
    </w:p>
    <w:p w14:paraId="316F81BB" w14:textId="0016CA62" w:rsidR="00114F3B" w:rsidRDefault="006E3ADD" w:rsidP="006E3ADD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hd w:val="clear" w:color="auto" w:fill="FFFFFF"/>
        </w:rPr>
      </w:pPr>
      <w:r w:rsidRPr="006E3ADD">
        <w:rPr>
          <w:rFonts w:cs="Arial"/>
          <w:b/>
          <w:bCs/>
          <w:color w:val="000000" w:themeColor="text1"/>
          <w:shd w:val="clear" w:color="auto" w:fill="FFFFFF"/>
        </w:rPr>
        <w:t>Universidad de Salamanca</w:t>
      </w:r>
    </w:p>
    <w:p w14:paraId="10FD7763" w14:textId="48992087" w:rsidR="00D247F5" w:rsidRPr="00D247F5" w:rsidRDefault="00000000" w:rsidP="006E3ADD">
      <w:pPr>
        <w:spacing w:line="240" w:lineRule="auto"/>
        <w:ind w:firstLine="0"/>
        <w:jc w:val="center"/>
        <w:rPr>
          <w:rFonts w:cs="Arial"/>
          <w:color w:val="000000" w:themeColor="text1"/>
          <w:sz w:val="16"/>
          <w:szCs w:val="16"/>
          <w:shd w:val="clear" w:color="auto" w:fill="FFFFFF"/>
        </w:rPr>
      </w:pPr>
      <w:hyperlink r:id="rId9" w:history="1">
        <w:r w:rsidR="00D247F5" w:rsidRPr="00D247F5">
          <w:rPr>
            <w:rStyle w:val="Hiperligao"/>
            <w:rFonts w:cs="Arial"/>
            <w:sz w:val="16"/>
            <w:szCs w:val="16"/>
            <w:shd w:val="clear" w:color="auto" w:fill="FFFFFF"/>
          </w:rPr>
          <w:t>https://www.even3.com.br/xxvii-congreso-internacional-de-derechos-humanos-491337/</w:t>
        </w:r>
      </w:hyperlink>
      <w:r w:rsidR="00D247F5" w:rsidRPr="00D247F5">
        <w:rPr>
          <w:rFonts w:cs="Arial"/>
          <w:color w:val="000000" w:themeColor="text1"/>
          <w:sz w:val="16"/>
          <w:szCs w:val="16"/>
          <w:shd w:val="clear" w:color="auto" w:fill="FFFFFF"/>
        </w:rPr>
        <w:t xml:space="preserve"> </w:t>
      </w:r>
    </w:p>
    <w:p w14:paraId="7EFE7D08" w14:textId="00B5DD78" w:rsidR="006E3ADD" w:rsidRDefault="00695095" w:rsidP="00EB04E2">
      <w:pPr>
        <w:spacing w:line="240" w:lineRule="auto"/>
        <w:ind w:firstLine="0"/>
        <w:jc w:val="center"/>
        <w:rPr>
          <w:rFonts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6E3ADD">
        <w:rPr>
          <w:rFonts w:cs="Arial"/>
          <w:color w:val="000000" w:themeColor="text1"/>
          <w:sz w:val="20"/>
          <w:szCs w:val="20"/>
          <w:shd w:val="clear" w:color="auto" w:fill="FFFFFF"/>
        </w:rPr>
        <w:t>dia 19</w:t>
      </w:r>
      <w:r w:rsidRPr="00695095">
        <w:rPr>
          <w:rFonts w:cs="Arial"/>
          <w:color w:val="000000" w:themeColor="text1"/>
          <w:sz w:val="20"/>
          <w:szCs w:val="20"/>
          <w:shd w:val="clear" w:color="auto" w:fill="FFFFFF"/>
        </w:rPr>
        <w:t xml:space="preserve"> de Setembro</w:t>
      </w:r>
      <w:r>
        <w:rPr>
          <w:rFonts w:cs="Arial"/>
          <w:color w:val="000000" w:themeColor="text1"/>
          <w:sz w:val="20"/>
          <w:szCs w:val="20"/>
          <w:shd w:val="clear" w:color="auto" w:fill="FFFFFF"/>
        </w:rPr>
        <w:t xml:space="preserve"> p.m.</w:t>
      </w:r>
      <w:r w:rsidRPr="006E3ADD">
        <w:rPr>
          <w:rFonts w:cs="Arial"/>
          <w:color w:val="000000" w:themeColor="text1"/>
          <w:sz w:val="20"/>
          <w:szCs w:val="20"/>
          <w:shd w:val="clear" w:color="auto" w:fill="FFFFFF"/>
        </w:rPr>
        <w:t xml:space="preserve"> (horário de Portugal)</w:t>
      </w:r>
    </w:p>
    <w:p w14:paraId="3A7E6C90" w14:textId="77777777" w:rsidR="00EB04E2" w:rsidRPr="00EB04E2" w:rsidRDefault="00EB04E2" w:rsidP="00D42CB8">
      <w:pPr>
        <w:spacing w:line="240" w:lineRule="auto"/>
        <w:ind w:firstLine="0"/>
        <w:rPr>
          <w:rFonts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14:paraId="78FAA0C3" w14:textId="77777777" w:rsidR="00EB04E2" w:rsidRDefault="00E20CE0" w:rsidP="00EB04E2">
      <w:pPr>
        <w:ind w:firstLine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</w:pPr>
      <w:bookmarkStart w:id="0" w:name="_Hlk176556395"/>
      <w:r w:rsidRPr="00FB7DF0">
        <w:rPr>
          <w:rFonts w:ascii="Times New Roman" w:hAnsi="Times New Roman" w:cs="Times New Roman"/>
          <w:b/>
          <w:bCs/>
          <w:sz w:val="32"/>
          <w:szCs w:val="32"/>
          <w:u w:val="single"/>
        </w:rPr>
        <w:t xml:space="preserve">A </w:t>
      </w:r>
      <w:bookmarkStart w:id="1" w:name="_Hlk132748477"/>
      <w:r w:rsidR="006E3ADD" w:rsidRPr="006E3ADD"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  <w:t>Convenção de Istambul revisitada</w:t>
      </w:r>
      <w:bookmarkEnd w:id="0"/>
      <w:bookmarkEnd w:id="1"/>
      <w:r w:rsidR="00EB04E2"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  <w:t xml:space="preserve"> por ocasião da </w:t>
      </w:r>
    </w:p>
    <w:p w14:paraId="1E42BD0B" w14:textId="288910C2" w:rsidR="00970D4A" w:rsidRPr="00EB04E2" w:rsidRDefault="00EB04E2" w:rsidP="00EB04E2">
      <w:pPr>
        <w:ind w:firstLine="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  <w:t xml:space="preserve">adesão </w:t>
      </w:r>
      <w:r w:rsidR="003D495B" w:rsidRPr="00484186"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  <w:t>pel</w:t>
      </w:r>
      <w:r w:rsidRPr="00484186"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  <w:t>a</w:t>
      </w:r>
      <w:r>
        <w:rPr>
          <w:rFonts w:ascii="Times New Roman" w:hAnsi="Times New Roman" w:cs="Times New Roman"/>
          <w:b/>
          <w:bCs/>
          <w:sz w:val="32"/>
          <w:szCs w:val="32"/>
          <w:u w:val="single"/>
          <w:lang w:val="en-IE"/>
        </w:rPr>
        <w:t xml:space="preserve"> União Europeia</w:t>
      </w:r>
    </w:p>
    <w:p w14:paraId="66BF67AE" w14:textId="292FE152" w:rsidR="00750A32" w:rsidRPr="00985A15" w:rsidRDefault="00970D4A" w:rsidP="00EB04E2">
      <w:pPr>
        <w:spacing w:after="0" w:line="240" w:lineRule="auto"/>
        <w:ind w:firstLine="0"/>
        <w:jc w:val="right"/>
        <w:rPr>
          <w:rFonts w:ascii="Times New Roman" w:hAnsi="Times New Roman" w:cs="Times New Roman"/>
          <w:sz w:val="24"/>
        </w:rPr>
      </w:pPr>
      <w:r w:rsidRPr="00985A15">
        <w:rPr>
          <w:rFonts w:ascii="Times New Roman" w:hAnsi="Times New Roman" w:cs="Times New Roman"/>
          <w:i/>
          <w:iCs/>
          <w:sz w:val="24"/>
        </w:rPr>
        <w:t>Dora Resende Alves</w:t>
      </w:r>
      <w:r w:rsidR="007D5429" w:rsidRPr="007D5429">
        <w:rPr>
          <w:rStyle w:val="Hiperligao"/>
          <w:rFonts w:ascii="Times New Roman" w:hAnsi="Times New Roman" w:cs="Times New Roman"/>
          <w:color w:val="auto"/>
          <w:sz w:val="24"/>
          <w:u w:val="none"/>
        </w:rPr>
        <w:t xml:space="preserve"> </w:t>
      </w:r>
      <w:r w:rsidR="007D5429" w:rsidRPr="007D5429">
        <w:rPr>
          <w:rStyle w:val="Refdenotaderodap"/>
          <w:rFonts w:ascii="Times New Roman" w:hAnsi="Times New Roman" w:cs="Times New Roman"/>
          <w:sz w:val="24"/>
        </w:rPr>
        <w:footnoteReference w:id="1"/>
      </w:r>
    </w:p>
    <w:p w14:paraId="170AE4CA" w14:textId="4D113BCC" w:rsidR="00970D4A" w:rsidRPr="00985A15" w:rsidRDefault="00695095" w:rsidP="00EB04E2">
      <w:pPr>
        <w:spacing w:after="0" w:line="240" w:lineRule="auto"/>
        <w:ind w:firstLine="0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iCs/>
          <w:sz w:val="24"/>
        </w:rPr>
        <w:t>Angélica Lima</w:t>
      </w:r>
      <w:r w:rsidR="007D5429" w:rsidRPr="007D5429">
        <w:rPr>
          <w:rStyle w:val="Refdenotaderodap"/>
          <w:rFonts w:ascii="Times New Roman" w:hAnsi="Times New Roman" w:cs="Times New Roman"/>
          <w:sz w:val="24"/>
        </w:rPr>
        <w:footnoteReference w:id="2"/>
      </w:r>
    </w:p>
    <w:p w14:paraId="7DE36B90" w14:textId="77777777" w:rsidR="00114F3B" w:rsidRPr="00985A15" w:rsidRDefault="00114F3B" w:rsidP="00750A32">
      <w:pPr>
        <w:spacing w:line="240" w:lineRule="auto"/>
        <w:ind w:firstLine="0"/>
        <w:rPr>
          <w:rFonts w:ascii="Times New Roman" w:hAnsi="Times New Roman" w:cs="Times New Roman"/>
          <w:sz w:val="24"/>
        </w:rPr>
      </w:pPr>
    </w:p>
    <w:p w14:paraId="6A7CAABD" w14:textId="41F63F44" w:rsidR="000D11E8" w:rsidRPr="00EB04E2" w:rsidRDefault="000D11E8" w:rsidP="000D11E8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985A15">
        <w:rPr>
          <w:rFonts w:ascii="Times New Roman" w:hAnsi="Times New Roman" w:cs="Times New Roman"/>
          <w:b/>
          <w:bCs/>
        </w:rPr>
        <w:t>FILIAÇÃO</w:t>
      </w:r>
      <w:r w:rsidRPr="00985A15">
        <w:rPr>
          <w:rFonts w:ascii="Times New Roman" w:hAnsi="Times New Roman" w:cs="Times New Roman"/>
          <w:b/>
          <w:bCs/>
          <w:color w:val="auto"/>
        </w:rPr>
        <w:t>:</w:t>
      </w:r>
      <w:r w:rsidRPr="00985A15">
        <w:rPr>
          <w:rFonts w:ascii="Times New Roman" w:hAnsi="Times New Roman" w:cs="Times New Roman"/>
          <w:color w:val="auto"/>
        </w:rPr>
        <w:t xml:space="preserve"> </w:t>
      </w:r>
    </w:p>
    <w:p w14:paraId="7E1069CE" w14:textId="504CB56A" w:rsidR="004D682E" w:rsidRPr="00985A15" w:rsidRDefault="000D11E8" w:rsidP="00FB7DF0">
      <w:pPr>
        <w:pStyle w:val="Default"/>
        <w:jc w:val="both"/>
        <w:rPr>
          <w:rFonts w:ascii="Times New Roman" w:hAnsi="Times New Roman" w:cs="Times New Roman"/>
        </w:rPr>
      </w:pPr>
      <w:r w:rsidRPr="00985A15">
        <w:rPr>
          <w:rFonts w:ascii="Times New Roman" w:hAnsi="Times New Roman" w:cs="Times New Roman"/>
        </w:rPr>
        <w:t>Instituto Jurídico Portucalense, Universidade Portucalense Infante D. Henrique, Porto, Portugal</w:t>
      </w:r>
      <w:bookmarkStart w:id="2" w:name="_Toc67839871"/>
      <w:bookmarkStart w:id="3" w:name="_Toc67840703"/>
      <w:bookmarkStart w:id="4" w:name="_Toc68280127"/>
      <w:bookmarkStart w:id="5" w:name="_Toc71743446"/>
      <w:bookmarkStart w:id="6" w:name="_Toc71812157"/>
      <w:bookmarkStart w:id="7" w:name="_Toc72426142"/>
    </w:p>
    <w:p w14:paraId="094BFDCD" w14:textId="582BA160" w:rsidR="00287AC4" w:rsidRDefault="00287AC4" w:rsidP="00EB04E2">
      <w:pPr>
        <w:pStyle w:val="Ttulo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EIXO:</w:t>
      </w:r>
    </w:p>
    <w:p w14:paraId="12C7DCEC" w14:textId="20B6FD03" w:rsidR="00287AC4" w:rsidRDefault="00287AC4" w:rsidP="00EB04E2">
      <w:pPr>
        <w:spacing w:after="0" w:line="240" w:lineRule="auto"/>
        <w:ind w:firstLine="0"/>
        <w:rPr>
          <w:rFonts w:ascii="Times New Roman" w:hAnsi="Times New Roman" w:cs="Times New Roman"/>
          <w:sz w:val="24"/>
        </w:rPr>
      </w:pPr>
      <w:r w:rsidRPr="00287AC4">
        <w:rPr>
          <w:rFonts w:ascii="Times New Roman" w:hAnsi="Times New Roman" w:cs="Times New Roman"/>
          <w:sz w:val="24"/>
        </w:rPr>
        <w:t xml:space="preserve">GT: Estudos sobre Mulheres, Género e Interseccionalidade - Coordenação </w:t>
      </w:r>
      <w:r w:rsidRPr="00287AC4">
        <w:rPr>
          <w:rFonts w:ascii="Times New Roman" w:hAnsi="Times New Roman" w:cs="Times New Roman"/>
          <w:i/>
          <w:iCs/>
          <w:sz w:val="24"/>
        </w:rPr>
        <w:t>Professora Zamira Assis</w:t>
      </w:r>
    </w:p>
    <w:p w14:paraId="48A8FFA8" w14:textId="27151663" w:rsidR="00114F3B" w:rsidRPr="00EB04E2" w:rsidRDefault="00970D4A" w:rsidP="00EB04E2">
      <w:pPr>
        <w:pStyle w:val="Ttulo1"/>
        <w:rPr>
          <w:rFonts w:ascii="Times New Roman" w:hAnsi="Times New Roman" w:cs="Times New Roman"/>
          <w:sz w:val="24"/>
          <w:szCs w:val="24"/>
        </w:rPr>
      </w:pPr>
      <w:r w:rsidRPr="00985A15">
        <w:rPr>
          <w:rFonts w:ascii="Times New Roman" w:hAnsi="Times New Roman" w:cs="Times New Roman"/>
          <w:sz w:val="24"/>
          <w:szCs w:val="24"/>
        </w:rPr>
        <w:lastRenderedPageBreak/>
        <w:t>Resumo</w:t>
      </w:r>
      <w:bookmarkEnd w:id="2"/>
      <w:bookmarkEnd w:id="3"/>
      <w:bookmarkEnd w:id="4"/>
      <w:bookmarkEnd w:id="5"/>
      <w:bookmarkEnd w:id="6"/>
      <w:bookmarkEnd w:id="7"/>
      <w:r w:rsidR="00DA60CB" w:rsidRPr="00985A15">
        <w:rPr>
          <w:rFonts w:ascii="Times New Roman" w:hAnsi="Times New Roman" w:cs="Times New Roman"/>
          <w:sz w:val="24"/>
          <w:szCs w:val="24"/>
        </w:rPr>
        <w:t>:</w:t>
      </w:r>
    </w:p>
    <w:p w14:paraId="02CFA46A" w14:textId="27299258" w:rsidR="00A27866" w:rsidRDefault="00FF7E86" w:rsidP="00BE2381">
      <w:pPr>
        <w:spacing w:after="0" w:line="360" w:lineRule="auto"/>
        <w:rPr>
          <w:rFonts w:ascii="Times New Roman" w:hAnsi="Times New Roman" w:cs="Times New Roman"/>
          <w:sz w:val="24"/>
          <w:lang w:val="en-IE"/>
        </w:rPr>
      </w:pPr>
      <w:bookmarkStart w:id="8" w:name="_Hlk136280528"/>
      <w:r>
        <w:rPr>
          <w:rFonts w:ascii="Times New Roman" w:hAnsi="Times New Roman" w:cs="Times New Roman"/>
          <w:sz w:val="24"/>
        </w:rPr>
        <w:t>A</w:t>
      </w:r>
      <w:r w:rsidR="00CC2B51">
        <w:rPr>
          <w:rFonts w:ascii="Times New Roman" w:hAnsi="Times New Roman" w:cs="Times New Roman"/>
          <w:sz w:val="24"/>
        </w:rPr>
        <w:t xml:space="preserve"> ainda recente adesão </w:t>
      </w:r>
      <w:r w:rsidR="00484186">
        <w:rPr>
          <w:rFonts w:ascii="Times New Roman" w:hAnsi="Times New Roman" w:cs="Times New Roman"/>
          <w:sz w:val="24"/>
        </w:rPr>
        <w:t>pel</w:t>
      </w:r>
      <w:r w:rsidR="00CC2B51">
        <w:rPr>
          <w:rFonts w:ascii="Times New Roman" w:hAnsi="Times New Roman" w:cs="Times New Roman"/>
          <w:sz w:val="24"/>
        </w:rPr>
        <w:t>a União Europeia à</w:t>
      </w:r>
      <w:r w:rsidR="00D84307">
        <w:rPr>
          <w:rFonts w:ascii="Times New Roman" w:hAnsi="Times New Roman" w:cs="Times New Roman"/>
          <w:sz w:val="24"/>
        </w:rPr>
        <w:t xml:space="preserve"> chamada</w:t>
      </w:r>
      <w:r w:rsidR="00CC2B51" w:rsidRPr="00CC2B51">
        <w:rPr>
          <w:rFonts w:ascii="Times New Roman" w:hAnsi="Times New Roman" w:cs="Times New Roman"/>
          <w:sz w:val="24"/>
        </w:rPr>
        <w:t xml:space="preserve"> </w:t>
      </w:r>
      <w:r w:rsidR="00CC2B51" w:rsidRPr="00CC2B51">
        <w:rPr>
          <w:rFonts w:ascii="Times New Roman" w:hAnsi="Times New Roman" w:cs="Times New Roman"/>
          <w:sz w:val="24"/>
          <w:lang w:val="en-IE"/>
        </w:rPr>
        <w:t xml:space="preserve">Convenção de Istambul </w:t>
      </w:r>
      <w:r w:rsidR="00D84307">
        <w:rPr>
          <w:rFonts w:ascii="Times New Roman" w:hAnsi="Times New Roman" w:cs="Times New Roman"/>
          <w:sz w:val="24"/>
          <w:lang w:val="en-IE"/>
        </w:rPr>
        <w:t xml:space="preserve">– a </w:t>
      </w:r>
      <w:r w:rsidR="00D84307" w:rsidRPr="00BE2381">
        <w:rPr>
          <w:rFonts w:ascii="Times New Roman" w:hAnsi="Times New Roman" w:cs="Times New Roman"/>
          <w:sz w:val="24"/>
        </w:rPr>
        <w:t xml:space="preserve">Convenção do Conselho da Europa para a Prevenção e o Combate à Violência Contra as Mulheres e a Violência Doméstica </w:t>
      </w:r>
      <w:r w:rsidR="0088590A">
        <w:rPr>
          <w:rFonts w:ascii="Times New Roman" w:hAnsi="Times New Roman" w:cs="Times New Roman"/>
          <w:sz w:val="24"/>
        </w:rPr>
        <w:t xml:space="preserve">celebrada em </w:t>
      </w:r>
      <w:r w:rsidR="0088590A" w:rsidRPr="0088590A">
        <w:rPr>
          <w:rFonts w:ascii="Times New Roman" w:hAnsi="Times New Roman" w:cs="Times New Roman"/>
          <w:sz w:val="24"/>
        </w:rPr>
        <w:t>Istambul</w:t>
      </w:r>
      <w:r w:rsidR="0088590A">
        <w:rPr>
          <w:rFonts w:ascii="Times New Roman" w:hAnsi="Times New Roman" w:cs="Times New Roman"/>
          <w:sz w:val="24"/>
        </w:rPr>
        <w:t xml:space="preserve"> em</w:t>
      </w:r>
      <w:r w:rsidR="0088590A" w:rsidRPr="0088590A">
        <w:rPr>
          <w:rFonts w:ascii="Times New Roman" w:hAnsi="Times New Roman" w:cs="Times New Roman"/>
          <w:sz w:val="24"/>
        </w:rPr>
        <w:t xml:space="preserve"> </w:t>
      </w:r>
      <w:r w:rsidR="0088590A" w:rsidRPr="00C84D45">
        <w:rPr>
          <w:rFonts w:ascii="Times New Roman" w:hAnsi="Times New Roman" w:cs="Times New Roman"/>
          <w:sz w:val="24"/>
        </w:rPr>
        <w:t>11.05</w:t>
      </w:r>
      <w:r w:rsidR="0088590A" w:rsidRPr="0088590A">
        <w:rPr>
          <w:rFonts w:ascii="Times New Roman" w:hAnsi="Times New Roman" w:cs="Times New Roman"/>
          <w:sz w:val="24"/>
        </w:rPr>
        <w:t>.2011</w:t>
      </w:r>
      <w:r w:rsidR="00BE2381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</w:rPr>
        <w:t>é o mote para</w:t>
      </w:r>
      <w:r w:rsidR="00BE2381">
        <w:rPr>
          <w:rFonts w:ascii="Times New Roman" w:hAnsi="Times New Roman" w:cs="Times New Roman"/>
          <w:sz w:val="24"/>
          <w:lang w:val="en-IE"/>
        </w:rPr>
        <w:t xml:space="preserve"> as autoras </w:t>
      </w:r>
      <w:r w:rsidR="00CC2B51" w:rsidRPr="00CC2B51">
        <w:rPr>
          <w:rFonts w:ascii="Times New Roman" w:hAnsi="Times New Roman" w:cs="Times New Roman"/>
          <w:sz w:val="24"/>
          <w:lang w:val="en-IE"/>
        </w:rPr>
        <w:t>revisita</w:t>
      </w:r>
      <w:r w:rsidR="00BE2381">
        <w:rPr>
          <w:rFonts w:ascii="Times New Roman" w:hAnsi="Times New Roman" w:cs="Times New Roman"/>
          <w:sz w:val="24"/>
          <w:lang w:val="en-IE"/>
        </w:rPr>
        <w:t>r</w:t>
      </w:r>
      <w:r>
        <w:rPr>
          <w:rFonts w:ascii="Times New Roman" w:hAnsi="Times New Roman" w:cs="Times New Roman"/>
          <w:sz w:val="24"/>
          <w:lang w:val="en-IE"/>
        </w:rPr>
        <w:t>em</w:t>
      </w:r>
      <w:r w:rsidR="00BE2381">
        <w:rPr>
          <w:rFonts w:ascii="Times New Roman" w:hAnsi="Times New Roman" w:cs="Times New Roman"/>
          <w:sz w:val="24"/>
          <w:lang w:val="en-IE"/>
        </w:rPr>
        <w:t xml:space="preserve"> a </w:t>
      </w:r>
      <w:r w:rsidR="0088590A">
        <w:rPr>
          <w:rFonts w:ascii="Times New Roman" w:hAnsi="Times New Roman" w:cs="Times New Roman"/>
          <w:sz w:val="24"/>
          <w:lang w:val="en-IE"/>
        </w:rPr>
        <w:t xml:space="preserve">sua </w:t>
      </w:r>
      <w:r w:rsidR="00BE2381">
        <w:rPr>
          <w:rFonts w:ascii="Times New Roman" w:hAnsi="Times New Roman" w:cs="Times New Roman"/>
          <w:sz w:val="24"/>
          <w:lang w:val="en-IE"/>
        </w:rPr>
        <w:t>adoção e salientar o relevo do documento</w:t>
      </w:r>
      <w:r w:rsidR="00EB04E2">
        <w:rPr>
          <w:rFonts w:ascii="Times New Roman" w:hAnsi="Times New Roman" w:cs="Times New Roman"/>
          <w:sz w:val="24"/>
          <w:lang w:val="en-IE"/>
        </w:rPr>
        <w:t xml:space="preserve"> no quadro da União Europeia</w:t>
      </w:r>
      <w:r w:rsidR="00664C5C">
        <w:rPr>
          <w:rFonts w:ascii="Times New Roman" w:hAnsi="Times New Roman" w:cs="Times New Roman"/>
          <w:sz w:val="24"/>
          <w:lang w:val="en-IE"/>
        </w:rPr>
        <w:t xml:space="preserve"> (UE)</w:t>
      </w:r>
      <w:r w:rsidR="00BE2381">
        <w:rPr>
          <w:rFonts w:ascii="Times New Roman" w:hAnsi="Times New Roman" w:cs="Times New Roman"/>
          <w:sz w:val="24"/>
          <w:lang w:val="en-IE"/>
        </w:rPr>
        <w:t>.</w:t>
      </w:r>
    </w:p>
    <w:p w14:paraId="7AD8089E" w14:textId="6760A650" w:rsidR="0088590A" w:rsidRPr="0088590A" w:rsidRDefault="0088590A" w:rsidP="00BE2381">
      <w:pPr>
        <w:spacing w:after="0" w:line="360" w:lineRule="auto"/>
        <w:rPr>
          <w:rFonts w:ascii="Times New Roman" w:hAnsi="Times New Roman" w:cs="Times New Roman"/>
          <w:sz w:val="24"/>
          <w:lang w:val="en-IE"/>
        </w:rPr>
      </w:pPr>
      <w:r>
        <w:rPr>
          <w:rFonts w:ascii="Times New Roman" w:hAnsi="Times New Roman" w:cs="Times New Roman"/>
          <w:sz w:val="24"/>
        </w:rPr>
        <w:t xml:space="preserve">Esta Convenção </w:t>
      </w:r>
      <w:r w:rsidRPr="0088590A">
        <w:rPr>
          <w:rFonts w:ascii="Times New Roman" w:hAnsi="Times New Roman" w:cs="Times New Roman"/>
          <w:sz w:val="24"/>
        </w:rPr>
        <w:t>visa criar um quadro jurídico de proteção das mulheres contra todas as formas de violência, visto que a violência contra as mulheres é entendida como uma violação dos direitos humanos</w:t>
      </w:r>
      <w:r>
        <w:rPr>
          <w:rFonts w:ascii="Times New Roman" w:hAnsi="Times New Roman" w:cs="Times New Roman"/>
          <w:sz w:val="24"/>
        </w:rPr>
        <w:t>. Relativamente à União Europeia, a</w:t>
      </w:r>
      <w:r w:rsidRPr="0088590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C</w:t>
      </w:r>
      <w:r w:rsidRPr="0088590A">
        <w:rPr>
          <w:rFonts w:ascii="Times New Roman" w:hAnsi="Times New Roman" w:cs="Times New Roman"/>
          <w:sz w:val="24"/>
        </w:rPr>
        <w:t>onvenção foi assinada em 13 de junho de 2017 e o procedimento foi concluído com o depósito de dois instrumentos de aprovação em 28 de junho de 2023, o que determinou a entrada em vigor da convenção para a UE em 1 de outubro de 2023.</w:t>
      </w:r>
      <w:r w:rsidR="00664C5C">
        <w:rPr>
          <w:rFonts w:ascii="Times New Roman" w:hAnsi="Times New Roman" w:cs="Times New Roman"/>
          <w:sz w:val="24"/>
        </w:rPr>
        <w:t xml:space="preserve"> Ainda que demorado, a importância deste passo é enorme e</w:t>
      </w:r>
      <w:r w:rsidR="00E752F5">
        <w:rPr>
          <w:rFonts w:ascii="Times New Roman" w:hAnsi="Times New Roman" w:cs="Times New Roman"/>
          <w:sz w:val="24"/>
        </w:rPr>
        <w:t xml:space="preserve"> </w:t>
      </w:r>
      <w:r w:rsidR="00664C5C">
        <w:rPr>
          <w:rFonts w:ascii="Times New Roman" w:hAnsi="Times New Roman" w:cs="Times New Roman"/>
          <w:sz w:val="24"/>
        </w:rPr>
        <w:t>p</w:t>
      </w:r>
      <w:r w:rsidR="00E752F5">
        <w:rPr>
          <w:rFonts w:ascii="Times New Roman" w:hAnsi="Times New Roman" w:cs="Times New Roman"/>
          <w:sz w:val="24"/>
        </w:rPr>
        <w:t xml:space="preserve">retende </w:t>
      </w:r>
      <w:r w:rsidR="00E752F5">
        <w:rPr>
          <w:rFonts w:ascii="Times New Roman" w:hAnsi="Times New Roman" w:cs="Times New Roman"/>
          <w:sz w:val="24"/>
          <w:lang w:val="en-IE"/>
        </w:rPr>
        <w:t>destacar</w:t>
      </w:r>
      <w:r w:rsidR="00664C5C">
        <w:rPr>
          <w:rFonts w:ascii="Times New Roman" w:hAnsi="Times New Roman" w:cs="Times New Roman"/>
          <w:sz w:val="24"/>
          <w:lang w:val="en-IE"/>
        </w:rPr>
        <w:t>-se</w:t>
      </w:r>
      <w:r w:rsidR="00E752F5">
        <w:rPr>
          <w:rFonts w:ascii="Times New Roman" w:hAnsi="Times New Roman" w:cs="Times New Roman"/>
          <w:sz w:val="24"/>
          <w:lang w:val="en-IE"/>
        </w:rPr>
        <w:t xml:space="preserve"> o papel do Tribunal de Justiça da União Europeia (TJUE) neste processo de adesão.</w:t>
      </w:r>
    </w:p>
    <w:p w14:paraId="2524B5F5" w14:textId="60E1EACA" w:rsidR="00BE2381" w:rsidRPr="00BE2381" w:rsidRDefault="00EB04E2" w:rsidP="00BE2381">
      <w:pPr>
        <w:spacing w:after="0" w:line="360" w:lineRule="auto"/>
        <w:rPr>
          <w:rFonts w:ascii="Times New Roman" w:hAnsi="Times New Roman" w:cs="Times New Roman"/>
          <w:sz w:val="24"/>
          <w:lang w:val="en-IE"/>
        </w:rPr>
      </w:pPr>
      <w:r>
        <w:rPr>
          <w:rFonts w:ascii="Times New Roman" w:hAnsi="Times New Roman" w:cs="Times New Roman"/>
          <w:sz w:val="24"/>
          <w:lang w:val="en-IE"/>
        </w:rPr>
        <w:t>Com o salientar da jurisprudência conexa</w:t>
      </w:r>
      <w:r w:rsidR="00BE2381">
        <w:rPr>
          <w:rFonts w:ascii="Times New Roman" w:hAnsi="Times New Roman" w:cs="Times New Roman"/>
          <w:sz w:val="24"/>
          <w:lang w:val="en-IE"/>
        </w:rPr>
        <w:t xml:space="preserve"> nas decisões do Tribunal Europeu dos Direitos Humanos</w:t>
      </w:r>
      <w:r w:rsidR="0088590A">
        <w:rPr>
          <w:rFonts w:ascii="Times New Roman" w:hAnsi="Times New Roman" w:cs="Times New Roman"/>
          <w:sz w:val="24"/>
          <w:lang w:val="en-IE"/>
        </w:rPr>
        <w:t xml:space="preserve"> (TEDH)</w:t>
      </w:r>
      <w:r w:rsidR="00664C5C">
        <w:rPr>
          <w:rFonts w:ascii="Times New Roman" w:hAnsi="Times New Roman" w:cs="Times New Roman"/>
          <w:sz w:val="24"/>
          <w:lang w:val="en-IE"/>
        </w:rPr>
        <w:t>, consideradas pelo</w:t>
      </w:r>
      <w:r w:rsidR="00BE2381">
        <w:rPr>
          <w:rFonts w:ascii="Times New Roman" w:hAnsi="Times New Roman" w:cs="Times New Roman"/>
          <w:sz w:val="24"/>
          <w:lang w:val="en-IE"/>
        </w:rPr>
        <w:t xml:space="preserve"> Tribunal de Justiça da União Europeia</w:t>
      </w:r>
      <w:r w:rsidR="0088590A">
        <w:rPr>
          <w:rFonts w:ascii="Times New Roman" w:hAnsi="Times New Roman" w:cs="Times New Roman"/>
          <w:sz w:val="24"/>
          <w:lang w:val="en-IE"/>
        </w:rPr>
        <w:t xml:space="preserve"> (TJUE)</w:t>
      </w:r>
      <w:r w:rsidR="00664C5C">
        <w:rPr>
          <w:rFonts w:ascii="Times New Roman" w:hAnsi="Times New Roman" w:cs="Times New Roman"/>
          <w:sz w:val="24"/>
          <w:lang w:val="en-IE"/>
        </w:rPr>
        <w:t xml:space="preserve"> e suas próprias decisões</w:t>
      </w:r>
      <w:r w:rsidR="00E752F5">
        <w:rPr>
          <w:rFonts w:ascii="Times New Roman" w:hAnsi="Times New Roman" w:cs="Times New Roman"/>
          <w:sz w:val="24"/>
          <w:lang w:val="en-IE"/>
        </w:rPr>
        <w:t>.</w:t>
      </w:r>
    </w:p>
    <w:bookmarkEnd w:id="8"/>
    <w:p w14:paraId="128EC6B0" w14:textId="77777777" w:rsidR="00A342DF" w:rsidRPr="00985A15" w:rsidRDefault="00A342DF" w:rsidP="00FB7DF0">
      <w:pPr>
        <w:spacing w:after="0" w:line="360" w:lineRule="auto"/>
        <w:ind w:firstLine="0"/>
        <w:rPr>
          <w:rFonts w:ascii="Times New Roman" w:hAnsi="Times New Roman" w:cs="Times New Roman"/>
          <w:sz w:val="24"/>
        </w:rPr>
      </w:pPr>
    </w:p>
    <w:p w14:paraId="6EBCEF84" w14:textId="3BF99EB4" w:rsidR="00750A32" w:rsidRPr="00985A15" w:rsidRDefault="00750A32" w:rsidP="00FB7DF0">
      <w:pPr>
        <w:spacing w:after="0" w:line="360" w:lineRule="auto"/>
        <w:ind w:firstLine="0"/>
        <w:rPr>
          <w:rFonts w:ascii="Times New Roman" w:hAnsi="Times New Roman" w:cs="Times New Roman"/>
          <w:sz w:val="24"/>
        </w:rPr>
      </w:pPr>
      <w:r w:rsidRPr="00985A15"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 xml:space="preserve">Palavras-chaves: </w:t>
      </w:r>
      <w:r w:rsidR="00695095">
        <w:rPr>
          <w:rFonts w:ascii="Times New Roman" w:hAnsi="Times New Roman" w:cs="Times New Roman"/>
          <w:color w:val="000000" w:themeColor="text1"/>
          <w:sz w:val="24"/>
          <w:lang w:val="pt-BR"/>
        </w:rPr>
        <w:t>Convenção de Istambul</w:t>
      </w:r>
      <w:r w:rsidR="0088590A">
        <w:rPr>
          <w:rFonts w:ascii="Times New Roman" w:hAnsi="Times New Roman" w:cs="Times New Roman"/>
          <w:color w:val="000000" w:themeColor="text1"/>
          <w:sz w:val="24"/>
          <w:lang w:val="pt-BR"/>
        </w:rPr>
        <w:t>; Tribunal de Justiça da União Europeia;</w:t>
      </w:r>
      <w:r w:rsidRPr="00985A15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 União Europeia.</w:t>
      </w:r>
      <w:r w:rsidR="00695095">
        <w:rPr>
          <w:rFonts w:ascii="Times New Roman" w:hAnsi="Times New Roman" w:cs="Times New Roman"/>
          <w:color w:val="000000" w:themeColor="text1"/>
          <w:sz w:val="24"/>
          <w:lang w:val="pt-BR"/>
        </w:rPr>
        <w:t xml:space="preserve">  </w:t>
      </w:r>
    </w:p>
    <w:p w14:paraId="094855A2" w14:textId="77777777" w:rsidR="00695095" w:rsidRDefault="00695095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</w:p>
    <w:p w14:paraId="21B874BE" w14:textId="4093806F" w:rsidR="00EB04E2" w:rsidRDefault="00EB04E2" w:rsidP="004C5564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>Referências breve</w:t>
      </w:r>
      <w:r w:rsidRPr="00985A15">
        <w:rPr>
          <w:rFonts w:ascii="Times New Roman" w:hAnsi="Times New Roman" w:cs="Times New Roman"/>
          <w:b/>
          <w:bCs/>
          <w:color w:val="000000" w:themeColor="text1"/>
          <w:sz w:val="24"/>
          <w:lang w:val="pt-BR"/>
        </w:rPr>
        <w:t>s</w:t>
      </w:r>
    </w:p>
    <w:p w14:paraId="3699A5B2" w14:textId="3C8606A4" w:rsidR="0062248B" w:rsidRPr="00AF6F0C" w:rsidRDefault="0062248B" w:rsidP="0062248B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bookmarkStart w:id="9" w:name="_Hlk176605103"/>
      <w:bookmarkStart w:id="10" w:name="_Hlk176603971"/>
      <w:bookmarkStart w:id="11" w:name="_Hlk176606025"/>
      <w:r w:rsidRPr="00AF6F0C">
        <w:rPr>
          <w:rFonts w:ascii="Times New Roman" w:hAnsi="Times New Roman" w:cs="Times New Roman"/>
          <w:szCs w:val="22"/>
        </w:rPr>
        <w:t xml:space="preserve">Albuquerque, P. P. (Org.) (2023). </w:t>
      </w:r>
      <w:r w:rsidRPr="00AF6F0C">
        <w:rPr>
          <w:rFonts w:ascii="Times New Roman" w:hAnsi="Times New Roman" w:cs="Times New Roman"/>
          <w:i/>
          <w:iCs/>
          <w:szCs w:val="22"/>
        </w:rPr>
        <w:t>Comentário do Código de Processo Penal à luz da Constituição da República e da Convenção Europeia dos Direitos Humanos</w:t>
      </w:r>
      <w:r w:rsidRPr="00AF6F0C">
        <w:rPr>
          <w:rFonts w:ascii="Times New Roman" w:hAnsi="Times New Roman" w:cs="Times New Roman"/>
          <w:szCs w:val="22"/>
        </w:rPr>
        <w:t>. Universidade Católica Editora.</w:t>
      </w:r>
      <w:bookmarkEnd w:id="9"/>
    </w:p>
    <w:p w14:paraId="690826BA" w14:textId="23D21AD0" w:rsidR="009F09D3" w:rsidRPr="00AF6F0C" w:rsidRDefault="00C84D45" w:rsidP="009F09D3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bookmarkStart w:id="12" w:name="_Hlk176603923"/>
      <w:bookmarkEnd w:id="10"/>
      <w:r w:rsidRPr="00AF6F0C">
        <w:rPr>
          <w:rFonts w:ascii="Times New Roman" w:hAnsi="Times New Roman" w:cs="Times New Roman"/>
          <w:szCs w:val="22"/>
        </w:rPr>
        <w:t xml:space="preserve">Cunha, M. C. F. (2016). </w:t>
      </w:r>
      <w:r w:rsidR="009F09D3" w:rsidRPr="00AF6F0C">
        <w:rPr>
          <w:rFonts w:ascii="Times New Roman" w:hAnsi="Times New Roman" w:cs="Times New Roman"/>
          <w:i/>
          <w:iCs/>
          <w:szCs w:val="22"/>
        </w:rPr>
        <w:t>Combate à Violência de Género- Da Convenção de Istambul à nova Legislação Penal</w:t>
      </w:r>
      <w:r w:rsidR="009F09D3" w:rsidRPr="00AF6F0C">
        <w:rPr>
          <w:rFonts w:ascii="Times New Roman" w:hAnsi="Times New Roman" w:cs="Times New Roman"/>
          <w:szCs w:val="22"/>
        </w:rPr>
        <w:t>. Almedina.</w:t>
      </w:r>
    </w:p>
    <w:p w14:paraId="2F89A423" w14:textId="6D6C171B" w:rsidR="0062248B" w:rsidRPr="00AF6F0C" w:rsidRDefault="00144B50" w:rsidP="0062248B">
      <w:pPr>
        <w:shd w:val="clear" w:color="auto" w:fill="FFFFFF"/>
        <w:spacing w:line="240" w:lineRule="auto"/>
        <w:ind w:firstLine="0"/>
        <w:rPr>
          <w:rFonts w:ascii="Times New Roman" w:hAnsi="Times New Roman" w:cs="Times New Roman"/>
          <w:szCs w:val="22"/>
        </w:rPr>
      </w:pPr>
      <w:r w:rsidRPr="00AF6F0C">
        <w:rPr>
          <w:rFonts w:ascii="Times New Roman" w:hAnsi="Times New Roman" w:cs="Times New Roman"/>
          <w:color w:val="000000"/>
          <w:szCs w:val="22"/>
        </w:rPr>
        <w:t xml:space="preserve">Tribunal de Justiça da União Europeia </w:t>
      </w:r>
      <w:r w:rsidR="0062248B" w:rsidRPr="00AF6F0C">
        <w:rPr>
          <w:rFonts w:ascii="Times New Roman" w:hAnsi="Times New Roman" w:cs="Times New Roman"/>
          <w:color w:val="000000"/>
          <w:szCs w:val="22"/>
        </w:rPr>
        <w:t xml:space="preserve">(2021). Parecer do Tribunal de Justiça 1/19 de 6 de outubro de 2021, </w:t>
      </w:r>
      <w:r w:rsidR="0062248B" w:rsidRPr="00AF6F0C">
        <w:rPr>
          <w:rFonts w:ascii="Times New Roman" w:hAnsi="Times New Roman" w:cs="Times New Roman"/>
          <w:i/>
          <w:iCs/>
          <w:color w:val="000000"/>
          <w:szCs w:val="22"/>
        </w:rPr>
        <w:t>Jornal Oficial da União Europeia C 481/2</w:t>
      </w:r>
      <w:r w:rsidR="0062248B" w:rsidRPr="00AF6F0C">
        <w:rPr>
          <w:rFonts w:ascii="Times New Roman" w:hAnsi="Times New Roman" w:cs="Times New Roman"/>
          <w:color w:val="000000"/>
          <w:szCs w:val="22"/>
        </w:rPr>
        <w:t xml:space="preserve">, de 29.11.2021, p. 2. </w:t>
      </w:r>
      <w:r w:rsidR="0062248B" w:rsidRPr="00AF6F0C">
        <w:rPr>
          <w:rFonts w:ascii="Times New Roman" w:hAnsi="Times New Roman" w:cs="Times New Roman"/>
          <w:szCs w:val="22"/>
        </w:rPr>
        <w:t xml:space="preserve">Em </w:t>
      </w:r>
      <w:hyperlink r:id="rId10" w:history="1">
        <w:r w:rsidR="0062248B" w:rsidRPr="00AF6F0C">
          <w:rPr>
            <w:rStyle w:val="Hiperligao"/>
            <w:rFonts w:ascii="Times New Roman" w:hAnsi="Times New Roman" w:cs="Times New Roman"/>
            <w:szCs w:val="22"/>
          </w:rPr>
          <w:t>https://eur-lex.europa.eu/legal-content/PT/TXT/PDF/?uri=CELEX:62019CG0001&amp;from=PT</w:t>
        </w:r>
      </w:hyperlink>
      <w:r w:rsidR="0062248B" w:rsidRPr="00AF6F0C">
        <w:rPr>
          <w:rFonts w:ascii="Times New Roman" w:hAnsi="Times New Roman" w:cs="Times New Roman"/>
          <w:szCs w:val="22"/>
        </w:rPr>
        <w:t xml:space="preserve"> </w:t>
      </w:r>
    </w:p>
    <w:p w14:paraId="7BA18BA0" w14:textId="0A4717DF" w:rsidR="0062248B" w:rsidRPr="00AF6F0C" w:rsidRDefault="0062248B" w:rsidP="0062248B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bookmarkStart w:id="13" w:name="_Hlk176605284"/>
      <w:r w:rsidRPr="00AF6F0C">
        <w:rPr>
          <w:rFonts w:ascii="Times New Roman" w:hAnsi="Times New Roman" w:cs="Times New Roman"/>
          <w:szCs w:val="22"/>
        </w:rPr>
        <w:t xml:space="preserve">Martins, M.; Cunha, M. &amp; Albuquerque, P. P. (Org.) (2022). </w:t>
      </w:r>
      <w:r w:rsidRPr="00AF6F0C">
        <w:rPr>
          <w:rFonts w:ascii="Times New Roman" w:hAnsi="Times New Roman" w:cs="Times New Roman"/>
          <w:i/>
          <w:iCs/>
          <w:szCs w:val="22"/>
        </w:rPr>
        <w:t>Direitos Humanos das Mulheres.</w:t>
      </w:r>
      <w:r w:rsidRPr="00AF6F0C">
        <w:rPr>
          <w:rFonts w:ascii="Times New Roman" w:hAnsi="Times New Roman" w:cs="Times New Roman"/>
          <w:b/>
          <w:bCs/>
          <w:szCs w:val="22"/>
        </w:rPr>
        <w:t xml:space="preserve"> </w:t>
      </w:r>
      <w:r w:rsidRPr="00AF6F0C">
        <w:rPr>
          <w:rFonts w:ascii="Times New Roman" w:hAnsi="Times New Roman" w:cs="Times New Roman"/>
          <w:szCs w:val="22"/>
        </w:rPr>
        <w:t>Universidade Católica Editora.</w:t>
      </w:r>
    </w:p>
    <w:p w14:paraId="5F6C413B" w14:textId="407B4EB7" w:rsidR="008B2EBD" w:rsidRPr="00AF6F0C" w:rsidRDefault="009E281D" w:rsidP="0062248B">
      <w:pPr>
        <w:spacing w:before="120" w:line="240" w:lineRule="auto"/>
        <w:ind w:firstLine="0"/>
        <w:rPr>
          <w:rFonts w:ascii="Times New Roman" w:hAnsi="Times New Roman" w:cs="Times New Roman"/>
          <w:szCs w:val="22"/>
        </w:rPr>
      </w:pPr>
      <w:r w:rsidRPr="00AF6F0C">
        <w:rPr>
          <w:rFonts w:ascii="Times New Roman" w:hAnsi="Times New Roman" w:cs="Times New Roman"/>
          <w:szCs w:val="22"/>
        </w:rPr>
        <w:t>Santos</w:t>
      </w:r>
      <w:r w:rsidR="008B2EBD" w:rsidRPr="00AF6F0C">
        <w:rPr>
          <w:rFonts w:ascii="Times New Roman" w:hAnsi="Times New Roman" w:cs="Times New Roman"/>
          <w:szCs w:val="22"/>
        </w:rPr>
        <w:t xml:space="preserve">, M. M. O. </w:t>
      </w:r>
      <w:r w:rsidRPr="00AF6F0C">
        <w:rPr>
          <w:rFonts w:ascii="Times New Roman" w:hAnsi="Times New Roman" w:cs="Times New Roman"/>
          <w:szCs w:val="22"/>
        </w:rPr>
        <w:t>A Convenção de Istambul e a “violência de gênero”: breves apontamentos à luz do ordenamento jurídico-penal português</w:t>
      </w:r>
      <w:r w:rsidR="008B2EBD" w:rsidRPr="00AF6F0C">
        <w:rPr>
          <w:rFonts w:ascii="Times New Roman" w:hAnsi="Times New Roman" w:cs="Times New Roman"/>
          <w:szCs w:val="22"/>
        </w:rPr>
        <w:t>. </w:t>
      </w:r>
      <w:r w:rsidR="008B2EBD" w:rsidRPr="00AF6F0C">
        <w:rPr>
          <w:rFonts w:ascii="Times New Roman" w:hAnsi="Times New Roman" w:cs="Times New Roman"/>
          <w:i/>
          <w:iCs/>
          <w:szCs w:val="22"/>
        </w:rPr>
        <w:t>Revista FIDES</w:t>
      </w:r>
      <w:r w:rsidR="008B2EBD" w:rsidRPr="00AF6F0C">
        <w:rPr>
          <w:rFonts w:ascii="Times New Roman" w:hAnsi="Times New Roman" w:cs="Times New Roman"/>
          <w:szCs w:val="22"/>
        </w:rPr>
        <w:t xml:space="preserve">, v. 8, n. 2, 30 dez. 2017. </w:t>
      </w:r>
      <w:hyperlink r:id="rId11" w:history="1">
        <w:r w:rsidR="008B2EBD" w:rsidRPr="00AF6F0C">
          <w:rPr>
            <w:rStyle w:val="Hiperligao"/>
            <w:rFonts w:ascii="Times New Roman" w:hAnsi="Times New Roman" w:cs="Times New Roman"/>
            <w:szCs w:val="22"/>
          </w:rPr>
          <w:t>http://revistafides.ufrn.br/index.php/br/article/view/317</w:t>
        </w:r>
      </w:hyperlink>
      <w:r w:rsidR="008B2EBD" w:rsidRPr="00AF6F0C">
        <w:rPr>
          <w:rFonts w:ascii="Times New Roman" w:hAnsi="Times New Roman" w:cs="Times New Roman"/>
          <w:szCs w:val="22"/>
        </w:rPr>
        <w:t xml:space="preserve"> </w:t>
      </w:r>
    </w:p>
    <w:p w14:paraId="0C7D3B7F" w14:textId="5C80F233" w:rsidR="008B2EBD" w:rsidRPr="0062248B" w:rsidRDefault="008B2EBD" w:rsidP="0062248B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  <w:r w:rsidRPr="00AF6F0C">
        <w:rPr>
          <w:rFonts w:ascii="Times New Roman" w:hAnsi="Times New Roman" w:cs="Times New Roman"/>
          <w:szCs w:val="22"/>
        </w:rPr>
        <w:t>Sottomayor, M</w:t>
      </w:r>
      <w:r w:rsidR="009E281D" w:rsidRPr="00AF6F0C">
        <w:rPr>
          <w:rFonts w:ascii="Times New Roman" w:hAnsi="Times New Roman" w:cs="Times New Roman"/>
          <w:szCs w:val="22"/>
        </w:rPr>
        <w:t>.</w:t>
      </w:r>
      <w:r w:rsidRPr="00AF6F0C">
        <w:rPr>
          <w:rFonts w:ascii="Times New Roman" w:hAnsi="Times New Roman" w:cs="Times New Roman"/>
          <w:szCs w:val="22"/>
        </w:rPr>
        <w:t xml:space="preserve"> C. (2015). A convenção de Istambul e o novo paradigma da violência de género. </w:t>
      </w:r>
      <w:r w:rsidRPr="00AF6F0C">
        <w:rPr>
          <w:rFonts w:ascii="Times New Roman" w:hAnsi="Times New Roman" w:cs="Times New Roman"/>
          <w:i/>
          <w:iCs/>
          <w:szCs w:val="22"/>
        </w:rPr>
        <w:t>ex æquo</w:t>
      </w:r>
      <w:r w:rsidRPr="00AF6F0C">
        <w:rPr>
          <w:rFonts w:ascii="Times New Roman" w:hAnsi="Times New Roman" w:cs="Times New Roman"/>
          <w:szCs w:val="22"/>
        </w:rPr>
        <w:t xml:space="preserve">, n.º 31, 2015, pp. 105-121. Em </w:t>
      </w:r>
      <w:hyperlink r:id="rId12" w:history="1">
        <w:r w:rsidRPr="00AF6F0C">
          <w:rPr>
            <w:rStyle w:val="Hiperligao"/>
            <w:rFonts w:ascii="Times New Roman" w:hAnsi="Times New Roman" w:cs="Times New Roman"/>
            <w:szCs w:val="22"/>
          </w:rPr>
          <w:t>https://exaequo.apem-estudos.org/artigo/31-a-convencao-de-istambul-e-o-novo-paradigma-da-violencia-de-ge</w:t>
        </w:r>
      </w:hyperlink>
      <w:r>
        <w:rPr>
          <w:rFonts w:ascii="Times New Roman" w:hAnsi="Times New Roman" w:cs="Times New Roman"/>
          <w:sz w:val="24"/>
        </w:rPr>
        <w:t xml:space="preserve"> </w:t>
      </w:r>
    </w:p>
    <w:bookmarkEnd w:id="13"/>
    <w:p w14:paraId="06D695A8" w14:textId="77777777" w:rsidR="0062248B" w:rsidRDefault="0062248B" w:rsidP="009F09D3">
      <w:pPr>
        <w:spacing w:before="120" w:line="240" w:lineRule="auto"/>
        <w:ind w:firstLine="0"/>
        <w:rPr>
          <w:rFonts w:ascii="Times New Roman" w:hAnsi="Times New Roman" w:cs="Times New Roman"/>
          <w:sz w:val="24"/>
        </w:rPr>
      </w:pPr>
    </w:p>
    <w:bookmarkEnd w:id="11"/>
    <w:bookmarkEnd w:id="12"/>
    <w:p w14:paraId="7A3CDD0D" w14:textId="77777777" w:rsidR="007F761A" w:rsidRPr="00324E6E" w:rsidRDefault="007F761A" w:rsidP="002B2F25">
      <w:pPr>
        <w:spacing w:after="0" w:line="240" w:lineRule="auto"/>
        <w:ind w:firstLine="0"/>
        <w:jc w:val="right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  <w:lang w:val="en-US"/>
        </w:rPr>
      </w:pPr>
    </w:p>
    <w:p w14:paraId="1BBBFC3A" w14:textId="760E7FB5" w:rsidR="000F4B59" w:rsidRPr="002B2F25" w:rsidRDefault="000F4B59" w:rsidP="006E3ADD">
      <w:pPr>
        <w:spacing w:after="0" w:line="360" w:lineRule="auto"/>
        <w:ind w:right="-285" w:firstLine="0"/>
        <w:rPr>
          <w:rFonts w:cs="Arial"/>
          <w:sz w:val="20"/>
          <w:szCs w:val="20"/>
          <w:lang w:val="pt-BR"/>
        </w:rPr>
      </w:pPr>
    </w:p>
    <w:sectPr w:rsidR="000F4B59" w:rsidRPr="002B2F25" w:rsidSect="00AF6F0C">
      <w:pgSz w:w="11906" w:h="16838"/>
      <w:pgMar w:top="1276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E343B4" w14:textId="77777777" w:rsidR="00D40C94" w:rsidRDefault="00D40C94" w:rsidP="00970D4A">
      <w:pPr>
        <w:spacing w:after="0" w:line="240" w:lineRule="auto"/>
      </w:pPr>
      <w:r>
        <w:separator/>
      </w:r>
    </w:p>
  </w:endnote>
  <w:endnote w:type="continuationSeparator" w:id="0">
    <w:p w14:paraId="0687B304" w14:textId="77777777" w:rsidR="00D40C94" w:rsidRDefault="00D40C94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A84B8B" w14:textId="77777777" w:rsidR="00D40C94" w:rsidRDefault="00D40C94" w:rsidP="00970D4A">
      <w:pPr>
        <w:spacing w:after="0" w:line="240" w:lineRule="auto"/>
      </w:pPr>
      <w:r>
        <w:separator/>
      </w:r>
    </w:p>
  </w:footnote>
  <w:footnote w:type="continuationSeparator" w:id="0">
    <w:p w14:paraId="26502913" w14:textId="77777777" w:rsidR="00D40C94" w:rsidRDefault="00D40C94" w:rsidP="00970D4A">
      <w:pPr>
        <w:spacing w:after="0" w:line="240" w:lineRule="auto"/>
      </w:pPr>
      <w:r>
        <w:continuationSeparator/>
      </w:r>
    </w:p>
  </w:footnote>
  <w:footnote w:id="1">
    <w:p w14:paraId="7B0C343B" w14:textId="74B540CF" w:rsidR="007D5429" w:rsidRPr="006943B8" w:rsidRDefault="007D5429" w:rsidP="006943B8">
      <w:pPr>
        <w:adjustRightInd w:val="0"/>
        <w:spacing w:after="0" w:line="240" w:lineRule="auto"/>
        <w:ind w:firstLine="0"/>
        <w:rPr>
          <w:rFonts w:ascii="Times New Roman" w:hAnsi="Times New Roman" w:cs="Times New Roman"/>
          <w:color w:val="0563C1" w:themeColor="hyperlink"/>
          <w:sz w:val="20"/>
          <w:szCs w:val="20"/>
          <w:u w:val="single"/>
          <w:lang w:val="en-US"/>
        </w:rPr>
      </w:pPr>
      <w:r w:rsidRPr="006943B8">
        <w:rPr>
          <w:rStyle w:val="Refdenotaderodap"/>
          <w:sz w:val="20"/>
          <w:szCs w:val="20"/>
        </w:rPr>
        <w:footnoteRef/>
      </w:r>
      <w:r w:rsidRPr="006943B8">
        <w:rPr>
          <w:sz w:val="20"/>
          <w:szCs w:val="20"/>
        </w:rPr>
        <w:t xml:space="preserve"> </w:t>
      </w:r>
      <w:r w:rsidR="006943B8" w:rsidRPr="006943B8">
        <w:rPr>
          <w:rFonts w:ascii="Garamond" w:hAnsi="Garamond"/>
          <w:sz w:val="20"/>
          <w:szCs w:val="20"/>
        </w:rPr>
        <w:t xml:space="preserve">Docente da Universidade Portucalense Infante D. Henrique. Investigadora integrada do Instituto Jurídico Portucalense. E-mail: </w:t>
      </w:r>
      <w:hyperlink r:id="rId1" w:history="1">
        <w:r w:rsidR="006943B8" w:rsidRPr="006943B8">
          <w:rPr>
            <w:rStyle w:val="Hiperligao"/>
            <w:rFonts w:ascii="Garamond" w:hAnsi="Garamond"/>
            <w:sz w:val="20"/>
            <w:szCs w:val="20"/>
          </w:rPr>
          <w:t>dra@upt.pt</w:t>
        </w:r>
      </w:hyperlink>
      <w:r w:rsidR="006943B8" w:rsidRPr="006943B8">
        <w:rPr>
          <w:rStyle w:val="Hiperligao"/>
          <w:rFonts w:ascii="Garamond" w:hAnsi="Garamond"/>
          <w:sz w:val="20"/>
          <w:szCs w:val="20"/>
        </w:rPr>
        <w:t xml:space="preserve"> </w:t>
      </w:r>
      <w:r w:rsidR="006943B8" w:rsidRPr="006943B8">
        <w:rPr>
          <w:rFonts w:ascii="Times New Roman" w:hAnsi="Times New Roman" w:cs="Times New Roman"/>
          <w:sz w:val="20"/>
          <w:szCs w:val="20"/>
          <w:lang w:val="en-US"/>
        </w:rPr>
        <w:t xml:space="preserve">ORCID – </w:t>
      </w:r>
      <w:r w:rsidR="006943B8" w:rsidRPr="006943B8">
        <w:rPr>
          <w:rFonts w:ascii="Times New Roman" w:hAnsi="Times New Roman" w:cs="Times New Roman"/>
          <w:color w:val="1F497D"/>
          <w:sz w:val="20"/>
          <w:szCs w:val="20"/>
          <w:lang w:val="en-US"/>
        </w:rPr>
        <w:t xml:space="preserve">0000-0003-4720-1400 </w:t>
      </w:r>
      <w:r w:rsidR="006943B8" w:rsidRPr="006943B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hyperlink r:id="rId2" w:tgtFrame="_blank" w:tooltip="Go to my personal page at http://orcid.org/" w:history="1">
        <w:r w:rsidR="006943B8" w:rsidRPr="006943B8">
          <w:rPr>
            <w:rStyle w:val="Hiperligao"/>
            <w:rFonts w:ascii="Times New Roman" w:hAnsi="Times New Roman" w:cs="Times New Roman"/>
            <w:sz w:val="20"/>
            <w:szCs w:val="20"/>
            <w:shd w:val="clear" w:color="auto" w:fill="FFFFFF"/>
            <w:lang w:val="en-US"/>
          </w:rPr>
          <w:t>http://orcid.org/0000-0003-4720-1400</w:t>
        </w:r>
      </w:hyperlink>
    </w:p>
  </w:footnote>
  <w:footnote w:id="2">
    <w:p w14:paraId="4EBF82A4" w14:textId="3E2B4CA2" w:rsidR="007D5429" w:rsidRPr="006943B8" w:rsidRDefault="007D5429" w:rsidP="006943B8">
      <w:pPr>
        <w:pStyle w:val="Textodenotaderodap"/>
        <w:ind w:firstLine="0"/>
      </w:pPr>
      <w:r w:rsidRPr="006943B8">
        <w:rPr>
          <w:rStyle w:val="Refdenotaderodap"/>
        </w:rPr>
        <w:footnoteRef/>
      </w:r>
      <w:r w:rsidRPr="006943B8">
        <w:t xml:space="preserve"> </w:t>
      </w:r>
      <w:r w:rsidR="004C6A64" w:rsidRPr="006943B8">
        <w:rPr>
          <w:rFonts w:ascii="Garamond" w:hAnsi="Garamond"/>
        </w:rPr>
        <w:t>Discente da Universidade Portucalense Infante D. Henrique. Investigadora</w:t>
      </w:r>
      <w:r w:rsidR="004C6A64">
        <w:rPr>
          <w:rFonts w:ascii="Garamond" w:hAnsi="Garamond"/>
        </w:rPr>
        <w:t xml:space="preserve"> </w:t>
      </w:r>
      <w:r w:rsidR="002B718F">
        <w:rPr>
          <w:rFonts w:ascii="Garamond" w:hAnsi="Garamond"/>
        </w:rPr>
        <w:t xml:space="preserve">a colaborar com </w:t>
      </w:r>
      <w:r w:rsidR="004C6A64" w:rsidRPr="006943B8">
        <w:rPr>
          <w:rFonts w:ascii="Garamond" w:hAnsi="Garamond"/>
        </w:rPr>
        <w:t xml:space="preserve">o Instituto Jurídico Portucalense. E-mail: </w:t>
      </w:r>
      <w:hyperlink r:id="rId3" w:history="1">
        <w:r w:rsidR="004C6A64" w:rsidRPr="00682B1B">
          <w:rPr>
            <w:rStyle w:val="Hiperligao"/>
            <w:rFonts w:ascii="Garamond" w:hAnsi="Garamond"/>
          </w:rPr>
          <w:t>angelikalima@</w:t>
        </w:r>
      </w:hyperlink>
      <w:r w:rsidR="004C6A64">
        <w:rPr>
          <w:rStyle w:val="Hiperligao"/>
          <w:rFonts w:ascii="Garamond" w:hAnsi="Garamond"/>
        </w:rPr>
        <w:t>gmail.com</w:t>
      </w:r>
      <w:r w:rsidR="004C6A64" w:rsidRPr="006943B8">
        <w:rPr>
          <w:rFonts w:ascii="Garamond" w:hAnsi="Garamond"/>
        </w:rPr>
        <w:t xml:space="preserve"> ORCID:</w:t>
      </w:r>
      <w:r w:rsidR="004C6A64" w:rsidRPr="006D5DF8">
        <w:t xml:space="preserve"> </w:t>
      </w:r>
      <w:r w:rsidR="004C6A64" w:rsidRPr="006D5DF8">
        <w:rPr>
          <w:rFonts w:ascii="Times New Roman" w:hAnsi="Times New Roman" w:cs="Times New Roman"/>
          <w:color w:val="1F497D"/>
        </w:rPr>
        <w:t>0009-0001-7781-2846</w:t>
      </w:r>
      <w:r w:rsidR="004C6A64">
        <w:rPr>
          <w:rFonts w:ascii="Garamond" w:hAnsi="Garamond"/>
        </w:rPr>
        <w:t xml:space="preserve"> </w:t>
      </w:r>
      <w:r w:rsidR="004C6A64" w:rsidRPr="006943B8">
        <w:rPr>
          <w:rFonts w:ascii="Garamond" w:hAnsi="Garamond"/>
        </w:rPr>
        <w:t xml:space="preserve"> </w:t>
      </w:r>
      <w:hyperlink r:id="rId4" w:history="1">
        <w:r w:rsidR="004C6A64" w:rsidRPr="00682B1B">
          <w:rPr>
            <w:rStyle w:val="Hiperligao"/>
            <w:rFonts w:ascii="Garamond" w:hAnsi="Garamond"/>
          </w:rPr>
          <w:t>https://orcid.org/0009-0001-7781-2846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DA5D7E"/>
    <w:multiLevelType w:val="multilevel"/>
    <w:tmpl w:val="EC66C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76451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0136C"/>
    <w:rsid w:val="0003296E"/>
    <w:rsid w:val="00061463"/>
    <w:rsid w:val="00075179"/>
    <w:rsid w:val="000C5F2A"/>
    <w:rsid w:val="000D0F55"/>
    <w:rsid w:val="000D11E8"/>
    <w:rsid w:val="000E676F"/>
    <w:rsid w:val="000F4B59"/>
    <w:rsid w:val="000F52C7"/>
    <w:rsid w:val="00105F1C"/>
    <w:rsid w:val="00111D5A"/>
    <w:rsid w:val="0011319E"/>
    <w:rsid w:val="00114F3B"/>
    <w:rsid w:val="001168F0"/>
    <w:rsid w:val="00133E76"/>
    <w:rsid w:val="00144B50"/>
    <w:rsid w:val="001453ED"/>
    <w:rsid w:val="001507A5"/>
    <w:rsid w:val="00155B83"/>
    <w:rsid w:val="00161E9F"/>
    <w:rsid w:val="001620BD"/>
    <w:rsid w:val="00170EE3"/>
    <w:rsid w:val="001A7D17"/>
    <w:rsid w:val="001C43CE"/>
    <w:rsid w:val="001D33FD"/>
    <w:rsid w:val="002155F7"/>
    <w:rsid w:val="002238AB"/>
    <w:rsid w:val="002522F2"/>
    <w:rsid w:val="00256574"/>
    <w:rsid w:val="00267CE2"/>
    <w:rsid w:val="00287AC4"/>
    <w:rsid w:val="002A7414"/>
    <w:rsid w:val="002B2F25"/>
    <w:rsid w:val="002B718F"/>
    <w:rsid w:val="002C133B"/>
    <w:rsid w:val="002D5BF0"/>
    <w:rsid w:val="00316FBA"/>
    <w:rsid w:val="00324E6E"/>
    <w:rsid w:val="00335627"/>
    <w:rsid w:val="00346155"/>
    <w:rsid w:val="00350651"/>
    <w:rsid w:val="0035339A"/>
    <w:rsid w:val="003A1022"/>
    <w:rsid w:val="003B2CB1"/>
    <w:rsid w:val="003C44B0"/>
    <w:rsid w:val="003D495B"/>
    <w:rsid w:val="003E3B37"/>
    <w:rsid w:val="004167EC"/>
    <w:rsid w:val="00441942"/>
    <w:rsid w:val="00474150"/>
    <w:rsid w:val="00484186"/>
    <w:rsid w:val="004878D1"/>
    <w:rsid w:val="004975F8"/>
    <w:rsid w:val="004A629B"/>
    <w:rsid w:val="004B3358"/>
    <w:rsid w:val="004C1F98"/>
    <w:rsid w:val="004C5564"/>
    <w:rsid w:val="004C64C7"/>
    <w:rsid w:val="004C6A64"/>
    <w:rsid w:val="004D60C0"/>
    <w:rsid w:val="004D682E"/>
    <w:rsid w:val="004F3559"/>
    <w:rsid w:val="004F37A3"/>
    <w:rsid w:val="0050006D"/>
    <w:rsid w:val="0050171F"/>
    <w:rsid w:val="00512CC0"/>
    <w:rsid w:val="00567AE7"/>
    <w:rsid w:val="005710E8"/>
    <w:rsid w:val="00583B6A"/>
    <w:rsid w:val="00585A42"/>
    <w:rsid w:val="005A7B5E"/>
    <w:rsid w:val="005D7DFD"/>
    <w:rsid w:val="005F17FB"/>
    <w:rsid w:val="00601812"/>
    <w:rsid w:val="006039EC"/>
    <w:rsid w:val="00611E1B"/>
    <w:rsid w:val="0062248B"/>
    <w:rsid w:val="00625F57"/>
    <w:rsid w:val="00664C5C"/>
    <w:rsid w:val="006669FD"/>
    <w:rsid w:val="006943B8"/>
    <w:rsid w:val="00695095"/>
    <w:rsid w:val="006B710C"/>
    <w:rsid w:val="006C19BE"/>
    <w:rsid w:val="006E21F7"/>
    <w:rsid w:val="006E3ADD"/>
    <w:rsid w:val="006F109A"/>
    <w:rsid w:val="00702E97"/>
    <w:rsid w:val="007053F9"/>
    <w:rsid w:val="00705D1E"/>
    <w:rsid w:val="00716438"/>
    <w:rsid w:val="0071706D"/>
    <w:rsid w:val="0073214E"/>
    <w:rsid w:val="00750A32"/>
    <w:rsid w:val="00763611"/>
    <w:rsid w:val="00777204"/>
    <w:rsid w:val="00780069"/>
    <w:rsid w:val="0079382E"/>
    <w:rsid w:val="00794089"/>
    <w:rsid w:val="00797507"/>
    <w:rsid w:val="007B289B"/>
    <w:rsid w:val="007B4ED8"/>
    <w:rsid w:val="007C076E"/>
    <w:rsid w:val="007C2577"/>
    <w:rsid w:val="007D5429"/>
    <w:rsid w:val="007D675F"/>
    <w:rsid w:val="007E3842"/>
    <w:rsid w:val="007F2652"/>
    <w:rsid w:val="007F761A"/>
    <w:rsid w:val="00802E65"/>
    <w:rsid w:val="00806319"/>
    <w:rsid w:val="00812163"/>
    <w:rsid w:val="00831106"/>
    <w:rsid w:val="008322D5"/>
    <w:rsid w:val="00841160"/>
    <w:rsid w:val="00861D05"/>
    <w:rsid w:val="00881D1B"/>
    <w:rsid w:val="0088590A"/>
    <w:rsid w:val="00897100"/>
    <w:rsid w:val="008A52BA"/>
    <w:rsid w:val="008B1CB0"/>
    <w:rsid w:val="008B2EBD"/>
    <w:rsid w:val="008C5149"/>
    <w:rsid w:val="008C5747"/>
    <w:rsid w:val="008E6149"/>
    <w:rsid w:val="008E75F2"/>
    <w:rsid w:val="0095336E"/>
    <w:rsid w:val="00953545"/>
    <w:rsid w:val="00970D4A"/>
    <w:rsid w:val="00985A15"/>
    <w:rsid w:val="009A1043"/>
    <w:rsid w:val="009D7A2A"/>
    <w:rsid w:val="009E281D"/>
    <w:rsid w:val="009F089A"/>
    <w:rsid w:val="009F09D3"/>
    <w:rsid w:val="009F1B99"/>
    <w:rsid w:val="009F3232"/>
    <w:rsid w:val="009F76AE"/>
    <w:rsid w:val="009F76F8"/>
    <w:rsid w:val="00A27866"/>
    <w:rsid w:val="00A342DF"/>
    <w:rsid w:val="00A350F5"/>
    <w:rsid w:val="00A50BF9"/>
    <w:rsid w:val="00A52DDB"/>
    <w:rsid w:val="00A743D1"/>
    <w:rsid w:val="00A919C7"/>
    <w:rsid w:val="00AA05DC"/>
    <w:rsid w:val="00AD72AE"/>
    <w:rsid w:val="00AF6F0C"/>
    <w:rsid w:val="00B041E7"/>
    <w:rsid w:val="00B10E8A"/>
    <w:rsid w:val="00B11077"/>
    <w:rsid w:val="00B70453"/>
    <w:rsid w:val="00B8531D"/>
    <w:rsid w:val="00B931C8"/>
    <w:rsid w:val="00B964EE"/>
    <w:rsid w:val="00BA5402"/>
    <w:rsid w:val="00BB41ED"/>
    <w:rsid w:val="00BC4645"/>
    <w:rsid w:val="00BC6356"/>
    <w:rsid w:val="00BD391C"/>
    <w:rsid w:val="00BE2381"/>
    <w:rsid w:val="00BE55C9"/>
    <w:rsid w:val="00BE5B0B"/>
    <w:rsid w:val="00C00BF7"/>
    <w:rsid w:val="00C00CD0"/>
    <w:rsid w:val="00C04F6E"/>
    <w:rsid w:val="00C2549F"/>
    <w:rsid w:val="00C4183D"/>
    <w:rsid w:val="00C42A96"/>
    <w:rsid w:val="00C43F1F"/>
    <w:rsid w:val="00C5119A"/>
    <w:rsid w:val="00C535CF"/>
    <w:rsid w:val="00C84D45"/>
    <w:rsid w:val="00C904E0"/>
    <w:rsid w:val="00C93D7B"/>
    <w:rsid w:val="00CA0263"/>
    <w:rsid w:val="00CC2B51"/>
    <w:rsid w:val="00CC52B3"/>
    <w:rsid w:val="00CD69A1"/>
    <w:rsid w:val="00CE7320"/>
    <w:rsid w:val="00D05841"/>
    <w:rsid w:val="00D1780A"/>
    <w:rsid w:val="00D247F5"/>
    <w:rsid w:val="00D349FC"/>
    <w:rsid w:val="00D40C94"/>
    <w:rsid w:val="00D42CB8"/>
    <w:rsid w:val="00D46C0B"/>
    <w:rsid w:val="00D513AC"/>
    <w:rsid w:val="00D65393"/>
    <w:rsid w:val="00D74049"/>
    <w:rsid w:val="00D84307"/>
    <w:rsid w:val="00DA60CB"/>
    <w:rsid w:val="00DD3721"/>
    <w:rsid w:val="00DD5199"/>
    <w:rsid w:val="00DE69F4"/>
    <w:rsid w:val="00DE71A8"/>
    <w:rsid w:val="00E01713"/>
    <w:rsid w:val="00E20CE0"/>
    <w:rsid w:val="00E36F8E"/>
    <w:rsid w:val="00E71407"/>
    <w:rsid w:val="00E735F7"/>
    <w:rsid w:val="00E752F5"/>
    <w:rsid w:val="00E834EC"/>
    <w:rsid w:val="00E86345"/>
    <w:rsid w:val="00E96FE1"/>
    <w:rsid w:val="00EA7ACC"/>
    <w:rsid w:val="00EB04E2"/>
    <w:rsid w:val="00ED11B6"/>
    <w:rsid w:val="00ED67B3"/>
    <w:rsid w:val="00EE328E"/>
    <w:rsid w:val="00F10FD9"/>
    <w:rsid w:val="00F52084"/>
    <w:rsid w:val="00F6593B"/>
    <w:rsid w:val="00F80A9A"/>
    <w:rsid w:val="00FB7DF0"/>
    <w:rsid w:val="00FF24A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9F3232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32"/>
      <w:szCs w:val="32"/>
      <w:lang w:val="pt-BR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F09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9F3232"/>
    <w:rPr>
      <w:rFonts w:ascii="Arial" w:eastAsia="Times New Roman" w:hAnsi="Arial" w:cs="Arial"/>
      <w:b/>
      <w:bCs/>
      <w:caps/>
      <w:color w:val="000000" w:themeColor="text1"/>
      <w:kern w:val="0"/>
      <w:sz w:val="32"/>
      <w:szCs w:val="32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qFormat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0F4B59"/>
    <w:rPr>
      <w:b/>
      <w:bCs/>
    </w:rPr>
  </w:style>
  <w:style w:type="character" w:customStyle="1" w:styleId="article-title">
    <w:name w:val="article-title"/>
    <w:basedOn w:val="Tipodeletrapredefinidodopargrafo"/>
    <w:rsid w:val="00DD3721"/>
  </w:style>
  <w:style w:type="paragraph" w:styleId="Ttulo">
    <w:name w:val="Title"/>
    <w:basedOn w:val="Normal"/>
    <w:next w:val="Normal"/>
    <w:link w:val="TtuloCarter"/>
    <w:uiPriority w:val="10"/>
    <w:qFormat/>
    <w:rsid w:val="006E3AD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6E3ADD"/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  <w14:ligatures w14:val="non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A05DC"/>
    <w:rPr>
      <w:color w:val="954F72" w:themeColor="followedHyperlink"/>
      <w:u w:val="single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F09D3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02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3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0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xaequo.apem-estudos.org/artigo/31-a-convencao-de-istambul-e-o-novo-paradigma-da-violencia-de-g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revistafides.ufrn.br/index.php/br/article/view/31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ur-lex.europa.eu/legal-content/PT/TXT/PDF/?uri=CELEX:62019CG0001&amp;from=P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ven3.com.br/xxvii-congreso-internacional-de-derechos-humanos-491337/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mailto:angelikalima@" TargetMode="External"/><Relationship Id="rId2" Type="http://schemas.openxmlformats.org/officeDocument/2006/relationships/hyperlink" Target="http://orcid.org/0000-0003-4720-1400" TargetMode="External"/><Relationship Id="rId1" Type="http://schemas.openxmlformats.org/officeDocument/2006/relationships/hyperlink" Target="mailto:DRA@UPT.PT" TargetMode="External"/><Relationship Id="rId4" Type="http://schemas.openxmlformats.org/officeDocument/2006/relationships/hyperlink" Target="https://orcid.org/0009-0001-7781-2846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2870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2</vt:i4>
      </vt:variant>
    </vt:vector>
  </HeadingPairs>
  <TitlesOfParts>
    <vt:vector size="3" baseType="lpstr">
      <vt:lpstr/>
      <vt:lpstr>EIXO:</vt:lpstr>
      <vt:lpstr>Resumo:</vt:lpstr>
    </vt:vector>
  </TitlesOfParts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Dora Resende Alves</cp:lastModifiedBy>
  <cp:revision>5</cp:revision>
  <dcterms:created xsi:type="dcterms:W3CDTF">2024-09-11T07:56:00Z</dcterms:created>
  <dcterms:modified xsi:type="dcterms:W3CDTF">2024-09-18T17:51:00Z</dcterms:modified>
</cp:coreProperties>
</file>