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C6E30" w14:textId="22FEB1EF" w:rsidR="006F1ECA" w:rsidRDefault="00420B86" w:rsidP="001C5538">
      <w:pPr>
        <w:jc w:val="center"/>
      </w:pPr>
      <w:r>
        <w:rPr>
          <w:noProof/>
        </w:rPr>
        <w:drawing>
          <wp:inline distT="0" distB="0" distL="0" distR="0" wp14:anchorId="79542FC3" wp14:editId="484CCCE6">
            <wp:extent cx="5400040" cy="3042920"/>
            <wp:effectExtent l="0" t="0" r="0" b="5080"/>
            <wp:docPr id="210441701" name="Imagem 1" descr="Uma imagem com texto, captura de ecrã, design gráfico, design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41701" name="Imagem 1" descr="Uma imagem com texto, captura de ecrã, design gráfico, design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4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90814" w14:textId="77777777" w:rsidR="001C5538" w:rsidRDefault="001C5538" w:rsidP="00A10663">
      <w:pPr>
        <w:spacing w:line="360" w:lineRule="auto"/>
        <w:jc w:val="center"/>
      </w:pPr>
    </w:p>
    <w:p w14:paraId="60266DF3" w14:textId="0FDF2C2D" w:rsidR="00692C08" w:rsidRDefault="00ED7D7F" w:rsidP="00A10663">
      <w:pPr>
        <w:spacing w:line="360" w:lineRule="auto"/>
        <w:jc w:val="center"/>
        <w:rPr>
          <w:rFonts w:ascii="Arial" w:hAnsi="Arial" w:cs="Arial"/>
          <w:bCs/>
          <w:u w:val="single"/>
        </w:rPr>
      </w:pPr>
      <w:hyperlink r:id="rId8" w:history="1">
        <w:r w:rsidR="00420B86" w:rsidRPr="00C25E4E">
          <w:rPr>
            <w:rStyle w:val="Hiperligao"/>
            <w:rFonts w:ascii="Arial" w:hAnsi="Arial" w:cs="Arial"/>
            <w:bCs/>
          </w:rPr>
          <w:t>https://iberojur.com/cindhu-iv-roma/</w:t>
        </w:r>
      </w:hyperlink>
      <w:r w:rsidR="00420B86">
        <w:rPr>
          <w:rFonts w:ascii="Arial" w:hAnsi="Arial" w:cs="Arial"/>
          <w:bCs/>
          <w:u w:val="single"/>
        </w:rPr>
        <w:t xml:space="preserve"> </w:t>
      </w:r>
    </w:p>
    <w:p w14:paraId="09FF76BB" w14:textId="77777777" w:rsidR="00A765AB" w:rsidRDefault="00A765AB" w:rsidP="00A10663">
      <w:pPr>
        <w:spacing w:line="360" w:lineRule="auto"/>
        <w:jc w:val="center"/>
        <w:rPr>
          <w:rFonts w:ascii="Arial" w:hAnsi="Arial" w:cs="Arial"/>
          <w:bCs/>
          <w:u w:val="single"/>
        </w:rPr>
      </w:pPr>
    </w:p>
    <w:p w14:paraId="7008D5D2" w14:textId="097C8771" w:rsidR="00A765AB" w:rsidRPr="00A765AB" w:rsidRDefault="00A765AB" w:rsidP="00A765AB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bookmarkStart w:id="0" w:name="_Hlk118376631"/>
      <w:r w:rsidRPr="00A765AB">
        <w:rPr>
          <w:rFonts w:ascii="Garamond" w:hAnsi="Garamond"/>
          <w:b/>
          <w:bCs/>
          <w:sz w:val="24"/>
          <w:szCs w:val="24"/>
          <w:u w:val="single"/>
        </w:rPr>
        <w:t xml:space="preserve">O </w:t>
      </w:r>
      <w:r>
        <w:rPr>
          <w:rFonts w:ascii="Garamond" w:hAnsi="Garamond"/>
          <w:b/>
          <w:bCs/>
          <w:sz w:val="24"/>
          <w:szCs w:val="24"/>
          <w:u w:val="single"/>
        </w:rPr>
        <w:t>v</w:t>
      </w:r>
      <w:r w:rsidRPr="00A765AB">
        <w:rPr>
          <w:rFonts w:ascii="Garamond" w:hAnsi="Garamond"/>
          <w:b/>
          <w:bCs/>
          <w:sz w:val="24"/>
          <w:szCs w:val="24"/>
          <w:u w:val="single"/>
        </w:rPr>
        <w:t xml:space="preserve">alor do Estado de </w:t>
      </w:r>
      <w:r>
        <w:rPr>
          <w:rFonts w:ascii="Garamond" w:hAnsi="Garamond"/>
          <w:b/>
          <w:bCs/>
          <w:sz w:val="24"/>
          <w:szCs w:val="24"/>
          <w:u w:val="single"/>
        </w:rPr>
        <w:t>d</w:t>
      </w:r>
      <w:r w:rsidRPr="00A765AB">
        <w:rPr>
          <w:rFonts w:ascii="Garamond" w:hAnsi="Garamond"/>
          <w:b/>
          <w:bCs/>
          <w:sz w:val="24"/>
          <w:szCs w:val="24"/>
          <w:u w:val="single"/>
        </w:rPr>
        <w:t>ireito e</w:t>
      </w:r>
      <w:r>
        <w:rPr>
          <w:rFonts w:ascii="Garamond" w:hAnsi="Garamond"/>
          <w:b/>
          <w:bCs/>
          <w:sz w:val="24"/>
          <w:szCs w:val="24"/>
          <w:u w:val="single"/>
        </w:rPr>
        <w:t xml:space="preserve"> seus</w:t>
      </w:r>
      <w:r w:rsidRPr="00A765AB">
        <w:rPr>
          <w:rFonts w:ascii="Garamond" w:hAnsi="Garamond"/>
          <w:b/>
          <w:bCs/>
          <w:sz w:val="24"/>
          <w:szCs w:val="24"/>
          <w:u w:val="single"/>
        </w:rPr>
        <w:t xml:space="preserve"> </w:t>
      </w:r>
      <w:r>
        <w:rPr>
          <w:rFonts w:ascii="Garamond" w:hAnsi="Garamond"/>
          <w:b/>
          <w:bCs/>
          <w:sz w:val="24"/>
          <w:szCs w:val="24"/>
          <w:u w:val="single"/>
        </w:rPr>
        <w:t>m</w:t>
      </w:r>
      <w:r w:rsidRPr="00A765AB">
        <w:rPr>
          <w:rFonts w:ascii="Garamond" w:hAnsi="Garamond"/>
          <w:b/>
          <w:bCs/>
          <w:sz w:val="24"/>
          <w:szCs w:val="24"/>
          <w:u w:val="single"/>
        </w:rPr>
        <w:t xml:space="preserve">eios de </w:t>
      </w:r>
      <w:r>
        <w:rPr>
          <w:rFonts w:ascii="Garamond" w:hAnsi="Garamond"/>
          <w:b/>
          <w:bCs/>
          <w:sz w:val="24"/>
          <w:szCs w:val="24"/>
          <w:u w:val="single"/>
        </w:rPr>
        <w:t>p</w:t>
      </w:r>
      <w:r w:rsidRPr="00A765AB">
        <w:rPr>
          <w:rFonts w:ascii="Garamond" w:hAnsi="Garamond"/>
          <w:b/>
          <w:bCs/>
          <w:sz w:val="24"/>
          <w:szCs w:val="24"/>
          <w:u w:val="single"/>
        </w:rPr>
        <w:t>roteção na União Europeia</w:t>
      </w:r>
    </w:p>
    <w:bookmarkEnd w:id="0"/>
    <w:p w14:paraId="1D9A2E3D" w14:textId="37CBD0E3" w:rsidR="00207533" w:rsidRDefault="00207533" w:rsidP="00F44414">
      <w:pPr>
        <w:spacing w:line="360" w:lineRule="auto"/>
        <w:jc w:val="both"/>
      </w:pPr>
    </w:p>
    <w:p w14:paraId="4E969992" w14:textId="54BAC3F5" w:rsidR="001F5CA4" w:rsidRDefault="001F5CA4" w:rsidP="00207533">
      <w:pPr>
        <w:spacing w:line="360" w:lineRule="auto"/>
        <w:ind w:firstLine="708"/>
        <w:jc w:val="both"/>
        <w:rPr>
          <w:rStyle w:val="Hiperligao"/>
          <w:sz w:val="20"/>
          <w:szCs w:val="20"/>
        </w:rPr>
      </w:pPr>
      <w:r w:rsidRPr="006623EA">
        <w:rPr>
          <w:rFonts w:ascii="Times New Roman" w:hAnsi="Times New Roman" w:cs="Times New Roman"/>
          <w:i/>
          <w:iCs/>
        </w:rPr>
        <w:t>Mário Simões Barata</w:t>
      </w:r>
      <w:r w:rsidRPr="006623EA">
        <w:rPr>
          <w:rFonts w:ascii="Times New Roman" w:hAnsi="Times New Roman" w:cs="Times New Roman"/>
        </w:rPr>
        <w:t>, PhD</w:t>
      </w:r>
      <w:r w:rsidRPr="006623EA">
        <w:rPr>
          <w:i/>
          <w:iCs/>
        </w:rPr>
        <w:t xml:space="preserve">   </w:t>
      </w:r>
      <w:r w:rsidRPr="006623EA">
        <w:tab/>
      </w:r>
      <w:r w:rsidRPr="006623EA">
        <w:tab/>
      </w:r>
      <w:r w:rsidRPr="006623EA">
        <w:tab/>
      </w:r>
      <w:hyperlink r:id="rId9" w:history="1">
        <w:r w:rsidRPr="006623EA">
          <w:rPr>
            <w:rStyle w:val="Hiperligao"/>
            <w:sz w:val="20"/>
            <w:szCs w:val="20"/>
          </w:rPr>
          <w:t>mario.barata@ipleiria.pt</w:t>
        </w:r>
      </w:hyperlink>
    </w:p>
    <w:p w14:paraId="1BFC7E2D" w14:textId="4081349A" w:rsidR="00F44414" w:rsidRPr="006623EA" w:rsidRDefault="00F44414" w:rsidP="00207533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Dora Resende Alves,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10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3EECA730" w14:textId="77777777" w:rsidR="00207533" w:rsidRPr="006B0A59" w:rsidRDefault="00207533" w:rsidP="00207533">
      <w:pPr>
        <w:spacing w:line="360" w:lineRule="auto"/>
        <w:ind w:firstLine="708"/>
        <w:jc w:val="both"/>
      </w:pP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46BEC62B" w14:textId="77777777" w:rsidR="006623EA" w:rsidRPr="006623EA" w:rsidRDefault="006623EA" w:rsidP="006623EA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0ED04A4" w14:textId="09FBB516" w:rsidR="00163401" w:rsidRPr="006623EA" w:rsidRDefault="00163401" w:rsidP="00207533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</w:pPr>
      <w:r w:rsidRPr="006623EA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>Politécnico de Leiria. Instituto Jurídico Portucalense - Pólo de Leiria, Portugal</w:t>
      </w: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33F37B9A" w14:textId="27E56D1B" w:rsidR="00420B86" w:rsidRPr="00420B86" w:rsidRDefault="00420B86" w:rsidP="00420B86">
      <w:pPr>
        <w:pStyle w:val="PargrafodaLista"/>
        <w:numPr>
          <w:ilvl w:val="0"/>
          <w:numId w:val="7"/>
        </w:numPr>
        <w:rPr>
          <w:rFonts w:ascii="Open Sans" w:eastAsia="Times New Roman" w:hAnsi="Open Sans" w:cs="Open Sans"/>
          <w:color w:val="5E5E5E"/>
          <w:sz w:val="24"/>
          <w:szCs w:val="24"/>
        </w:rPr>
      </w:pPr>
      <w:r w:rsidRPr="00420B86">
        <w:rPr>
          <w:rFonts w:ascii="Open Sans" w:eastAsia="Times New Roman" w:hAnsi="Open Sans" w:cs="Open Sans"/>
          <w:color w:val="5E5E5E"/>
          <w:sz w:val="24"/>
          <w:szCs w:val="24"/>
        </w:rPr>
        <w:t>Democracia e Estado de Direito</w:t>
      </w:r>
    </w:p>
    <w:p w14:paraId="4FD091FF" w14:textId="77777777" w:rsidR="002A7133" w:rsidRDefault="002A7133" w:rsidP="007F351B">
      <w:pPr>
        <w:rPr>
          <w:b/>
          <w:bCs/>
        </w:rPr>
      </w:pPr>
    </w:p>
    <w:p w14:paraId="5AF60463" w14:textId="239989FD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  <w:r w:rsidR="008D2417">
        <w:rPr>
          <w:b/>
          <w:bCs/>
        </w:rPr>
        <w:t xml:space="preserve">   </w:t>
      </w:r>
    </w:p>
    <w:p w14:paraId="0F7A5561" w14:textId="77777777" w:rsidR="00D521A6" w:rsidRDefault="00D521A6" w:rsidP="00D521A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C12366">
        <w:rPr>
          <w:rFonts w:ascii="Garamond" w:hAnsi="Garamond"/>
          <w:sz w:val="24"/>
          <w:szCs w:val="24"/>
        </w:rPr>
        <w:lastRenderedPageBreak/>
        <w:t xml:space="preserve">A União Europeia </w:t>
      </w:r>
      <w:r>
        <w:rPr>
          <w:rFonts w:ascii="Garamond" w:hAnsi="Garamond"/>
          <w:sz w:val="24"/>
          <w:szCs w:val="24"/>
        </w:rPr>
        <w:t xml:space="preserve">(UE) </w:t>
      </w:r>
      <w:r w:rsidRPr="00C12366">
        <w:rPr>
          <w:rFonts w:ascii="Garamond" w:hAnsi="Garamond"/>
          <w:sz w:val="24"/>
          <w:szCs w:val="24"/>
        </w:rPr>
        <w:t>baseia-se num conjunto de valores (</w:t>
      </w:r>
      <w:r>
        <w:rPr>
          <w:rFonts w:ascii="Garamond" w:hAnsi="Garamond"/>
          <w:sz w:val="24"/>
          <w:szCs w:val="24"/>
        </w:rPr>
        <w:t>i.e.</w:t>
      </w:r>
      <w:r w:rsidRPr="00C12366">
        <w:rPr>
          <w:rFonts w:ascii="Garamond" w:hAnsi="Garamond"/>
          <w:sz w:val="24"/>
          <w:szCs w:val="24"/>
        </w:rPr>
        <w:t>, dignidade humana, liberdade, democracia, igualdade, Estado de direito e respeito pelos direitos humanos) que constituem a sua identidade, de acordo com o artigo 2</w:t>
      </w:r>
      <w:r>
        <w:rPr>
          <w:rFonts w:ascii="Garamond" w:hAnsi="Garamond"/>
          <w:sz w:val="24"/>
          <w:szCs w:val="24"/>
        </w:rPr>
        <w:t>.º do Tratado da União Europeia (TUE).</w:t>
      </w:r>
    </w:p>
    <w:p w14:paraId="632A1386" w14:textId="77777777" w:rsidR="00D521A6" w:rsidRDefault="00D521A6" w:rsidP="00D521A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C12366">
        <w:rPr>
          <w:rFonts w:ascii="Garamond" w:hAnsi="Garamond"/>
          <w:sz w:val="24"/>
          <w:szCs w:val="24"/>
        </w:rPr>
        <w:t>Entre estes valores, podemos encontrar o Estado de direito, que é</w:t>
      </w:r>
      <w:r>
        <w:rPr>
          <w:rFonts w:ascii="Garamond" w:hAnsi="Garamond"/>
          <w:sz w:val="24"/>
          <w:szCs w:val="24"/>
        </w:rPr>
        <w:t xml:space="preserve"> também</w:t>
      </w:r>
      <w:r w:rsidRPr="00C12366">
        <w:rPr>
          <w:rFonts w:ascii="Garamond" w:hAnsi="Garamond"/>
          <w:sz w:val="24"/>
          <w:szCs w:val="24"/>
        </w:rPr>
        <w:t xml:space="preserve"> um princípio de direito constitucional que foi europeizado através dos Tratados </w:t>
      </w:r>
      <w:proofErr w:type="spellStart"/>
      <w:r>
        <w:rPr>
          <w:rFonts w:ascii="Garamond" w:hAnsi="Garamond"/>
          <w:sz w:val="24"/>
          <w:szCs w:val="24"/>
        </w:rPr>
        <w:t>institutivos</w:t>
      </w:r>
      <w:proofErr w:type="spellEnd"/>
      <w:r>
        <w:rPr>
          <w:rFonts w:ascii="Garamond" w:hAnsi="Garamond"/>
          <w:sz w:val="24"/>
          <w:szCs w:val="24"/>
        </w:rPr>
        <w:t xml:space="preserve"> onde podemos encontrar referências implícitas e explícitas ao mesmo. </w:t>
      </w:r>
      <w:r w:rsidRPr="006E62B7">
        <w:rPr>
          <w:rFonts w:ascii="Garamond" w:hAnsi="Garamond"/>
          <w:sz w:val="24"/>
          <w:szCs w:val="24"/>
        </w:rPr>
        <w:t>Assim, encontramos refer</w:t>
      </w:r>
      <w:r>
        <w:rPr>
          <w:rFonts w:ascii="Garamond" w:hAnsi="Garamond"/>
          <w:sz w:val="24"/>
          <w:szCs w:val="24"/>
        </w:rPr>
        <w:t>ê</w:t>
      </w:r>
      <w:r w:rsidRPr="006E62B7">
        <w:rPr>
          <w:rFonts w:ascii="Garamond" w:hAnsi="Garamond"/>
          <w:sz w:val="24"/>
          <w:szCs w:val="24"/>
        </w:rPr>
        <w:t>ncias exp</w:t>
      </w:r>
      <w:r>
        <w:rPr>
          <w:rFonts w:ascii="Garamond" w:hAnsi="Garamond"/>
          <w:sz w:val="24"/>
          <w:szCs w:val="24"/>
        </w:rPr>
        <w:t>ress</w:t>
      </w:r>
      <w:r w:rsidRPr="006E62B7">
        <w:rPr>
          <w:rFonts w:ascii="Garamond" w:hAnsi="Garamond"/>
          <w:sz w:val="24"/>
          <w:szCs w:val="24"/>
        </w:rPr>
        <w:t>as ao mesmo no pre</w:t>
      </w:r>
      <w:r>
        <w:rPr>
          <w:rFonts w:ascii="Garamond" w:hAnsi="Garamond"/>
          <w:sz w:val="24"/>
          <w:szCs w:val="24"/>
        </w:rPr>
        <w:t>â</w:t>
      </w:r>
      <w:r w:rsidRPr="006E62B7">
        <w:rPr>
          <w:rFonts w:ascii="Garamond" w:hAnsi="Garamond"/>
          <w:sz w:val="24"/>
          <w:szCs w:val="24"/>
        </w:rPr>
        <w:t>mbulo e nos artigos 2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º, 19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º, n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 1, 21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º, nºs 1 e 2, do TUE bem como no pre</w:t>
      </w:r>
      <w:r>
        <w:rPr>
          <w:rFonts w:ascii="Garamond" w:hAnsi="Garamond"/>
          <w:sz w:val="24"/>
          <w:szCs w:val="24"/>
        </w:rPr>
        <w:t>â</w:t>
      </w:r>
      <w:r w:rsidRPr="006E62B7">
        <w:rPr>
          <w:rFonts w:ascii="Garamond" w:hAnsi="Garamond"/>
          <w:sz w:val="24"/>
          <w:szCs w:val="24"/>
        </w:rPr>
        <w:t>mbulo e no artigo 47º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 xml:space="preserve"> da Carta dos Direitos Fundamentais da União Europeia (CDFUE). Para além destas disposições, referências implícitas ao valor do Estado de direito</w:t>
      </w:r>
      <w:r>
        <w:rPr>
          <w:rFonts w:ascii="Garamond" w:hAnsi="Garamond"/>
          <w:sz w:val="24"/>
          <w:szCs w:val="24"/>
        </w:rPr>
        <w:t>, que surgem também como um princípio,</w:t>
      </w:r>
      <w:r w:rsidRPr="006E62B7">
        <w:rPr>
          <w:rFonts w:ascii="Garamond" w:hAnsi="Garamond"/>
          <w:sz w:val="24"/>
          <w:szCs w:val="24"/>
        </w:rPr>
        <w:t xml:space="preserve"> encontram-se </w:t>
      </w:r>
      <w:r>
        <w:rPr>
          <w:rFonts w:ascii="Garamond" w:hAnsi="Garamond"/>
          <w:sz w:val="24"/>
          <w:szCs w:val="24"/>
        </w:rPr>
        <w:t xml:space="preserve">ainda </w:t>
      </w:r>
      <w:r w:rsidRPr="006E62B7">
        <w:rPr>
          <w:rFonts w:ascii="Garamond" w:hAnsi="Garamond"/>
          <w:sz w:val="24"/>
          <w:szCs w:val="24"/>
        </w:rPr>
        <w:t>nos artigos 3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º, 7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º, 8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 e 49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 do TUE.</w:t>
      </w:r>
    </w:p>
    <w:p w14:paraId="603BD8BD" w14:textId="77777777" w:rsidR="00D521A6" w:rsidRDefault="00D521A6" w:rsidP="00D521A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C12366">
        <w:rPr>
          <w:rFonts w:ascii="Garamond" w:hAnsi="Garamond"/>
          <w:sz w:val="24"/>
          <w:szCs w:val="24"/>
        </w:rPr>
        <w:t xml:space="preserve">Embora o direito primário da UE não defina especificamente este valor, o seu significado pode ser encontrado no direito derivado da UE (ou seja, no Considerando 3 do Regulamento 2020/2092), que afirma que “o Estado de direito exige que todos os poderes públicos atuem dentro dos limites estabelecidos por lei, de acordo com os valores da democracia e o respeito pelos direitos fundamentais (...) sob o controlo de tribunais independentes e imparciais” e engloba os seguintes elementos fundamentais: princípios da legalidade; segurança jurídica; proibição da arbitrariedade; proteção judicial efetiva por tribunais independentes e imparciais; separação de poderes; não discriminação e igualdade perante a lei. </w:t>
      </w:r>
      <w:r>
        <w:rPr>
          <w:rFonts w:ascii="Garamond" w:hAnsi="Garamond"/>
          <w:sz w:val="24"/>
          <w:szCs w:val="24"/>
        </w:rPr>
        <w:t>Apesar do Tribunal de Justiça da União Europeia (TJUE) ter validado esta definição nos Acórdãos referentes aos Processos C- 156/21 e C-157/21, ambos de 16 de fevereiro de 2021, a doutrina entende que há dimensões do valor em falta, designadamente:</w:t>
      </w:r>
      <w:r w:rsidRPr="006E62B7">
        <w:rPr>
          <w:rFonts w:ascii="Times New Roman" w:hAnsi="Times New Roman" w:cs="Times New Roman"/>
          <w:kern w:val="2"/>
          <w:sz w:val="24"/>
          <w14:ligatures w14:val="standardContextual"/>
        </w:rPr>
        <w:t xml:space="preserve"> </w:t>
      </w:r>
      <w:r w:rsidRPr="006E62B7">
        <w:rPr>
          <w:rFonts w:ascii="Garamond" w:hAnsi="Garamond"/>
          <w:sz w:val="24"/>
          <w:szCs w:val="24"/>
        </w:rPr>
        <w:t>o acesso ao direito; segurança jurídica; proteção da confiança dos cidadãos; princípio da proibição do excesso (i.e., a proporcionalidade em sentido amplo).</w:t>
      </w:r>
    </w:p>
    <w:p w14:paraId="72F6BB6D" w14:textId="77777777" w:rsidR="00D521A6" w:rsidRDefault="00D521A6" w:rsidP="00D521A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C12366">
        <w:rPr>
          <w:rFonts w:ascii="Garamond" w:hAnsi="Garamond"/>
          <w:sz w:val="24"/>
          <w:szCs w:val="24"/>
        </w:rPr>
        <w:t>No entanto, verificou-se um</w:t>
      </w:r>
      <w:r>
        <w:rPr>
          <w:rFonts w:ascii="Garamond" w:hAnsi="Garamond"/>
          <w:sz w:val="24"/>
          <w:szCs w:val="24"/>
        </w:rPr>
        <w:t xml:space="preserve"> </w:t>
      </w:r>
      <w:r w:rsidRPr="00C12366">
        <w:rPr>
          <w:rFonts w:ascii="Garamond" w:hAnsi="Garamond"/>
          <w:sz w:val="24"/>
          <w:szCs w:val="24"/>
        </w:rPr>
        <w:t>retrocesso</w:t>
      </w:r>
      <w:r>
        <w:rPr>
          <w:rFonts w:ascii="Garamond" w:hAnsi="Garamond"/>
          <w:sz w:val="24"/>
          <w:szCs w:val="24"/>
        </w:rPr>
        <w:t xml:space="preserve"> na efetivação</w:t>
      </w:r>
      <w:r w:rsidRPr="00C12366">
        <w:rPr>
          <w:rFonts w:ascii="Garamond" w:hAnsi="Garamond"/>
          <w:sz w:val="24"/>
          <w:szCs w:val="24"/>
        </w:rPr>
        <w:t xml:space="preserve"> do Estado de direito na última década, nomeadamente</w:t>
      </w:r>
      <w:r>
        <w:rPr>
          <w:rFonts w:ascii="Garamond" w:hAnsi="Garamond"/>
          <w:sz w:val="24"/>
          <w:szCs w:val="24"/>
        </w:rPr>
        <w:t xml:space="preserve"> em países com</w:t>
      </w:r>
      <w:r w:rsidRPr="00C12366">
        <w:rPr>
          <w:rFonts w:ascii="Garamond" w:hAnsi="Garamond"/>
          <w:sz w:val="24"/>
          <w:szCs w:val="24"/>
        </w:rPr>
        <w:t xml:space="preserve"> a Hungria e a Polónia.</w:t>
      </w:r>
      <w:r>
        <w:rPr>
          <w:rFonts w:ascii="Garamond" w:hAnsi="Garamond"/>
          <w:sz w:val="24"/>
          <w:szCs w:val="24"/>
        </w:rPr>
        <w:t xml:space="preserve"> </w:t>
      </w:r>
      <w:r w:rsidRPr="00C12366">
        <w:rPr>
          <w:rFonts w:ascii="Garamond" w:hAnsi="Garamond"/>
          <w:sz w:val="24"/>
          <w:szCs w:val="24"/>
        </w:rPr>
        <w:t>As</w:t>
      </w:r>
      <w:r>
        <w:rPr>
          <w:rFonts w:ascii="Garamond" w:hAnsi="Garamond"/>
          <w:sz w:val="24"/>
          <w:szCs w:val="24"/>
        </w:rPr>
        <w:t xml:space="preserve"> </w:t>
      </w:r>
      <w:r w:rsidRPr="00C12366">
        <w:rPr>
          <w:rFonts w:ascii="Garamond" w:hAnsi="Garamond"/>
          <w:sz w:val="24"/>
          <w:szCs w:val="24"/>
        </w:rPr>
        <w:t xml:space="preserve">violações persistentes deste valor </w:t>
      </w:r>
      <w:r>
        <w:rPr>
          <w:rFonts w:ascii="Garamond" w:hAnsi="Garamond"/>
          <w:sz w:val="24"/>
          <w:szCs w:val="24"/>
        </w:rPr>
        <w:t xml:space="preserve">levaram à União Europeia a aperfeiçoar a sua “caixa de ferramentas” para lidar com este fenómeno. Nesse sentido, os </w:t>
      </w:r>
      <w:r w:rsidRPr="006E62B7">
        <w:rPr>
          <w:rFonts w:ascii="Garamond" w:hAnsi="Garamond"/>
          <w:sz w:val="24"/>
          <w:szCs w:val="24"/>
        </w:rPr>
        <w:t>meios de proteção</w:t>
      </w:r>
      <w:r>
        <w:rPr>
          <w:rFonts w:ascii="Garamond" w:hAnsi="Garamond"/>
          <w:sz w:val="24"/>
          <w:szCs w:val="24"/>
        </w:rPr>
        <w:t xml:space="preserve"> </w:t>
      </w:r>
      <w:r w:rsidRPr="006E62B7">
        <w:rPr>
          <w:rFonts w:ascii="Garamond" w:hAnsi="Garamond"/>
          <w:sz w:val="24"/>
          <w:szCs w:val="24"/>
        </w:rPr>
        <w:t>inclu</w:t>
      </w:r>
      <w:r>
        <w:rPr>
          <w:rFonts w:ascii="Garamond" w:hAnsi="Garamond"/>
          <w:sz w:val="24"/>
          <w:szCs w:val="24"/>
        </w:rPr>
        <w:t xml:space="preserve">em e acrescem </w:t>
      </w:r>
      <w:r w:rsidRPr="006E62B7">
        <w:rPr>
          <w:rFonts w:ascii="Garamond" w:hAnsi="Garamond"/>
          <w:sz w:val="24"/>
          <w:szCs w:val="24"/>
        </w:rPr>
        <w:t xml:space="preserve">medidas de natureza preventiva e corretiva. As medidas preventivas visam avaliar os riscos de uma eventual violação e consistem em pressionar politicamente os Estados envolvidos através do diálogo. </w:t>
      </w:r>
      <w:r w:rsidRPr="001A3F43">
        <w:rPr>
          <w:rFonts w:ascii="Garamond" w:hAnsi="Garamond"/>
          <w:sz w:val="24"/>
          <w:szCs w:val="24"/>
          <w:lang w:val="en-US"/>
        </w:rPr>
        <w:t xml:space="preserve">No âmbito das medidas preventivas, a doutrina alude aos seguintes instrumentos: “Rule of Law Report”; “EU Justice Scoreboard”; “Rule of Law Framework”; “Rule of Law Peer </w:t>
      </w:r>
      <w:r w:rsidRPr="001A3F43">
        <w:rPr>
          <w:rFonts w:ascii="Garamond" w:hAnsi="Garamond"/>
          <w:sz w:val="24"/>
          <w:szCs w:val="24"/>
          <w:lang w:val="en-US"/>
        </w:rPr>
        <w:lastRenderedPageBreak/>
        <w:t xml:space="preserve">Review”; “Rule of Law Dialogue”. </w:t>
      </w:r>
      <w:r w:rsidRPr="006E62B7">
        <w:rPr>
          <w:rFonts w:ascii="Garamond" w:hAnsi="Garamond"/>
          <w:sz w:val="24"/>
          <w:szCs w:val="24"/>
        </w:rPr>
        <w:t>Pelo contrário, as medidas corretivas visam evitar a futura deterioração do Estado de direito num determinado Estado-</w:t>
      </w:r>
      <w:r>
        <w:rPr>
          <w:rFonts w:ascii="Garamond" w:hAnsi="Garamond"/>
          <w:sz w:val="24"/>
          <w:szCs w:val="24"/>
        </w:rPr>
        <w:t>M</w:t>
      </w:r>
      <w:r w:rsidRPr="006E62B7">
        <w:rPr>
          <w:rFonts w:ascii="Garamond" w:hAnsi="Garamond"/>
          <w:sz w:val="24"/>
          <w:szCs w:val="24"/>
        </w:rPr>
        <w:t>embro através do recurso a sanções políticas e financeiras para disciplinar os Estados-</w:t>
      </w:r>
      <w:r>
        <w:rPr>
          <w:rFonts w:ascii="Garamond" w:hAnsi="Garamond"/>
          <w:sz w:val="24"/>
          <w:szCs w:val="24"/>
        </w:rPr>
        <w:t>M</w:t>
      </w:r>
      <w:r w:rsidRPr="006E62B7">
        <w:rPr>
          <w:rFonts w:ascii="Garamond" w:hAnsi="Garamond"/>
          <w:sz w:val="24"/>
          <w:szCs w:val="24"/>
        </w:rPr>
        <w:t>embros que persistem em violar o valor em questão.</w:t>
      </w:r>
      <w:r>
        <w:rPr>
          <w:rFonts w:ascii="Garamond" w:hAnsi="Garamond"/>
          <w:sz w:val="24"/>
          <w:szCs w:val="24"/>
        </w:rPr>
        <w:t xml:space="preserve"> Assim, </w:t>
      </w:r>
      <w:r w:rsidRPr="006E62B7">
        <w:rPr>
          <w:rFonts w:ascii="Garamond" w:hAnsi="Garamond"/>
          <w:sz w:val="24"/>
          <w:szCs w:val="24"/>
        </w:rPr>
        <w:t>a UE pode recorrer TJUE e</w:t>
      </w:r>
      <w:r>
        <w:rPr>
          <w:rFonts w:ascii="Garamond" w:hAnsi="Garamond"/>
          <w:sz w:val="24"/>
          <w:szCs w:val="24"/>
        </w:rPr>
        <w:t xml:space="preserve"> chegar ao ponto de</w:t>
      </w:r>
      <w:r w:rsidRPr="006E62B7">
        <w:rPr>
          <w:rFonts w:ascii="Garamond" w:hAnsi="Garamond"/>
          <w:sz w:val="24"/>
          <w:szCs w:val="24"/>
        </w:rPr>
        <w:t xml:space="preserve"> suspender pagamentos bem como direitos de voto. Est</w:t>
      </w:r>
      <w:r>
        <w:rPr>
          <w:rFonts w:ascii="Garamond" w:hAnsi="Garamond"/>
          <w:sz w:val="24"/>
          <w:szCs w:val="24"/>
        </w:rPr>
        <w:t xml:space="preserve">es meios de proteção </w:t>
      </w:r>
      <w:r w:rsidRPr="006E62B7">
        <w:rPr>
          <w:rFonts w:ascii="Garamond" w:hAnsi="Garamond"/>
          <w:sz w:val="24"/>
          <w:szCs w:val="24"/>
        </w:rPr>
        <w:t>visam evitar futuras violações do valor relativo ao Estado de direito e abarcam: a ação de incumprimento</w:t>
      </w:r>
      <w:r>
        <w:rPr>
          <w:rFonts w:ascii="Garamond" w:hAnsi="Garamond"/>
          <w:sz w:val="24"/>
          <w:szCs w:val="24"/>
        </w:rPr>
        <w:t xml:space="preserve"> prevista nos artigos 258.º a 260.º do Tratado sobre o Funcionamento da União Europeia (TFUE)</w:t>
      </w:r>
      <w:r w:rsidRPr="006E62B7">
        <w:rPr>
          <w:rFonts w:ascii="Garamond" w:hAnsi="Garamond"/>
          <w:sz w:val="24"/>
          <w:szCs w:val="24"/>
        </w:rPr>
        <w:t xml:space="preserve">; </w:t>
      </w:r>
      <w:r>
        <w:rPr>
          <w:rFonts w:ascii="Garamond" w:hAnsi="Garamond"/>
          <w:sz w:val="24"/>
          <w:szCs w:val="24"/>
        </w:rPr>
        <w:t>o mecanismo da</w:t>
      </w:r>
      <w:r w:rsidRPr="006E62B7">
        <w:rPr>
          <w:rFonts w:ascii="Garamond" w:hAnsi="Garamond"/>
          <w:sz w:val="24"/>
          <w:szCs w:val="24"/>
        </w:rPr>
        <w:t xml:space="preserve"> condicionalidade</w:t>
      </w:r>
      <w:r>
        <w:rPr>
          <w:rFonts w:ascii="Garamond" w:hAnsi="Garamond"/>
          <w:sz w:val="24"/>
          <w:szCs w:val="24"/>
        </w:rPr>
        <w:t xml:space="preserve"> previsto em regulamento</w:t>
      </w:r>
      <w:r w:rsidRPr="006E62B7">
        <w:rPr>
          <w:rFonts w:ascii="Garamond" w:hAnsi="Garamond"/>
          <w:sz w:val="24"/>
          <w:szCs w:val="24"/>
        </w:rPr>
        <w:t xml:space="preserve">; </w:t>
      </w:r>
      <w:r>
        <w:rPr>
          <w:rFonts w:ascii="Garamond" w:hAnsi="Garamond"/>
          <w:sz w:val="24"/>
          <w:szCs w:val="24"/>
        </w:rPr>
        <w:t xml:space="preserve">o </w:t>
      </w:r>
      <w:r w:rsidRPr="006E62B7">
        <w:rPr>
          <w:rFonts w:ascii="Garamond" w:hAnsi="Garamond"/>
          <w:sz w:val="24"/>
          <w:szCs w:val="24"/>
        </w:rPr>
        <w:t>artigo 7</w:t>
      </w:r>
      <w:r>
        <w:rPr>
          <w:rFonts w:ascii="Garamond" w:hAnsi="Garamond"/>
          <w:sz w:val="24"/>
          <w:szCs w:val="24"/>
        </w:rPr>
        <w:t>.</w:t>
      </w:r>
      <w:r w:rsidRPr="006E62B7">
        <w:rPr>
          <w:rFonts w:ascii="Garamond" w:hAnsi="Garamond"/>
          <w:sz w:val="24"/>
          <w:szCs w:val="24"/>
        </w:rPr>
        <w:t>º do TUE</w:t>
      </w:r>
      <w:r>
        <w:rPr>
          <w:rFonts w:ascii="Garamond" w:hAnsi="Garamond"/>
          <w:sz w:val="24"/>
          <w:szCs w:val="24"/>
        </w:rPr>
        <w:t xml:space="preserve"> para uma resposta política</w:t>
      </w:r>
      <w:r w:rsidRPr="006E62B7">
        <w:rPr>
          <w:rFonts w:ascii="Garamond" w:hAnsi="Garamond"/>
          <w:sz w:val="24"/>
          <w:szCs w:val="24"/>
        </w:rPr>
        <w:t>.</w:t>
      </w:r>
    </w:p>
    <w:p w14:paraId="75483FE2" w14:textId="514F476F" w:rsidR="00B50273" w:rsidRPr="00037719" w:rsidRDefault="00D521A6" w:rsidP="0003771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Em suma, esta comunicação visa explicar o valor e princípio do Estado de direito na União Europeia, bem como analisar os principais meios de proteção deste valor que está na base da identidade europeia.</w:t>
      </w:r>
    </w:p>
    <w:p w14:paraId="4BE2BF4F" w14:textId="18350789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D521A6" w:rsidRPr="00D521A6">
        <w:t>valor;</w:t>
      </w:r>
      <w:r w:rsidR="00D521A6">
        <w:rPr>
          <w:b/>
          <w:bCs/>
        </w:rPr>
        <w:t xml:space="preserve"> </w:t>
      </w:r>
      <w:r w:rsidR="00420B86">
        <w:t>Estado de direito</w:t>
      </w:r>
      <w:r w:rsidR="00C9780B" w:rsidRPr="00C9780B">
        <w:t>; União Europeia</w:t>
      </w:r>
      <w:r w:rsidR="00D521A6">
        <w:t xml:space="preserve">; </w:t>
      </w:r>
      <w:r w:rsidR="00D521A6" w:rsidRPr="00D521A6">
        <w:t>Tribunal de Justiça da União Europeia</w:t>
      </w:r>
      <w:r w:rsidR="00D521A6">
        <w:t>.</w:t>
      </w:r>
    </w:p>
    <w:p w14:paraId="1CFC0783" w14:textId="77777777" w:rsidR="00207533" w:rsidRDefault="00207533" w:rsidP="00207533">
      <w:pPr>
        <w:spacing w:line="360" w:lineRule="auto"/>
        <w:jc w:val="both"/>
      </w:pPr>
    </w:p>
    <w:p w14:paraId="75116BBB" w14:textId="385EDC25" w:rsidR="00E4192F" w:rsidRPr="00E4192F" w:rsidRDefault="00207533" w:rsidP="00E4192F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2A503134" w14:textId="6655E1A7" w:rsidR="00E67930" w:rsidRPr="00E67930" w:rsidRDefault="0071700E" w:rsidP="0071700E">
      <w:pPr>
        <w:spacing w:line="240" w:lineRule="auto"/>
        <w:jc w:val="both"/>
        <w:rPr>
          <w:rFonts w:cstheme="minorHAnsi"/>
        </w:rPr>
      </w:pPr>
      <w:r w:rsidRPr="008207F0">
        <w:rPr>
          <w:rFonts w:cstheme="minorHAnsi"/>
        </w:rPr>
        <w:t xml:space="preserve">Barata, M. S., &amp; Alves, D. R. (2023). </w:t>
      </w:r>
      <w:r w:rsidRPr="00FA2091">
        <w:rPr>
          <w:rFonts w:cstheme="minorHAnsi"/>
        </w:rPr>
        <w:t>Democracia e Estado de Direito na União Europeia: O papel do TJUE</w:t>
      </w:r>
      <w:r w:rsidRPr="007B68E3">
        <w:rPr>
          <w:rFonts w:cstheme="minorHAnsi"/>
          <w:i/>
          <w:iCs/>
        </w:rPr>
        <w:t>.</w:t>
      </w:r>
      <w:r w:rsidRPr="008207F0">
        <w:rPr>
          <w:rFonts w:cstheme="minorHAnsi"/>
        </w:rPr>
        <w:t xml:space="preserve"> In S. S. Monteiro, C. M. Cebola, &amp; F. S. Veiga (</w:t>
      </w:r>
      <w:proofErr w:type="spellStart"/>
      <w:r w:rsidRPr="008207F0">
        <w:rPr>
          <w:rFonts w:cstheme="minorHAnsi"/>
        </w:rPr>
        <w:t>Coords</w:t>
      </w:r>
      <w:proofErr w:type="spellEnd"/>
      <w:r w:rsidRPr="008207F0">
        <w:rPr>
          <w:rFonts w:cstheme="minorHAnsi"/>
        </w:rPr>
        <w:t xml:space="preserve">), [Atas de conferência] </w:t>
      </w:r>
      <w:r w:rsidRPr="00FA2091">
        <w:rPr>
          <w:rFonts w:cstheme="minorHAnsi"/>
          <w:i/>
          <w:iCs/>
        </w:rPr>
        <w:t>Direitos Humanos, Cidadania Global e Desenvolvimento Sustentável</w:t>
      </w:r>
      <w:r w:rsidRPr="008207F0">
        <w:rPr>
          <w:rFonts w:cstheme="minorHAnsi"/>
        </w:rPr>
        <w:t xml:space="preserve">, Leiria, 7 dezembro 2022, (pp. 410-420). </w:t>
      </w:r>
      <w:proofErr w:type="spellStart"/>
      <w:r w:rsidRPr="008207F0">
        <w:rPr>
          <w:rFonts w:cstheme="minorHAnsi"/>
        </w:rPr>
        <w:t>Iberojur</w:t>
      </w:r>
      <w:proofErr w:type="spellEnd"/>
      <w:r w:rsidRPr="008207F0">
        <w:rPr>
          <w:rFonts w:cstheme="minorHAnsi"/>
        </w:rPr>
        <w:t xml:space="preserve">. Repositório Institucional UPT. </w:t>
      </w:r>
      <w:hyperlink r:id="rId11" w:history="1">
        <w:r w:rsidRPr="008207F0">
          <w:rPr>
            <w:rStyle w:val="Hiperligao"/>
            <w:rFonts w:cstheme="minorHAnsi"/>
          </w:rPr>
          <w:t>http://hdl.handle.net/11328/5096</w:t>
        </w:r>
      </w:hyperlink>
      <w:r>
        <w:rPr>
          <w:rFonts w:cstheme="minorHAnsi"/>
        </w:rPr>
        <w:t xml:space="preserve"> </w:t>
      </w:r>
      <w:r w:rsidRPr="00C15C2B">
        <w:rPr>
          <w:b/>
          <w:bCs/>
        </w:rPr>
        <w:t>ISBN:</w:t>
      </w:r>
      <w:r>
        <w:t xml:space="preserve"> </w:t>
      </w:r>
      <w:r w:rsidRPr="00C15C2B">
        <w:t>978-989-35052-0-5</w:t>
      </w:r>
      <w:r>
        <w:t xml:space="preserve"> </w:t>
      </w:r>
      <w:r w:rsidRPr="00EF4D71">
        <w:rPr>
          <w:b/>
          <w:bCs/>
        </w:rPr>
        <w:t>Acesso:</w:t>
      </w:r>
      <w:r>
        <w:t xml:space="preserve"> </w:t>
      </w:r>
      <w:hyperlink r:id="rId12" w:history="1">
        <w:r w:rsidRPr="00DE6570">
          <w:rPr>
            <w:rStyle w:val="Hiperligao"/>
          </w:rPr>
          <w:t>https://iconline.ipleiria.pt/bitstream/10400.8/8958/1/A_promoA_A_o_dos_direitos_humanos_pelo_olhar_de_estudantes_do_ensino_superior.pdf</w:t>
        </w:r>
      </w:hyperlink>
      <w:r>
        <w:t xml:space="preserve"> </w:t>
      </w:r>
    </w:p>
    <w:p w14:paraId="563C3EC6" w14:textId="560342C1" w:rsidR="00E67930" w:rsidRPr="00E67930" w:rsidRDefault="00E67930" w:rsidP="00E67930">
      <w:pPr>
        <w:spacing w:line="240" w:lineRule="auto"/>
        <w:jc w:val="both"/>
      </w:pPr>
      <w:r w:rsidRPr="00980C4F">
        <w:t xml:space="preserve">Barata, M. S., &amp; Alves, D. R. (2023). </w:t>
      </w:r>
      <w:r w:rsidRPr="00C0005A">
        <w:t>Crise nas democracias europeias: Que risco para o Estado de Direito? A situação da Hungria</w:t>
      </w:r>
      <w:r w:rsidRPr="00980C4F">
        <w:t>. In S. S. Monteiro, C. M. Cebola, &amp; E. Lucas (</w:t>
      </w:r>
      <w:proofErr w:type="spellStart"/>
      <w:r w:rsidRPr="00980C4F">
        <w:t>Coords</w:t>
      </w:r>
      <w:proofErr w:type="spellEnd"/>
      <w:r w:rsidRPr="00980C4F">
        <w:t xml:space="preserve">.), </w:t>
      </w:r>
      <w:r w:rsidRPr="00C0005A">
        <w:rPr>
          <w:i/>
          <w:iCs/>
        </w:rPr>
        <w:t>A União Europeia em tempos de crise: Direitos e políticas públicas de 2020 a 2023</w:t>
      </w:r>
      <w:r w:rsidRPr="00980C4F">
        <w:t>, (pp. 143-167). Almedina. Repositório Institucional UPT</w:t>
      </w:r>
      <w:r>
        <w:t>,</w:t>
      </w:r>
      <w:r w:rsidRPr="00980C4F">
        <w:t xml:space="preserve"> </w:t>
      </w:r>
      <w:hyperlink r:id="rId13" w:history="1">
        <w:r w:rsidRPr="00980C4F">
          <w:rPr>
            <w:rStyle w:val="Hiperligao"/>
          </w:rPr>
          <w:t>https://hdl.handle.net/11328/5320</w:t>
        </w:r>
      </w:hyperlink>
      <w:r>
        <w:t xml:space="preserve"> </w:t>
      </w:r>
      <w:bookmarkStart w:id="1" w:name="_Hlk177073926"/>
      <w:bookmarkStart w:id="2" w:name="_Hlk167377745"/>
      <w:r>
        <w:rPr>
          <w:b/>
          <w:bCs/>
        </w:rPr>
        <w:t xml:space="preserve">Acesso oficial: </w:t>
      </w:r>
      <w:hyperlink r:id="rId14" w:history="1">
        <w:r w:rsidRPr="007D2089">
          <w:rPr>
            <w:rStyle w:val="Hiperligao"/>
          </w:rPr>
          <w:t>https://www.almedina.net/oa-894015321-uniao</w:t>
        </w:r>
      </w:hyperlink>
      <w:r>
        <w:t xml:space="preserve"> </w:t>
      </w:r>
      <w:bookmarkEnd w:id="1"/>
      <w:r>
        <w:rPr>
          <w:b/>
          <w:bCs/>
        </w:rPr>
        <w:t xml:space="preserve"> </w:t>
      </w:r>
      <w:r w:rsidRPr="006432AA">
        <w:rPr>
          <w:b/>
          <w:bCs/>
        </w:rPr>
        <w:t>ISBN:</w:t>
      </w:r>
      <w:r>
        <w:t xml:space="preserve"> </w:t>
      </w:r>
      <w:r w:rsidRPr="006432AA">
        <w:t>978-989-40-1532-1</w:t>
      </w:r>
    </w:p>
    <w:bookmarkEnd w:id="2"/>
    <w:p w14:paraId="0B70D41A" w14:textId="5CD32F11" w:rsidR="00207533" w:rsidRDefault="00E67930" w:rsidP="00E67930">
      <w:pPr>
        <w:spacing w:line="240" w:lineRule="auto"/>
        <w:jc w:val="both"/>
      </w:pPr>
      <w:r w:rsidRPr="00A077DF">
        <w:t xml:space="preserve">Pacheco, M. F. C. T. M., &amp; Alves, D. R. (2021). </w:t>
      </w:r>
      <w:r w:rsidRPr="00F74968">
        <w:t>O TJUE enquanto guardião do estado de Direito: reine a justiça e pereçam os que a ameaçam</w:t>
      </w:r>
      <w:r w:rsidRPr="00A077DF">
        <w:t xml:space="preserve"> [</w:t>
      </w:r>
      <w:proofErr w:type="spellStart"/>
      <w:r w:rsidRPr="00A077DF">
        <w:t>abstract</w:t>
      </w:r>
      <w:proofErr w:type="spellEnd"/>
      <w:r w:rsidRPr="00A077DF">
        <w:t xml:space="preserve">]. In M. R. Henriques, D. S. Castilhos, I, V. Figueiredo, &amp; P. V. Figueiredo (Eds.), </w:t>
      </w:r>
      <w:r w:rsidRPr="00F74968">
        <w:rPr>
          <w:i/>
          <w:iCs/>
        </w:rPr>
        <w:t>Atas do Congresso Internacional sobre Democracia e Justiça no Século XXI</w:t>
      </w:r>
      <w:r w:rsidRPr="00A077DF">
        <w:t xml:space="preserve"> (JUST2021), (pp. 183-183). Coimbra; São Paulo: JUS.XXI. doi (</w:t>
      </w:r>
      <w:proofErr w:type="spellStart"/>
      <w:r w:rsidRPr="00A077DF">
        <w:t>ebook</w:t>
      </w:r>
      <w:proofErr w:type="spellEnd"/>
      <w:r w:rsidRPr="00A077DF">
        <w:t xml:space="preserve">): http://doi.org/10.51389/ZRAD3055. Disponível no Repositório UPT, </w:t>
      </w:r>
      <w:hyperlink r:id="rId15" w:history="1">
        <w:r w:rsidRPr="00A077DF">
          <w:rPr>
            <w:rStyle w:val="Hiperligao"/>
          </w:rPr>
          <w:t>http://hdl.handle.net/11328/3968</w:t>
        </w:r>
      </w:hyperlink>
      <w:r w:rsidRPr="00A077DF">
        <w:t xml:space="preserve"> </w:t>
      </w:r>
      <w:r w:rsidRPr="00A077DF">
        <w:rPr>
          <w:b/>
          <w:bCs/>
        </w:rPr>
        <w:t xml:space="preserve"> ISBN:</w:t>
      </w:r>
      <w:r w:rsidRPr="00A077DF">
        <w:t xml:space="preserve"> 978-989-54998-4-7 (</w:t>
      </w:r>
      <w:proofErr w:type="spellStart"/>
      <w:r w:rsidRPr="00A077DF">
        <w:t>eBook</w:t>
      </w:r>
      <w:proofErr w:type="spellEnd"/>
      <w:r w:rsidRPr="00A077DF">
        <w:t>)</w:t>
      </w:r>
    </w:p>
    <w:p w14:paraId="230131CE" w14:textId="14AA68EF" w:rsidR="00370035" w:rsidRDefault="00370035" w:rsidP="00370035">
      <w:pPr>
        <w:spacing w:line="240" w:lineRule="auto"/>
        <w:jc w:val="both"/>
      </w:pPr>
      <w:r w:rsidRPr="00980C4F">
        <w:t>Alves, D. R., Castilhos, D. S., &amp; Xavier, A, M. C. (2021</w:t>
      </w:r>
      <w:r w:rsidRPr="00560238">
        <w:t>)</w:t>
      </w:r>
      <w:r w:rsidRPr="00D26490">
        <w:rPr>
          <w:i/>
          <w:iCs/>
        </w:rPr>
        <w:t xml:space="preserve">. </w:t>
      </w:r>
      <w:r w:rsidRPr="0075466C">
        <w:t>O Estado de Direito e a sua violação na Hungria</w:t>
      </w:r>
      <w:r w:rsidRPr="00D26490">
        <w:rPr>
          <w:i/>
          <w:iCs/>
        </w:rPr>
        <w:t>.</w:t>
      </w:r>
      <w:r w:rsidRPr="00980C4F">
        <w:t xml:space="preserve"> </w:t>
      </w:r>
      <w:r w:rsidRPr="0075466C">
        <w:rPr>
          <w:i/>
          <w:iCs/>
        </w:rPr>
        <w:t>Revista Eletrônica da Faculdade de Direito de Franca</w:t>
      </w:r>
      <w:r w:rsidRPr="00980C4F">
        <w:t xml:space="preserve">, 16(2), dez. 2021, 1-30. doi: 10.21207/1983-4225.2021.1319. Disponível no Repositório UPT, </w:t>
      </w:r>
      <w:hyperlink r:id="rId16" w:history="1">
        <w:r w:rsidRPr="007809E6">
          <w:rPr>
            <w:rStyle w:val="Hiperligao"/>
          </w:rPr>
          <w:t>http://hdl.handle.net/11328/3870</w:t>
        </w:r>
      </w:hyperlink>
      <w:r w:rsidRPr="00980C4F">
        <w:t xml:space="preserve"> </w:t>
      </w:r>
      <w:r>
        <w:t xml:space="preserve"> </w:t>
      </w:r>
      <w:r>
        <w:rPr>
          <w:b/>
          <w:bCs/>
        </w:rPr>
        <w:t xml:space="preserve">ISSN: </w:t>
      </w:r>
      <w:r w:rsidRPr="008D401D">
        <w:t>1983-4225</w:t>
      </w:r>
      <w:r>
        <w:t xml:space="preserve"> </w:t>
      </w:r>
      <w:r w:rsidRPr="003B5E65">
        <w:rPr>
          <w:b/>
          <w:bCs/>
        </w:rPr>
        <w:t xml:space="preserve">Acesso oficial: </w:t>
      </w:r>
      <w:hyperlink r:id="rId17" w:history="1">
        <w:r w:rsidRPr="007809E6">
          <w:rPr>
            <w:rStyle w:val="Hiperligao"/>
          </w:rPr>
          <w:t>https://www.revista.direitofranca.br/index.php/refdf/article/view/1319</w:t>
        </w:r>
      </w:hyperlink>
      <w:r>
        <w:t xml:space="preserve">  </w:t>
      </w:r>
    </w:p>
    <w:p w14:paraId="50994804" w14:textId="77777777" w:rsidR="00370035" w:rsidRPr="00673602" w:rsidRDefault="00370035" w:rsidP="00370035">
      <w:pPr>
        <w:spacing w:line="240" w:lineRule="auto"/>
        <w:jc w:val="both"/>
      </w:pPr>
      <w:r w:rsidRPr="00673602">
        <w:lastRenderedPageBreak/>
        <w:t xml:space="preserve">Alves, D. R., &amp; Trindade, C. F. G. (2019). </w:t>
      </w:r>
      <w:r w:rsidRPr="005D54B2">
        <w:t xml:space="preserve">Do artigo 7º do </w:t>
      </w:r>
      <w:r>
        <w:t>T</w:t>
      </w:r>
      <w:r w:rsidRPr="005D54B2">
        <w:t>ratado da União Europeia na situação da Polónia.</w:t>
      </w:r>
      <w:r w:rsidRPr="00673602">
        <w:t xml:space="preserve"> In R. M. Gonçalves, &amp; F. S. Veiga (</w:t>
      </w:r>
      <w:proofErr w:type="spellStart"/>
      <w:r w:rsidRPr="00673602">
        <w:t>dirs</w:t>
      </w:r>
      <w:proofErr w:type="spellEnd"/>
      <w:r w:rsidRPr="00673602">
        <w:t>.); P. Brito (</w:t>
      </w:r>
      <w:proofErr w:type="spellStart"/>
      <w:r w:rsidRPr="00673602">
        <w:t>Coord</w:t>
      </w:r>
      <w:proofErr w:type="spellEnd"/>
      <w:r w:rsidRPr="00673602">
        <w:t xml:space="preserve">.), </w:t>
      </w:r>
      <w:proofErr w:type="spellStart"/>
      <w:r w:rsidRPr="005D54B2">
        <w:rPr>
          <w:i/>
          <w:iCs/>
        </w:rPr>
        <w:t>Estudios</w:t>
      </w:r>
      <w:proofErr w:type="spellEnd"/>
      <w:r w:rsidRPr="005D54B2">
        <w:rPr>
          <w:i/>
          <w:iCs/>
        </w:rPr>
        <w:t xml:space="preserve"> de </w:t>
      </w:r>
      <w:proofErr w:type="spellStart"/>
      <w:r w:rsidRPr="005D54B2">
        <w:rPr>
          <w:i/>
          <w:iCs/>
        </w:rPr>
        <w:t>Derecho</w:t>
      </w:r>
      <w:proofErr w:type="spellEnd"/>
      <w:r w:rsidRPr="005D54B2">
        <w:rPr>
          <w:i/>
          <w:iCs/>
        </w:rPr>
        <w:t xml:space="preserve"> </w:t>
      </w:r>
      <w:proofErr w:type="spellStart"/>
      <w:r w:rsidRPr="005D54B2">
        <w:rPr>
          <w:i/>
          <w:iCs/>
        </w:rPr>
        <w:t>Iberoamericano</w:t>
      </w:r>
      <w:proofErr w:type="spellEnd"/>
      <w:r w:rsidRPr="00673602">
        <w:t xml:space="preserve"> (vol. 3, pp. 695-710). Porto: Universidade Lusófona do Porto. Disponível no Repositório UPT, </w:t>
      </w:r>
      <w:hyperlink r:id="rId18" w:history="1">
        <w:r w:rsidRPr="00673602">
          <w:rPr>
            <w:rStyle w:val="Hiperligao"/>
          </w:rPr>
          <w:t>http://hdl.handle.net/11328/2860</w:t>
        </w:r>
      </w:hyperlink>
      <w:r w:rsidRPr="00673602">
        <w:t xml:space="preserve">  </w:t>
      </w:r>
      <w:r w:rsidRPr="00673602">
        <w:rPr>
          <w:b/>
          <w:bCs/>
        </w:rPr>
        <w:t>ISBN:</w:t>
      </w:r>
      <w:r w:rsidRPr="00673602">
        <w:t xml:space="preserve"> 978-84-09-13678-0</w:t>
      </w:r>
    </w:p>
    <w:p w14:paraId="3F44FDE5" w14:textId="77777777" w:rsidR="00E67930" w:rsidRDefault="00E67930" w:rsidP="00E67930">
      <w:pPr>
        <w:spacing w:line="240" w:lineRule="auto"/>
        <w:jc w:val="both"/>
      </w:pPr>
    </w:p>
    <w:p w14:paraId="5E163C1C" w14:textId="4077B932" w:rsidR="00207533" w:rsidRDefault="00207533" w:rsidP="0020753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0BE77910" w14:textId="5D0B60DF" w:rsidR="009654C5" w:rsidRDefault="00420B86" w:rsidP="009654C5">
      <w:pPr>
        <w:spacing w:line="360" w:lineRule="auto"/>
        <w:jc w:val="both"/>
      </w:pPr>
      <w:proofErr w:type="spellStart"/>
      <w:r>
        <w:rPr>
          <w:rFonts w:ascii="Times New Roman" w:hAnsi="Times New Roman" w:cs="Times New Roman"/>
          <w:bCs/>
          <w:sz w:val="20"/>
          <w:szCs w:val="20"/>
        </w:rPr>
        <w:t>xxxxxxxxxxxxxxxxxxxx</w:t>
      </w:r>
      <w:proofErr w:type="spellEnd"/>
    </w:p>
    <w:p w14:paraId="121552F2" w14:textId="77777777" w:rsidR="009654C5" w:rsidRDefault="009654C5" w:rsidP="00C30B33">
      <w:pPr>
        <w:ind w:right="-1"/>
        <w:jc w:val="both"/>
        <w:rPr>
          <w:rFonts w:ascii="Garamond" w:hAnsi="Garamond"/>
          <w:bCs/>
          <w:sz w:val="24"/>
          <w:szCs w:val="24"/>
        </w:rPr>
      </w:pPr>
    </w:p>
    <w:p w14:paraId="76C0FCCD" w14:textId="0CAF1BAF" w:rsidR="00C129DB" w:rsidRDefault="007607D8" w:rsidP="00C9780B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dos autores</w:t>
      </w:r>
    </w:p>
    <w:p w14:paraId="11F05ED6" w14:textId="77777777" w:rsidR="00BB1895" w:rsidRPr="00BB1895" w:rsidRDefault="00BB1895" w:rsidP="00BB1895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BB1895">
        <w:rPr>
          <w:rFonts w:ascii="Times New Roman" w:hAnsi="Times New Roman" w:cs="Times New Roman"/>
          <w:noProof/>
          <w:sz w:val="20"/>
          <w:szCs w:val="20"/>
          <w:u w:val="single"/>
        </w:rPr>
        <w:t>MÁRIO SIMÕES BARATA</w:t>
      </w:r>
    </w:p>
    <w:p w14:paraId="4D72F9CA" w14:textId="77777777" w:rsidR="00BB1895" w:rsidRP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Doutorado em Direito na especialidade de Ciências Jurídicas-Políticas na Universidade de Coimbra com a dissertação Formas de Federalismo e O Tratado de Lisboa: Confederação, Federação e Integração Europeia, cursou Ciência Política na </w:t>
      </w:r>
      <w:proofErr w:type="spellStart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McGIll</w:t>
      </w:r>
      <w:proofErr w:type="spellEnd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proofErr w:type="spellStart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University</w:t>
      </w:r>
      <w:proofErr w:type="spellEnd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(Canadá).</w:t>
      </w:r>
    </w:p>
    <w:p w14:paraId="4EE5ABDC" w14:textId="77777777" w:rsidR="00BB1895" w:rsidRP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No ano letivo 2001-2002 ingressou, como assistente, no Instituto Politécnico de Leiria.</w:t>
      </w:r>
    </w:p>
    <w:p w14:paraId="5BFF079D" w14:textId="411AA6F9" w:rsid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Atualmente, é Professor</w:t>
      </w:r>
      <w:r w:rsidR="00C81FD0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Coordenador</w:t>
      </w: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no Politécnico de Leiria e Investigador do Instituto Jurídico da Portucalense – Pólo de Leiria. Investiga e publica nas áreas de Ciência Política, Direito Constitucional, Direito da União Europeia e Direito do Trabalho.</w:t>
      </w:r>
    </w:p>
    <w:p w14:paraId="5D26909B" w14:textId="20AD8A91" w:rsidR="0057473E" w:rsidRDefault="00ED7D7F" w:rsidP="0057473E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hyperlink r:id="rId19" w:history="1">
        <w:r w:rsidR="0057473E" w:rsidRPr="00D609F1">
          <w:rPr>
            <w:rStyle w:val="Hiperligao"/>
            <w:rFonts w:asciiTheme="minorHAnsi" w:eastAsiaTheme="minorHAnsi" w:hAnsiTheme="minorHAnsi" w:cstheme="minorBidi"/>
            <w:sz w:val="20"/>
            <w:szCs w:val="20"/>
            <w:lang w:eastAsia="en-US"/>
          </w:rPr>
          <w:t>https://orcid.org/0000-0001-8512-1650</w:t>
        </w:r>
      </w:hyperlink>
      <w:r w:rsidR="0057473E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</w:p>
    <w:p w14:paraId="3CA9A7C1" w14:textId="77777777" w:rsidR="00132668" w:rsidRPr="00BB1895" w:rsidRDefault="00132668" w:rsidP="0057473E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</w:p>
    <w:p w14:paraId="7A47E3D0" w14:textId="5395711A" w:rsidR="00BB1895" w:rsidRDefault="00BB1895" w:rsidP="00132668">
      <w:pPr>
        <w:ind w:right="-1135"/>
        <w:jc w:val="right"/>
        <w:rPr>
          <w:b/>
          <w:bCs/>
        </w:rPr>
      </w:pPr>
      <w:r>
        <w:rPr>
          <w:noProof/>
        </w:rPr>
        <w:drawing>
          <wp:inline distT="0" distB="0" distL="0" distR="0" wp14:anchorId="40EA1EEF" wp14:editId="5B3ED57F">
            <wp:extent cx="1628775" cy="2009775"/>
            <wp:effectExtent l="0" t="0" r="9525" b="952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266D63" w14:textId="4F047D4D" w:rsidR="007607D8" w:rsidRDefault="00E2460B" w:rsidP="00C9780B">
      <w:pPr>
        <w:ind w:right="-1135"/>
        <w:jc w:val="both"/>
        <w:rPr>
          <w:b/>
          <w:bCs/>
        </w:rPr>
      </w:pPr>
      <w:r>
        <w:rPr>
          <w:b/>
          <w:bCs/>
        </w:rPr>
        <w:t>+</w:t>
      </w:r>
    </w:p>
    <w:p w14:paraId="72BD8BB4" w14:textId="6BCCCB16" w:rsidR="007607D8" w:rsidRDefault="00BB1895" w:rsidP="007607D8">
      <w:pPr>
        <w:rPr>
          <w:rFonts w:cs="Times New Roman"/>
        </w:rPr>
      </w:pPr>
      <w:r>
        <w:rPr>
          <w:noProof/>
        </w:rPr>
        <w:drawing>
          <wp:inline distT="0" distB="0" distL="0" distR="0" wp14:anchorId="1D090727" wp14:editId="3A7313D6">
            <wp:extent cx="1628775" cy="2009775"/>
            <wp:effectExtent l="0" t="0" r="9525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3" w:name="_Hlk45608775"/>
      <w:r w:rsidRPr="00997EDE">
        <w:rPr>
          <w:sz w:val="20"/>
          <w:szCs w:val="20"/>
        </w:rPr>
        <w:lastRenderedPageBreak/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3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1A3F43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22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4EEFBD43" w14:textId="77777777" w:rsidR="007607D8" w:rsidRPr="00654315" w:rsidRDefault="007607D8" w:rsidP="007607D8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23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5C1E57EF" w14:textId="77777777" w:rsidR="007607D8" w:rsidRDefault="007607D8" w:rsidP="00C9780B">
      <w:pPr>
        <w:ind w:right="-1135"/>
        <w:jc w:val="both"/>
        <w:rPr>
          <w:b/>
          <w:bCs/>
        </w:rPr>
      </w:pPr>
    </w:p>
    <w:p w14:paraId="2FDF7591" w14:textId="77777777" w:rsidR="00C129DB" w:rsidRDefault="00C129DB" w:rsidP="00C9780B">
      <w:pPr>
        <w:ind w:right="-1135"/>
        <w:jc w:val="both"/>
        <w:rPr>
          <w:b/>
          <w:bCs/>
        </w:rPr>
      </w:pPr>
    </w:p>
    <w:p w14:paraId="3BB3126F" w14:textId="64AF305E" w:rsidR="00C9780B" w:rsidRDefault="00C9780B" w:rsidP="00C9780B">
      <w:pPr>
        <w:ind w:right="-1135"/>
        <w:jc w:val="both"/>
        <w:rPr>
          <w:rFonts w:ascii="Times New Roman" w:hAnsi="Times New Roman" w:cs="Times New Roman"/>
        </w:rPr>
      </w:pPr>
      <w:r w:rsidRPr="003D78A8">
        <w:rPr>
          <w:rFonts w:ascii="Times New Roman" w:hAnsi="Times New Roman" w:cs="Times New Roman"/>
        </w:rPr>
        <w:t xml:space="preserve">  </w:t>
      </w:r>
    </w:p>
    <w:p w14:paraId="371726C6" w14:textId="77777777" w:rsidR="00C30B33" w:rsidRDefault="00C30B33" w:rsidP="00C9780B">
      <w:pPr>
        <w:ind w:right="-1135"/>
        <w:jc w:val="both"/>
        <w:rPr>
          <w:rFonts w:ascii="Times New Roman" w:hAnsi="Times New Roman" w:cs="Times New Roman"/>
          <w:noProof/>
        </w:rPr>
      </w:pPr>
    </w:p>
    <w:p w14:paraId="02DDBF20" w14:textId="0387C1B1" w:rsidR="00B4724B" w:rsidRDefault="00F44414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hAnsi="Open Sans" w:cs="Open Sans"/>
          <w:color w:val="5E5E5E"/>
        </w:rPr>
        <w:t>Evento</w:t>
      </w:r>
      <w:r w:rsidR="00B4724B">
        <w:rPr>
          <w:rStyle w:val="Forte"/>
          <w:rFonts w:ascii="Open Sans" w:hAnsi="Open Sans" w:cs="Open Sans"/>
          <w:color w:val="5E5E5E"/>
        </w:rPr>
        <w:t>:</w:t>
      </w:r>
      <w:r w:rsidR="00B4724B">
        <w:rPr>
          <w:rFonts w:ascii="Open Sans" w:hAnsi="Open Sans" w:cs="Open Sans"/>
          <w:color w:val="5E5E5E"/>
        </w:rPr>
        <w:t> </w:t>
      </w:r>
      <w:r w:rsidRPr="009355B5">
        <w:rPr>
          <w:rFonts w:ascii="Open Sans" w:hAnsi="Open Sans" w:cs="Open Sans"/>
          <w:color w:val="993300"/>
          <w:highlight w:val="yellow"/>
        </w:rPr>
        <w:t>2</w:t>
      </w:r>
      <w:r w:rsidR="0012030A">
        <w:rPr>
          <w:rFonts w:ascii="Open Sans" w:hAnsi="Open Sans" w:cs="Open Sans"/>
          <w:color w:val="993300"/>
          <w:highlight w:val="yellow"/>
        </w:rPr>
        <w:t>8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de </w:t>
      </w:r>
      <w:r w:rsidR="0012030A">
        <w:rPr>
          <w:rFonts w:ascii="Open Sans" w:hAnsi="Open Sans" w:cs="Open Sans"/>
          <w:color w:val="993300"/>
          <w:highlight w:val="yellow"/>
        </w:rPr>
        <w:t>feverei</w:t>
      </w:r>
      <w:r w:rsidR="00D9304E" w:rsidRPr="009355B5">
        <w:rPr>
          <w:rFonts w:ascii="Open Sans" w:hAnsi="Open Sans" w:cs="Open Sans"/>
          <w:color w:val="993300"/>
          <w:highlight w:val="yellow"/>
        </w:rPr>
        <w:t>ro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</w:t>
      </w:r>
      <w:r w:rsidRPr="009355B5">
        <w:rPr>
          <w:rFonts w:ascii="Open Sans" w:hAnsi="Open Sans" w:cs="Open Sans"/>
          <w:color w:val="993300"/>
          <w:highlight w:val="yellow"/>
        </w:rPr>
        <w:t>de 202</w:t>
      </w:r>
      <w:r w:rsidR="0012030A">
        <w:rPr>
          <w:rFonts w:ascii="Open Sans" w:hAnsi="Open Sans" w:cs="Open Sans"/>
          <w:color w:val="993300"/>
          <w:highlight w:val="yellow"/>
        </w:rPr>
        <w:t>5</w:t>
      </w:r>
    </w:p>
    <w:p w14:paraId="256B566A" w14:textId="77777777" w:rsidR="004064CC" w:rsidRDefault="004064CC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</w:p>
    <w:p w14:paraId="0FF9EEC4" w14:textId="5418B82D" w:rsidR="00B4724B" w:rsidRDefault="00B4724B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Limite para submissão do artigo completo</w:t>
      </w:r>
      <w:r>
        <w:rPr>
          <w:rFonts w:ascii="Open Sans" w:hAnsi="Open Sans" w:cs="Open Sans"/>
          <w:color w:val="5E5E5E"/>
        </w:rPr>
        <w:t xml:space="preserve">: </w:t>
      </w:r>
      <w:r w:rsidR="00420B86">
        <w:rPr>
          <w:rFonts w:ascii="Open Sans" w:hAnsi="Open Sans" w:cs="Open Sans"/>
          <w:color w:val="5E5E5E"/>
        </w:rPr>
        <w:t>28 de março de 2025</w:t>
      </w:r>
    </w:p>
    <w:p w14:paraId="04D65977" w14:textId="2E32DC36" w:rsidR="00140350" w:rsidRDefault="00140350" w:rsidP="002A7133"/>
    <w:p w14:paraId="595BC8D0" w14:textId="62871473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proofErr w:type="gramStart"/>
      <w:r>
        <w:rPr>
          <w:rStyle w:val="Forte"/>
          <w:rFonts w:ascii="Open Sans" w:hAnsi="Open Sans" w:cs="Open Sans"/>
          <w:color w:val="5E5E5E"/>
        </w:rPr>
        <w:t>PRAZO  FINAL</w:t>
      </w:r>
      <w:proofErr w:type="gramEnd"/>
      <w:r>
        <w:rPr>
          <w:rStyle w:val="Forte"/>
          <w:rFonts w:ascii="Open Sans" w:hAnsi="Open Sans" w:cs="Open Sans"/>
          <w:color w:val="5E5E5E"/>
        </w:rPr>
        <w:t xml:space="preserve"> DE ENVIO DE PROPOSTAS</w:t>
      </w:r>
      <w:r>
        <w:rPr>
          <w:rFonts w:ascii="Open Sans" w:hAnsi="Open Sans" w:cs="Open Sans"/>
          <w:color w:val="5E5E5E"/>
        </w:rPr>
        <w:t>: </w:t>
      </w:r>
      <w:r>
        <w:rPr>
          <w:rStyle w:val="Forte"/>
          <w:rFonts w:ascii="Open Sans" w:hAnsi="Open Sans" w:cs="Open Sans"/>
          <w:color w:val="C43333"/>
        </w:rPr>
        <w:t xml:space="preserve"> 12 de fevereiro </w:t>
      </w:r>
    </w:p>
    <w:p w14:paraId="3133B259" w14:textId="70F6D20E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Enviar resumos) a: </w:t>
      </w:r>
      <w:r>
        <w:rPr>
          <w:rFonts w:ascii="Open Sans" w:hAnsi="Open Sans" w:cs="Open Sans"/>
          <w:color w:val="0000FF"/>
        </w:rPr>
        <w:t>eventos@iberojur.com</w:t>
      </w:r>
      <w:r>
        <w:rPr>
          <w:rFonts w:ascii="Open Sans" w:hAnsi="Open Sans" w:cs="Open Sans"/>
          <w:color w:val="993300"/>
        </w:rPr>
        <w:t> </w:t>
      </w:r>
    </w:p>
    <w:p w14:paraId="274DD18E" w14:textId="449DB0F6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Divulgação da lista de aprovados</w:t>
      </w:r>
      <w:r>
        <w:rPr>
          <w:rFonts w:ascii="Open Sans" w:hAnsi="Open Sans" w:cs="Open Sans"/>
          <w:color w:val="5E5E5E"/>
        </w:rPr>
        <w:t>: </w:t>
      </w:r>
      <w:r>
        <w:rPr>
          <w:rFonts w:ascii="Open Sans" w:hAnsi="Open Sans" w:cs="Open Sans"/>
          <w:color w:val="993300"/>
        </w:rPr>
        <w:t xml:space="preserve">14 de fevereiro de 2025 </w:t>
      </w:r>
    </w:p>
    <w:p w14:paraId="6F6D0A87" w14:textId="758C6AC3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Prazo para inscrição no Congresso</w:t>
      </w:r>
      <w:r>
        <w:rPr>
          <w:rFonts w:ascii="Open Sans" w:hAnsi="Open Sans" w:cs="Open Sans"/>
          <w:color w:val="5E5E5E"/>
        </w:rPr>
        <w:t>: </w:t>
      </w:r>
      <w:r>
        <w:rPr>
          <w:rFonts w:ascii="Open Sans" w:hAnsi="Open Sans" w:cs="Open Sans"/>
          <w:color w:val="B57412"/>
        </w:rPr>
        <w:t xml:space="preserve">19 de fevereiro de 2025 </w:t>
      </w:r>
    </w:p>
    <w:p w14:paraId="4539C3FF" w14:textId="490BEA5D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Publicação do Programa:</w:t>
      </w:r>
      <w:r>
        <w:rPr>
          <w:rFonts w:ascii="Open Sans" w:hAnsi="Open Sans" w:cs="Open Sans"/>
          <w:color w:val="5E5E5E"/>
        </w:rPr>
        <w:t> </w:t>
      </w:r>
      <w:r>
        <w:rPr>
          <w:rFonts w:ascii="Open Sans" w:hAnsi="Open Sans" w:cs="Open Sans"/>
          <w:color w:val="993300"/>
        </w:rPr>
        <w:t xml:space="preserve"> 24 de fevereiro de 2025 </w:t>
      </w:r>
    </w:p>
    <w:p w14:paraId="7036BD02" w14:textId="77777777" w:rsidR="00140350" w:rsidRDefault="00140350" w:rsidP="002A7133"/>
    <w:sectPr w:rsidR="001403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8F150" w14:textId="77777777" w:rsidR="00ED7D7F" w:rsidRDefault="00ED7D7F" w:rsidP="00207533">
      <w:pPr>
        <w:spacing w:after="0" w:line="240" w:lineRule="auto"/>
      </w:pPr>
      <w:r>
        <w:separator/>
      </w:r>
    </w:p>
  </w:endnote>
  <w:endnote w:type="continuationSeparator" w:id="0">
    <w:p w14:paraId="462E2B81" w14:textId="77777777" w:rsidR="00ED7D7F" w:rsidRDefault="00ED7D7F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840DC" w14:textId="77777777" w:rsidR="00ED7D7F" w:rsidRDefault="00ED7D7F" w:rsidP="00207533">
      <w:pPr>
        <w:spacing w:after="0" w:line="240" w:lineRule="auto"/>
      </w:pPr>
      <w:r>
        <w:separator/>
      </w:r>
    </w:p>
  </w:footnote>
  <w:footnote w:type="continuationSeparator" w:id="0">
    <w:p w14:paraId="3CEA5FFA" w14:textId="77777777" w:rsidR="00ED7D7F" w:rsidRDefault="00ED7D7F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F45FC"/>
    <w:multiLevelType w:val="hybridMultilevel"/>
    <w:tmpl w:val="3D205862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94FA9"/>
    <w:multiLevelType w:val="multilevel"/>
    <w:tmpl w:val="B0043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7D33645"/>
    <w:multiLevelType w:val="multilevel"/>
    <w:tmpl w:val="70B08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5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37719"/>
    <w:rsid w:val="00055175"/>
    <w:rsid w:val="000879CF"/>
    <w:rsid w:val="000A1E8B"/>
    <w:rsid w:val="000C1EAB"/>
    <w:rsid w:val="000C7A56"/>
    <w:rsid w:val="0010164D"/>
    <w:rsid w:val="00102C2D"/>
    <w:rsid w:val="00116C72"/>
    <w:rsid w:val="0012030A"/>
    <w:rsid w:val="00132668"/>
    <w:rsid w:val="00140350"/>
    <w:rsid w:val="00154117"/>
    <w:rsid w:val="0015662A"/>
    <w:rsid w:val="00163401"/>
    <w:rsid w:val="00164031"/>
    <w:rsid w:val="00177E86"/>
    <w:rsid w:val="00183CE7"/>
    <w:rsid w:val="001A3F43"/>
    <w:rsid w:val="001B3DDF"/>
    <w:rsid w:val="001C5538"/>
    <w:rsid w:val="001D37C2"/>
    <w:rsid w:val="001F5CA4"/>
    <w:rsid w:val="00206805"/>
    <w:rsid w:val="00207533"/>
    <w:rsid w:val="00207D00"/>
    <w:rsid w:val="0021166E"/>
    <w:rsid w:val="00216189"/>
    <w:rsid w:val="00262E56"/>
    <w:rsid w:val="00265572"/>
    <w:rsid w:val="002A7133"/>
    <w:rsid w:val="002B4D2B"/>
    <w:rsid w:val="002E00D7"/>
    <w:rsid w:val="002F20E2"/>
    <w:rsid w:val="002F3B7D"/>
    <w:rsid w:val="00305A70"/>
    <w:rsid w:val="00310344"/>
    <w:rsid w:val="00312DAC"/>
    <w:rsid w:val="00333271"/>
    <w:rsid w:val="00370035"/>
    <w:rsid w:val="00370A29"/>
    <w:rsid w:val="00374812"/>
    <w:rsid w:val="003923A2"/>
    <w:rsid w:val="003A402E"/>
    <w:rsid w:val="003B3261"/>
    <w:rsid w:val="003D48F3"/>
    <w:rsid w:val="00402D2E"/>
    <w:rsid w:val="004064CC"/>
    <w:rsid w:val="00411F39"/>
    <w:rsid w:val="00420B86"/>
    <w:rsid w:val="0043202F"/>
    <w:rsid w:val="00432AB2"/>
    <w:rsid w:val="00455147"/>
    <w:rsid w:val="004655CF"/>
    <w:rsid w:val="004E1C40"/>
    <w:rsid w:val="004E70BE"/>
    <w:rsid w:val="0053627A"/>
    <w:rsid w:val="00544E9B"/>
    <w:rsid w:val="00556343"/>
    <w:rsid w:val="00563BFB"/>
    <w:rsid w:val="0057473E"/>
    <w:rsid w:val="00575180"/>
    <w:rsid w:val="0059371A"/>
    <w:rsid w:val="005B3DD9"/>
    <w:rsid w:val="005C7943"/>
    <w:rsid w:val="005F30BF"/>
    <w:rsid w:val="005F499D"/>
    <w:rsid w:val="006227D8"/>
    <w:rsid w:val="006341D8"/>
    <w:rsid w:val="006623EA"/>
    <w:rsid w:val="00662405"/>
    <w:rsid w:val="00692C08"/>
    <w:rsid w:val="006F1ECA"/>
    <w:rsid w:val="0071700E"/>
    <w:rsid w:val="00721202"/>
    <w:rsid w:val="007533DF"/>
    <w:rsid w:val="007607D8"/>
    <w:rsid w:val="00774FB7"/>
    <w:rsid w:val="00797076"/>
    <w:rsid w:val="007B7F80"/>
    <w:rsid w:val="007F351B"/>
    <w:rsid w:val="00806E2E"/>
    <w:rsid w:val="008417C4"/>
    <w:rsid w:val="00861341"/>
    <w:rsid w:val="008677F5"/>
    <w:rsid w:val="00887E5E"/>
    <w:rsid w:val="00897D13"/>
    <w:rsid w:val="008A5A7C"/>
    <w:rsid w:val="008C76B3"/>
    <w:rsid w:val="008D2417"/>
    <w:rsid w:val="008D7F39"/>
    <w:rsid w:val="008F11BF"/>
    <w:rsid w:val="009355B5"/>
    <w:rsid w:val="00936D18"/>
    <w:rsid w:val="00940FC4"/>
    <w:rsid w:val="009633F6"/>
    <w:rsid w:val="009654C5"/>
    <w:rsid w:val="0097632D"/>
    <w:rsid w:val="009779AC"/>
    <w:rsid w:val="00980DAC"/>
    <w:rsid w:val="0099791B"/>
    <w:rsid w:val="00997B64"/>
    <w:rsid w:val="00997EDE"/>
    <w:rsid w:val="009B5A7A"/>
    <w:rsid w:val="009C1FC3"/>
    <w:rsid w:val="009D7094"/>
    <w:rsid w:val="009E677A"/>
    <w:rsid w:val="009F649D"/>
    <w:rsid w:val="00A10663"/>
    <w:rsid w:val="00A42D00"/>
    <w:rsid w:val="00A51E40"/>
    <w:rsid w:val="00A71353"/>
    <w:rsid w:val="00A765AB"/>
    <w:rsid w:val="00A825A7"/>
    <w:rsid w:val="00A921A9"/>
    <w:rsid w:val="00AA1AD0"/>
    <w:rsid w:val="00AA2381"/>
    <w:rsid w:val="00AE55ED"/>
    <w:rsid w:val="00AF0C23"/>
    <w:rsid w:val="00AF6237"/>
    <w:rsid w:val="00B14F78"/>
    <w:rsid w:val="00B17BD0"/>
    <w:rsid w:val="00B4724B"/>
    <w:rsid w:val="00B50273"/>
    <w:rsid w:val="00B623C8"/>
    <w:rsid w:val="00B91617"/>
    <w:rsid w:val="00BA29AA"/>
    <w:rsid w:val="00BB1895"/>
    <w:rsid w:val="00BC2483"/>
    <w:rsid w:val="00BD6F6F"/>
    <w:rsid w:val="00BE238F"/>
    <w:rsid w:val="00C04309"/>
    <w:rsid w:val="00C129DB"/>
    <w:rsid w:val="00C23967"/>
    <w:rsid w:val="00C30B33"/>
    <w:rsid w:val="00C34DE2"/>
    <w:rsid w:val="00C5449D"/>
    <w:rsid w:val="00C66374"/>
    <w:rsid w:val="00C732CF"/>
    <w:rsid w:val="00C81FD0"/>
    <w:rsid w:val="00C948B5"/>
    <w:rsid w:val="00C9780B"/>
    <w:rsid w:val="00CC4A47"/>
    <w:rsid w:val="00CD0114"/>
    <w:rsid w:val="00CF2D15"/>
    <w:rsid w:val="00D521A6"/>
    <w:rsid w:val="00D9304E"/>
    <w:rsid w:val="00D9730A"/>
    <w:rsid w:val="00DB1833"/>
    <w:rsid w:val="00DB5053"/>
    <w:rsid w:val="00DC3BBD"/>
    <w:rsid w:val="00DC72EC"/>
    <w:rsid w:val="00DD1BF6"/>
    <w:rsid w:val="00DE5B6F"/>
    <w:rsid w:val="00DF0C96"/>
    <w:rsid w:val="00DF4214"/>
    <w:rsid w:val="00E1249C"/>
    <w:rsid w:val="00E14391"/>
    <w:rsid w:val="00E2460B"/>
    <w:rsid w:val="00E3584E"/>
    <w:rsid w:val="00E4192F"/>
    <w:rsid w:val="00E519F7"/>
    <w:rsid w:val="00E67930"/>
    <w:rsid w:val="00E855DD"/>
    <w:rsid w:val="00EC43F6"/>
    <w:rsid w:val="00ED7D7F"/>
    <w:rsid w:val="00EE0488"/>
    <w:rsid w:val="00EE1A41"/>
    <w:rsid w:val="00EE4CF5"/>
    <w:rsid w:val="00F03F8A"/>
    <w:rsid w:val="00F22E39"/>
    <w:rsid w:val="00F36D8F"/>
    <w:rsid w:val="00F42AB1"/>
    <w:rsid w:val="00F44414"/>
    <w:rsid w:val="00F60C48"/>
    <w:rsid w:val="00F6448B"/>
    <w:rsid w:val="00F6475E"/>
    <w:rsid w:val="00FC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semiHidden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1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berojur.com/cindhu-iv-roma/" TargetMode="External"/><Relationship Id="rId13" Type="http://schemas.openxmlformats.org/officeDocument/2006/relationships/hyperlink" Target="https://hdl.handle.net/11328/5320" TargetMode="External"/><Relationship Id="rId18" Type="http://schemas.openxmlformats.org/officeDocument/2006/relationships/hyperlink" Target="http://hdl.handle.net/11328/2860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3.jpeg"/><Relationship Id="rId7" Type="http://schemas.openxmlformats.org/officeDocument/2006/relationships/image" Target="media/image1.png"/><Relationship Id="rId12" Type="http://schemas.openxmlformats.org/officeDocument/2006/relationships/hyperlink" Target="https://iconline.ipleiria.pt/bitstream/10400.8/8958/1/A_promoA_A_o_dos_direitos_humanos_pelo_olhar_de_estudantes_do_ensino_superior.pdf" TargetMode="External"/><Relationship Id="rId17" Type="http://schemas.openxmlformats.org/officeDocument/2006/relationships/hyperlink" Target="https://www.revista.direitofranca.br/index.php/refdf/article/view/1319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hdl.handle.net/11328/3870" TargetMode="External"/><Relationship Id="rId20" Type="http://schemas.openxmlformats.org/officeDocument/2006/relationships/image" Target="media/image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hdl.handle.net/11328/5096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hdl.handle.net/11328/3968" TargetMode="External"/><Relationship Id="rId23" Type="http://schemas.openxmlformats.org/officeDocument/2006/relationships/hyperlink" Target="http://www.cienciavitae.pt//CA1A-FE14-5CC1" TargetMode="External"/><Relationship Id="rId10" Type="http://schemas.openxmlformats.org/officeDocument/2006/relationships/hyperlink" Target="mailto:dra@upt.pt" TargetMode="External"/><Relationship Id="rId19" Type="http://schemas.openxmlformats.org/officeDocument/2006/relationships/hyperlink" Target="https://orcid.org/0000-0001-8512-165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io.barata@ipleiria.pt" TargetMode="External"/><Relationship Id="rId14" Type="http://schemas.openxmlformats.org/officeDocument/2006/relationships/hyperlink" Target="https://www.almedina.net/oa-894015321-uniao" TargetMode="External"/><Relationship Id="rId22" Type="http://schemas.openxmlformats.org/officeDocument/2006/relationships/hyperlink" Target="http://orcid.org/0000-0003-4720-140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1488</Words>
  <Characters>8039</Characters>
  <Application>Microsoft Office Word</Application>
  <DocSecurity>0</DocSecurity>
  <Lines>66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Maria Sousa Marinho da Silva</cp:lastModifiedBy>
  <cp:revision>2</cp:revision>
  <dcterms:created xsi:type="dcterms:W3CDTF">2025-03-20T11:02:00Z</dcterms:created>
  <dcterms:modified xsi:type="dcterms:W3CDTF">2025-03-20T11:02:00Z</dcterms:modified>
</cp:coreProperties>
</file>