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E1E84" w14:textId="5DBB7B49" w:rsidR="00733710" w:rsidRDefault="00733710" w:rsidP="00A10663">
      <w:pPr>
        <w:spacing w:line="360" w:lineRule="auto"/>
        <w:jc w:val="center"/>
      </w:pPr>
      <w:r>
        <w:rPr>
          <w:noProof/>
        </w:rPr>
        <w:drawing>
          <wp:inline distT="0" distB="0" distL="0" distR="0" wp14:anchorId="7C757C0D" wp14:editId="19E65F01">
            <wp:extent cx="4667250" cy="2314575"/>
            <wp:effectExtent l="0" t="0" r="0" b="952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8114" t="17860" r="5457" b="28561"/>
                    <a:stretch/>
                  </pic:blipFill>
                  <pic:spPr bwMode="auto">
                    <a:xfrm>
                      <a:off x="0" y="0"/>
                      <a:ext cx="4667250" cy="2314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647919" w14:textId="6315CC20" w:rsidR="00733710" w:rsidRDefault="00000000" w:rsidP="00A10663">
      <w:pPr>
        <w:spacing w:line="360" w:lineRule="auto"/>
        <w:jc w:val="center"/>
      </w:pPr>
      <w:hyperlink r:id="rId8" w:history="1">
        <w:r w:rsidR="00733710" w:rsidRPr="00446FD2">
          <w:rPr>
            <w:rStyle w:val="Hiperligao"/>
          </w:rPr>
          <w:t>https://ciais.eventqualia.net/pt/2023/inicio/</w:t>
        </w:r>
      </w:hyperlink>
      <w:r w:rsidR="00733710">
        <w:t xml:space="preserve"> </w:t>
      </w:r>
    </w:p>
    <w:p w14:paraId="268EBAB6" w14:textId="4C9DAB10" w:rsidR="00733710" w:rsidRDefault="00733710" w:rsidP="00A10663">
      <w:pPr>
        <w:spacing w:line="360" w:lineRule="auto"/>
        <w:jc w:val="center"/>
        <w:rPr>
          <w:rFonts w:ascii="Roboto" w:hAnsi="Roboto"/>
          <w:color w:val="727272"/>
          <w:sz w:val="23"/>
          <w:szCs w:val="23"/>
          <w:shd w:val="clear" w:color="auto" w:fill="FFFFFF"/>
        </w:rPr>
      </w:pPr>
      <w:r>
        <w:rPr>
          <w:rFonts w:ascii="Roboto" w:hAnsi="Roboto"/>
          <w:color w:val="727272"/>
          <w:sz w:val="23"/>
          <w:szCs w:val="23"/>
          <w:shd w:val="clear" w:color="auto" w:fill="FFFFFF"/>
        </w:rPr>
        <w:t xml:space="preserve">VI Congresso </w:t>
      </w:r>
      <w:proofErr w:type="spellStart"/>
      <w:r>
        <w:rPr>
          <w:rFonts w:ascii="Roboto" w:hAnsi="Roboto"/>
          <w:color w:val="727272"/>
          <w:sz w:val="23"/>
          <w:szCs w:val="23"/>
          <w:shd w:val="clear" w:color="auto" w:fill="FFFFFF"/>
        </w:rPr>
        <w:t>Iberoamericano</w:t>
      </w:r>
      <w:proofErr w:type="spellEnd"/>
      <w:r>
        <w:rPr>
          <w:rFonts w:ascii="Roboto" w:hAnsi="Roboto"/>
          <w:color w:val="727272"/>
          <w:sz w:val="23"/>
          <w:szCs w:val="23"/>
          <w:shd w:val="clear" w:color="auto" w:fill="FFFFFF"/>
        </w:rPr>
        <w:t xml:space="preserve"> de </w:t>
      </w:r>
      <w:proofErr w:type="spellStart"/>
      <w:r>
        <w:rPr>
          <w:rFonts w:ascii="Roboto" w:hAnsi="Roboto"/>
          <w:color w:val="727272"/>
          <w:sz w:val="23"/>
          <w:szCs w:val="23"/>
          <w:shd w:val="clear" w:color="auto" w:fill="FFFFFF"/>
        </w:rPr>
        <w:t>Intervenção</w:t>
      </w:r>
      <w:proofErr w:type="spellEnd"/>
      <w:r>
        <w:rPr>
          <w:rFonts w:ascii="Roboto" w:hAnsi="Roboto"/>
          <w:color w:val="727272"/>
          <w:sz w:val="23"/>
          <w:szCs w:val="23"/>
          <w:shd w:val="clear" w:color="auto" w:fill="FFFFFF"/>
        </w:rPr>
        <w:t xml:space="preserve"> Social (VI CIAIS) </w:t>
      </w:r>
    </w:p>
    <w:p w14:paraId="6EFEC4C4" w14:textId="3CA4820A" w:rsidR="00733710" w:rsidRDefault="00733710" w:rsidP="00A10663">
      <w:pPr>
        <w:spacing w:line="360" w:lineRule="auto"/>
        <w:jc w:val="center"/>
        <w:rPr>
          <w:rFonts w:ascii="Roboto" w:hAnsi="Roboto"/>
          <w:color w:val="727272"/>
          <w:sz w:val="23"/>
          <w:szCs w:val="23"/>
          <w:shd w:val="clear" w:color="auto" w:fill="FFFFFF"/>
        </w:rPr>
      </w:pPr>
      <w:r>
        <w:rPr>
          <w:rFonts w:ascii="Roboto" w:hAnsi="Roboto"/>
          <w:color w:val="727272"/>
          <w:sz w:val="23"/>
          <w:szCs w:val="23"/>
          <w:shd w:val="clear" w:color="auto" w:fill="FFFFFF"/>
        </w:rPr>
        <w:t>nos dias 20 e 21 de Novembro de 2023</w:t>
      </w:r>
    </w:p>
    <w:p w14:paraId="7F882CC8" w14:textId="262AFC5A" w:rsidR="007B1C54" w:rsidRPr="007B1C54" w:rsidRDefault="00733710" w:rsidP="007B1C54">
      <w:pPr>
        <w:spacing w:line="360" w:lineRule="auto"/>
        <w:jc w:val="center"/>
        <w:rPr>
          <w:rFonts w:ascii="Roboto" w:hAnsi="Roboto"/>
          <w:color w:val="727272"/>
          <w:sz w:val="23"/>
          <w:szCs w:val="23"/>
          <w:shd w:val="clear" w:color="auto" w:fill="FFFFFF"/>
        </w:rPr>
      </w:pPr>
      <w:r>
        <w:rPr>
          <w:rFonts w:ascii="Roboto" w:hAnsi="Roboto"/>
          <w:color w:val="727272"/>
          <w:sz w:val="23"/>
          <w:szCs w:val="23"/>
          <w:shd w:val="clear" w:color="auto" w:fill="FFFFFF"/>
        </w:rPr>
        <w:t>subordinado ao tema “</w:t>
      </w:r>
      <w:proofErr w:type="spellStart"/>
      <w:r>
        <w:rPr>
          <w:rFonts w:ascii="Roboto" w:hAnsi="Roboto"/>
          <w:i/>
          <w:iCs/>
          <w:color w:val="727272"/>
          <w:sz w:val="23"/>
          <w:szCs w:val="23"/>
          <w:shd w:val="clear" w:color="auto" w:fill="FFFFFF"/>
        </w:rPr>
        <w:t>Infância</w:t>
      </w:r>
      <w:proofErr w:type="spellEnd"/>
      <w:r>
        <w:rPr>
          <w:rFonts w:ascii="Roboto" w:hAnsi="Roboto"/>
          <w:i/>
          <w:iCs/>
          <w:color w:val="727272"/>
          <w:sz w:val="23"/>
          <w:szCs w:val="23"/>
          <w:shd w:val="clear" w:color="auto" w:fill="FFFFFF"/>
        </w:rPr>
        <w:t xml:space="preserve"> e Juventude</w:t>
      </w:r>
      <w:r>
        <w:rPr>
          <w:rFonts w:ascii="Roboto" w:hAnsi="Roboto"/>
          <w:color w:val="727272"/>
          <w:sz w:val="23"/>
          <w:szCs w:val="23"/>
          <w:shd w:val="clear" w:color="auto" w:fill="FFFFFF"/>
        </w:rPr>
        <w:t>”</w:t>
      </w:r>
    </w:p>
    <w:p w14:paraId="2C133265" w14:textId="6C3D1CD6" w:rsidR="007B1C54" w:rsidRPr="007B1C54" w:rsidRDefault="007B1C54" w:rsidP="007B1C54">
      <w:pPr>
        <w:pStyle w:val="Ttulo2"/>
        <w:shd w:val="clear" w:color="auto" w:fill="FFFFFF"/>
        <w:spacing w:before="300" w:after="150" w:line="240" w:lineRule="auto"/>
        <w:jc w:val="both"/>
        <w:rPr>
          <w:rFonts w:ascii="Roboto" w:hAnsi="Roboto"/>
          <w:color w:val="212121"/>
          <w:sz w:val="18"/>
          <w:szCs w:val="18"/>
        </w:rPr>
      </w:pPr>
      <w:r w:rsidRPr="007B1C54">
        <w:rPr>
          <w:rFonts w:ascii="Roboto" w:hAnsi="Roboto"/>
          <w:color w:val="212121"/>
          <w:sz w:val="18"/>
          <w:szCs w:val="18"/>
        </w:rPr>
        <w:t>ISSSP - Instituto Superior de Serviço social do Porto</w:t>
      </w:r>
    </w:p>
    <w:p w14:paraId="77811226" w14:textId="77777777" w:rsidR="007B1C54" w:rsidRPr="007B1C54" w:rsidRDefault="007B1C54" w:rsidP="007B1C54">
      <w:pPr>
        <w:pStyle w:val="Ttulo4"/>
        <w:shd w:val="clear" w:color="auto" w:fill="FFFFFF"/>
        <w:spacing w:before="150" w:beforeAutospacing="0" w:after="150" w:afterAutospacing="0"/>
        <w:jc w:val="both"/>
        <w:rPr>
          <w:rFonts w:ascii="Roboto" w:hAnsi="Roboto"/>
          <w:b w:val="0"/>
          <w:bCs w:val="0"/>
          <w:color w:val="333333"/>
          <w:sz w:val="16"/>
          <w:szCs w:val="16"/>
        </w:rPr>
      </w:pPr>
      <w:r w:rsidRPr="007B1C54">
        <w:rPr>
          <w:rFonts w:ascii="Roboto" w:hAnsi="Roboto"/>
          <w:b w:val="0"/>
          <w:bCs w:val="0"/>
          <w:color w:val="333333"/>
          <w:sz w:val="16"/>
          <w:szCs w:val="16"/>
        </w:rPr>
        <w:t>Morada: Av. Dr. Manuel Teixeira Ruela 370, 4460-362 Sra. da Hora</w:t>
      </w:r>
    </w:p>
    <w:p w14:paraId="1FE0386F" w14:textId="77777777" w:rsidR="00733710" w:rsidRDefault="00733710" w:rsidP="00A10663">
      <w:pPr>
        <w:spacing w:line="360" w:lineRule="auto"/>
        <w:jc w:val="center"/>
        <w:rPr>
          <w:rFonts w:ascii="Arial" w:hAnsi="Arial" w:cs="Arial"/>
          <w:bCs/>
          <w:u w:val="single"/>
        </w:rPr>
      </w:pPr>
    </w:p>
    <w:p w14:paraId="28364790" w14:textId="07F2280D" w:rsidR="00207533" w:rsidRDefault="00733710" w:rsidP="00D9730A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Arial" w:eastAsiaTheme="minorHAnsi" w:hAnsi="Arial" w:cs="Arial"/>
          <w:b/>
          <w:bCs/>
          <w:color w:val="auto"/>
          <w:sz w:val="22"/>
          <w:szCs w:val="22"/>
          <w:u w:val="single"/>
          <w:lang w:eastAsia="en-US"/>
        </w:rPr>
        <w:t>As crianças nos textos jurídicos da União Europeia</w:t>
      </w:r>
    </w:p>
    <w:p w14:paraId="45642991" w14:textId="77777777" w:rsidR="00207533" w:rsidRDefault="00207533" w:rsidP="00207533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1D9A2E3D" w14:textId="2255BF3F" w:rsidR="00207533" w:rsidRDefault="00207533" w:rsidP="00207533">
      <w:pPr>
        <w:spacing w:line="360" w:lineRule="auto"/>
        <w:ind w:firstLine="708"/>
        <w:jc w:val="both"/>
      </w:pPr>
      <w:r w:rsidRPr="009D7094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Dora Resende Alves, PhD</w:t>
      </w:r>
      <w:r w:rsidRPr="004E0BFA">
        <w:rPr>
          <w:i/>
          <w:iCs/>
        </w:rPr>
        <w:t xml:space="preserve">   </w:t>
      </w:r>
      <w:r w:rsidRPr="004E0BFA"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hyperlink r:id="rId9" w:history="1">
        <w:r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  <w:r w:rsidRPr="004E0BFA">
        <w:tab/>
      </w:r>
    </w:p>
    <w:p w14:paraId="4E969992" w14:textId="2F8C6A6B" w:rsidR="001F5CA4" w:rsidRPr="006623EA" w:rsidRDefault="00733710" w:rsidP="00207533">
      <w:pPr>
        <w:spacing w:line="360" w:lineRule="auto"/>
        <w:ind w:firstLine="708"/>
        <w:jc w:val="both"/>
        <w:rPr>
          <w:sz w:val="20"/>
          <w:szCs w:val="20"/>
        </w:rPr>
      </w:pPr>
      <w:r>
        <w:rPr>
          <w:rFonts w:ascii="Times New Roman" w:hAnsi="Times New Roman" w:cs="Times New Roman"/>
          <w:i/>
          <w:iCs/>
        </w:rPr>
        <w:t>Daniela Castilhos</w:t>
      </w:r>
      <w:r w:rsidR="001F5CA4" w:rsidRPr="006623EA">
        <w:rPr>
          <w:rFonts w:ascii="Times New Roman" w:hAnsi="Times New Roman" w:cs="Times New Roman"/>
        </w:rPr>
        <w:t>, PhD</w:t>
      </w:r>
      <w:r w:rsidR="001F5CA4" w:rsidRPr="006623EA">
        <w:rPr>
          <w:i/>
          <w:iCs/>
        </w:rPr>
        <w:t xml:space="preserve">   </w:t>
      </w:r>
      <w:r w:rsidR="001F5CA4" w:rsidRPr="006623EA">
        <w:tab/>
      </w:r>
      <w:r w:rsidR="001F5CA4" w:rsidRPr="006623EA">
        <w:tab/>
      </w:r>
      <w:r w:rsidR="001F5CA4" w:rsidRPr="006623EA">
        <w:tab/>
      </w:r>
      <w:hyperlink r:id="rId10" w:history="1">
        <w:r w:rsidRPr="00446FD2">
          <w:rPr>
            <w:rStyle w:val="Hiperligao"/>
            <w:sz w:val="20"/>
            <w:szCs w:val="20"/>
          </w:rPr>
          <w:t>daniela.castilhos@ipleiria.pt</w:t>
        </w:r>
      </w:hyperlink>
    </w:p>
    <w:p w14:paraId="3EECA730" w14:textId="77777777" w:rsidR="00207533" w:rsidRPr="006B0A59" w:rsidRDefault="00207533" w:rsidP="00207533">
      <w:pPr>
        <w:spacing w:line="360" w:lineRule="auto"/>
        <w:ind w:firstLine="708"/>
        <w:jc w:val="both"/>
      </w:pPr>
    </w:p>
    <w:p w14:paraId="17D6ABCA" w14:textId="77777777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5732CEE" w14:textId="77777777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E5FE800" w14:textId="6B03C381" w:rsidR="00207533" w:rsidRDefault="00207533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+351225572474.</w:t>
      </w:r>
    </w:p>
    <w:p w14:paraId="0A701C56" w14:textId="77777777" w:rsidR="006623EA" w:rsidRDefault="006623EA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6B6E6FB4" w14:textId="7F49A152" w:rsidR="00207533" w:rsidRDefault="00207533" w:rsidP="006623EA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Instituto Jurídico Portucalense,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</w:p>
    <w:p w14:paraId="46BEC62B" w14:textId="77777777" w:rsidR="006623EA" w:rsidRPr="006623EA" w:rsidRDefault="006623EA" w:rsidP="006623EA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40ED04A4" w14:textId="09FBB516" w:rsidR="00163401" w:rsidRPr="006623EA" w:rsidRDefault="00163401" w:rsidP="00207533">
      <w:pPr>
        <w:rPr>
          <w:rFonts w:ascii="Times New Roman" w:eastAsia="Times New Roman" w:hAnsi="Times New Roman" w:cs="Times New Roman"/>
          <w:color w:val="000000"/>
          <w:sz w:val="20"/>
          <w:szCs w:val="20"/>
          <w:lang w:eastAsia="pt-PT"/>
        </w:rPr>
      </w:pPr>
      <w:r w:rsidRPr="006623EA">
        <w:rPr>
          <w:rFonts w:ascii="Times New Roman" w:eastAsia="Times New Roman" w:hAnsi="Times New Roman" w:cs="Times New Roman"/>
          <w:color w:val="000000"/>
          <w:sz w:val="20"/>
          <w:szCs w:val="20"/>
          <w:lang w:eastAsia="pt-PT"/>
        </w:rPr>
        <w:t>Politécnico de Leiria. Instituto Jurídico Portucalense - Pólo de Leiria, Portugal</w:t>
      </w:r>
    </w:p>
    <w:p w14:paraId="780F361E" w14:textId="77777777" w:rsidR="00163401" w:rsidRPr="006B0A59" w:rsidRDefault="00163401" w:rsidP="00207533">
      <w:pPr>
        <w:rPr>
          <w:b/>
          <w:bCs/>
        </w:rPr>
      </w:pPr>
    </w:p>
    <w:p w14:paraId="06C038D1" w14:textId="4C25F6B5" w:rsidR="00207533" w:rsidRDefault="00A10663" w:rsidP="00207533">
      <w:pPr>
        <w:jc w:val="both"/>
        <w:rPr>
          <w:b/>
          <w:bCs/>
          <w:lang w:val="es-ES"/>
        </w:rPr>
      </w:pPr>
      <w:proofErr w:type="spellStart"/>
      <w:r>
        <w:rPr>
          <w:b/>
          <w:bCs/>
          <w:lang w:val="es-ES"/>
        </w:rPr>
        <w:t>Eixo</w:t>
      </w:r>
      <w:proofErr w:type="spellEnd"/>
      <w:r w:rsidR="00207533">
        <w:rPr>
          <w:b/>
          <w:bCs/>
          <w:lang w:val="es-ES"/>
        </w:rPr>
        <w:t xml:space="preserve"> temátic</w:t>
      </w:r>
      <w:r>
        <w:rPr>
          <w:b/>
          <w:bCs/>
          <w:lang w:val="es-ES"/>
        </w:rPr>
        <w:t>o</w:t>
      </w:r>
      <w:r w:rsidR="00207533" w:rsidRPr="00ED6672">
        <w:rPr>
          <w:b/>
          <w:bCs/>
          <w:lang w:val="es-ES"/>
        </w:rPr>
        <w:t>:</w:t>
      </w:r>
      <w:r w:rsidR="00207533">
        <w:rPr>
          <w:b/>
          <w:bCs/>
          <w:lang w:val="es-ES"/>
        </w:rPr>
        <w:t xml:space="preserve">  </w:t>
      </w:r>
    </w:p>
    <w:p w14:paraId="2CAD75DD" w14:textId="45644A8E" w:rsidR="00B17BD0" w:rsidRPr="00B17BD0" w:rsidRDefault="00B17BD0" w:rsidP="00D065C7">
      <w:pPr>
        <w:pStyle w:val="PargrafodaLista"/>
        <w:shd w:val="clear" w:color="auto" w:fill="EFEFEF"/>
        <w:ind w:left="786"/>
        <w:rPr>
          <w:rFonts w:ascii="Open Sans" w:eastAsia="Times New Roman" w:hAnsi="Open Sans" w:cs="Open Sans"/>
          <w:color w:val="5E5E5E"/>
          <w:sz w:val="24"/>
          <w:szCs w:val="24"/>
        </w:rPr>
      </w:pPr>
      <w:r w:rsidRPr="00B17BD0">
        <w:rPr>
          <w:rFonts w:ascii="Open Sans" w:eastAsia="Times New Roman" w:hAnsi="Open Sans" w:cs="Open Sans"/>
          <w:color w:val="5E5E5E"/>
          <w:sz w:val="24"/>
          <w:szCs w:val="24"/>
        </w:rPr>
        <w:t>Direito</w:t>
      </w:r>
    </w:p>
    <w:p w14:paraId="4FD091FF" w14:textId="77777777" w:rsidR="002A7133" w:rsidRDefault="002A7133" w:rsidP="007F351B">
      <w:pPr>
        <w:rPr>
          <w:b/>
          <w:bCs/>
        </w:rPr>
      </w:pPr>
    </w:p>
    <w:p w14:paraId="5AF60463" w14:textId="7518B47A" w:rsidR="00207533" w:rsidRPr="007F351B" w:rsidRDefault="00207533" w:rsidP="007F351B">
      <w:pPr>
        <w:rPr>
          <w:b/>
          <w:bCs/>
        </w:rPr>
      </w:pPr>
      <w:r w:rsidRPr="00843F90">
        <w:rPr>
          <w:b/>
          <w:bCs/>
        </w:rPr>
        <w:lastRenderedPageBreak/>
        <w:t>Resumo:</w:t>
      </w:r>
      <w:r>
        <w:rPr>
          <w:b/>
          <w:bCs/>
        </w:rPr>
        <w:t xml:space="preserve">    </w:t>
      </w:r>
    </w:p>
    <w:p w14:paraId="5324B89A" w14:textId="094A774B" w:rsidR="003C15B5" w:rsidRDefault="003C15B5" w:rsidP="003C15B5">
      <w:pPr>
        <w:ind w:firstLine="708"/>
        <w:jc w:val="both"/>
        <w:rPr>
          <w:rFonts w:ascii="Garamond" w:hAnsi="Garamond"/>
          <w:sz w:val="24"/>
          <w:szCs w:val="24"/>
        </w:rPr>
      </w:pPr>
      <w:r w:rsidRPr="00DD7B7D">
        <w:rPr>
          <w:rFonts w:ascii="Garamond" w:hAnsi="Garamond"/>
          <w:sz w:val="24"/>
          <w:szCs w:val="24"/>
        </w:rPr>
        <w:t xml:space="preserve">O reconhecimento dos direitos da criança no quadro das competências da União Europeia (UE) </w:t>
      </w:r>
      <w:r>
        <w:rPr>
          <w:rFonts w:ascii="Garamond" w:hAnsi="Garamond"/>
          <w:sz w:val="24"/>
          <w:szCs w:val="24"/>
        </w:rPr>
        <w:t xml:space="preserve">surge no texto dos tratados </w:t>
      </w:r>
      <w:proofErr w:type="spellStart"/>
      <w:r>
        <w:rPr>
          <w:rFonts w:ascii="Garamond" w:hAnsi="Garamond"/>
          <w:sz w:val="24"/>
          <w:szCs w:val="24"/>
        </w:rPr>
        <w:t>institutivos</w:t>
      </w:r>
      <w:proofErr w:type="spellEnd"/>
      <w:r>
        <w:rPr>
          <w:rFonts w:ascii="Garamond" w:hAnsi="Garamond"/>
          <w:sz w:val="24"/>
          <w:szCs w:val="24"/>
        </w:rPr>
        <w:t xml:space="preserve"> de uma forma clara apenas com o Tratado de Lisboa (TL) de 2007.</w:t>
      </w:r>
    </w:p>
    <w:p w14:paraId="42CADA2A" w14:textId="77777777" w:rsidR="003C15B5" w:rsidRDefault="003C15B5" w:rsidP="003C15B5">
      <w:pPr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Ainda que, desde</w:t>
      </w:r>
      <w:r w:rsidRPr="00DD7B7D">
        <w:rPr>
          <w:rFonts w:ascii="Garamond" w:hAnsi="Garamond"/>
          <w:sz w:val="24"/>
          <w:szCs w:val="24"/>
        </w:rPr>
        <w:t xml:space="preserve"> 2000, </w:t>
      </w:r>
      <w:r>
        <w:rPr>
          <w:rFonts w:ascii="Garamond" w:hAnsi="Garamond"/>
          <w:sz w:val="24"/>
          <w:szCs w:val="24"/>
        </w:rPr>
        <w:t>n</w:t>
      </w:r>
      <w:r w:rsidRPr="00DD7B7D">
        <w:rPr>
          <w:rFonts w:ascii="Garamond" w:hAnsi="Garamond"/>
          <w:sz w:val="24"/>
          <w:szCs w:val="24"/>
        </w:rPr>
        <w:t>a Carta dos Direitos Fundamentais</w:t>
      </w:r>
      <w:r>
        <w:rPr>
          <w:rFonts w:ascii="Garamond" w:hAnsi="Garamond"/>
          <w:sz w:val="24"/>
          <w:szCs w:val="24"/>
        </w:rPr>
        <w:t xml:space="preserve"> da União Europeia</w:t>
      </w:r>
      <w:r w:rsidRPr="00DD7B7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s</w:t>
      </w:r>
      <w:r w:rsidRPr="00DD7B7D">
        <w:rPr>
          <w:rFonts w:ascii="Garamond" w:hAnsi="Garamond"/>
          <w:sz w:val="24"/>
          <w:szCs w:val="24"/>
        </w:rPr>
        <w:t>e reconhe</w:t>
      </w:r>
      <w:r>
        <w:rPr>
          <w:rFonts w:ascii="Garamond" w:hAnsi="Garamond"/>
          <w:sz w:val="24"/>
          <w:szCs w:val="24"/>
        </w:rPr>
        <w:t>ça</w:t>
      </w:r>
      <w:r w:rsidRPr="00DD7B7D">
        <w:rPr>
          <w:rFonts w:ascii="Garamond" w:hAnsi="Garamond"/>
          <w:sz w:val="24"/>
          <w:szCs w:val="24"/>
        </w:rPr>
        <w:t xml:space="preserve"> os direitos da criança como um valor fundamental estabelece</w:t>
      </w:r>
      <w:r>
        <w:rPr>
          <w:rFonts w:ascii="Garamond" w:hAnsi="Garamond"/>
          <w:sz w:val="24"/>
          <w:szCs w:val="24"/>
        </w:rPr>
        <w:t>ndo</w:t>
      </w:r>
      <w:r w:rsidRPr="00DD7B7D">
        <w:rPr>
          <w:rFonts w:ascii="Garamond" w:hAnsi="Garamond"/>
          <w:sz w:val="24"/>
          <w:szCs w:val="24"/>
        </w:rPr>
        <w:t xml:space="preserve"> que "todas as crianças têm direito à proteção e aos cuidados necessários ao seu bem-estar" (</w:t>
      </w:r>
      <w:r>
        <w:rPr>
          <w:rFonts w:ascii="Garamond" w:hAnsi="Garamond"/>
          <w:sz w:val="24"/>
          <w:szCs w:val="24"/>
        </w:rPr>
        <w:t>no a</w:t>
      </w:r>
      <w:r w:rsidRPr="00DD7B7D">
        <w:rPr>
          <w:rFonts w:ascii="Garamond" w:hAnsi="Garamond"/>
          <w:sz w:val="24"/>
          <w:szCs w:val="24"/>
        </w:rPr>
        <w:t>rtigo 24</w:t>
      </w:r>
      <w:r>
        <w:rPr>
          <w:rFonts w:ascii="Garamond" w:hAnsi="Garamond"/>
          <w:sz w:val="24"/>
          <w:szCs w:val="24"/>
        </w:rPr>
        <w:t>.º</w:t>
      </w:r>
      <w:r w:rsidRPr="00DD7B7D">
        <w:rPr>
          <w:rFonts w:ascii="Garamond" w:hAnsi="Garamond"/>
          <w:sz w:val="24"/>
          <w:szCs w:val="24"/>
        </w:rPr>
        <w:t>). A Carta é legalmente vinculativa</w:t>
      </w:r>
      <w:r>
        <w:rPr>
          <w:rFonts w:ascii="Garamond" w:hAnsi="Garamond"/>
          <w:sz w:val="24"/>
          <w:szCs w:val="24"/>
        </w:rPr>
        <w:t xml:space="preserve"> desde 2009</w:t>
      </w:r>
      <w:r w:rsidRPr="00DD7B7D">
        <w:rPr>
          <w:rFonts w:ascii="Garamond" w:hAnsi="Garamond"/>
          <w:sz w:val="24"/>
          <w:szCs w:val="24"/>
        </w:rPr>
        <w:t xml:space="preserve"> para as instituições da UE e para os Estados-</w:t>
      </w:r>
      <w:r>
        <w:rPr>
          <w:rFonts w:ascii="Garamond" w:hAnsi="Garamond"/>
          <w:sz w:val="24"/>
          <w:szCs w:val="24"/>
        </w:rPr>
        <w:t>M</w:t>
      </w:r>
      <w:r w:rsidRPr="00DD7B7D">
        <w:rPr>
          <w:rFonts w:ascii="Garamond" w:hAnsi="Garamond"/>
          <w:sz w:val="24"/>
          <w:szCs w:val="24"/>
        </w:rPr>
        <w:t>embros ao aplicarem a legislação da UE.</w:t>
      </w:r>
    </w:p>
    <w:p w14:paraId="7B205E83" w14:textId="77777777" w:rsidR="003C15B5" w:rsidRDefault="003C15B5" w:rsidP="003C15B5">
      <w:pPr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Entretanto, a documentação</w:t>
      </w:r>
      <w:r w:rsidRPr="00DD7B7D">
        <w:rPr>
          <w:rFonts w:ascii="Garamond" w:hAnsi="Garamond"/>
          <w:sz w:val="24"/>
          <w:szCs w:val="24"/>
        </w:rPr>
        <w:t xml:space="preserve"> da União Europeia frequentemente menciona crianças como um grupo vulnerável que merece proteção especial.</w:t>
      </w:r>
      <w:r>
        <w:rPr>
          <w:rFonts w:ascii="Garamond" w:hAnsi="Garamond"/>
          <w:sz w:val="24"/>
          <w:szCs w:val="24"/>
        </w:rPr>
        <w:t xml:space="preserve"> Porém, esses textos constituem </w:t>
      </w:r>
      <w:r w:rsidRPr="008125B7">
        <w:rPr>
          <w:rFonts w:ascii="Garamond" w:hAnsi="Garamond"/>
          <w:i/>
          <w:iCs/>
          <w:sz w:val="24"/>
          <w:szCs w:val="24"/>
        </w:rPr>
        <w:t xml:space="preserve">soft </w:t>
      </w:r>
      <w:proofErr w:type="spellStart"/>
      <w:r w:rsidRPr="008125B7">
        <w:rPr>
          <w:rFonts w:ascii="Garamond" w:hAnsi="Garamond"/>
          <w:i/>
          <w:iCs/>
          <w:sz w:val="24"/>
          <w:szCs w:val="24"/>
        </w:rPr>
        <w:t>law</w:t>
      </w:r>
      <w:proofErr w:type="spellEnd"/>
      <w:r>
        <w:rPr>
          <w:rFonts w:ascii="Garamond" w:hAnsi="Garamond"/>
          <w:sz w:val="24"/>
          <w:szCs w:val="24"/>
        </w:rPr>
        <w:t>, ainda sem caráter vinculativo, tais como resoluções ou comunicações.</w:t>
      </w:r>
      <w:r w:rsidRPr="00DD7B7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Ainda assim, o seu conteúdo</w:t>
      </w:r>
      <w:r w:rsidRPr="00DD7B7D">
        <w:rPr>
          <w:rFonts w:ascii="Garamond" w:hAnsi="Garamond"/>
          <w:sz w:val="24"/>
          <w:szCs w:val="24"/>
        </w:rPr>
        <w:t xml:space="preserve"> é refletido em várias políticas e </w:t>
      </w:r>
      <w:r>
        <w:rPr>
          <w:rFonts w:ascii="Garamond" w:hAnsi="Garamond"/>
          <w:sz w:val="24"/>
          <w:szCs w:val="24"/>
        </w:rPr>
        <w:t>orient</w:t>
      </w:r>
      <w:r w:rsidRPr="00DD7B7D">
        <w:rPr>
          <w:rFonts w:ascii="Garamond" w:hAnsi="Garamond"/>
          <w:sz w:val="24"/>
          <w:szCs w:val="24"/>
        </w:rPr>
        <w:t>ações da UE que têm como objetivo garantir o bem-estar das crianças em áreas como educação, saúde, justiça e proteção social.</w:t>
      </w:r>
    </w:p>
    <w:p w14:paraId="23D6BEF4" w14:textId="77777777" w:rsidR="003C15B5" w:rsidRPr="00DD7B7D" w:rsidRDefault="003C15B5" w:rsidP="003C15B5">
      <w:pPr>
        <w:ind w:firstLine="708"/>
        <w:jc w:val="both"/>
        <w:rPr>
          <w:rFonts w:ascii="Garamond" w:hAnsi="Garamond"/>
          <w:sz w:val="24"/>
          <w:szCs w:val="24"/>
        </w:rPr>
      </w:pPr>
      <w:r w:rsidRPr="00DD7B7D">
        <w:rPr>
          <w:rFonts w:ascii="Garamond" w:hAnsi="Garamond"/>
          <w:sz w:val="24"/>
          <w:szCs w:val="24"/>
        </w:rPr>
        <w:t xml:space="preserve">A UE e seus Estados-membros reconheceram a importância da Convenção das Nações Unidas sobre os Direitos da Criança (CNUDC) </w:t>
      </w:r>
      <w:r>
        <w:rPr>
          <w:rFonts w:ascii="Garamond" w:hAnsi="Garamond"/>
          <w:sz w:val="24"/>
          <w:szCs w:val="24"/>
        </w:rPr>
        <w:t>que</w:t>
      </w:r>
      <w:r w:rsidRPr="00DD7B7D">
        <w:rPr>
          <w:rFonts w:ascii="Garamond" w:hAnsi="Garamond"/>
          <w:sz w:val="24"/>
          <w:szCs w:val="24"/>
        </w:rPr>
        <w:t>, adotada pela Assembleia Geral das Nações Unidas em 1989, estabelece um conjunto abrangente de direitos para as crianças.</w:t>
      </w:r>
      <w:r>
        <w:rPr>
          <w:rFonts w:ascii="Garamond" w:hAnsi="Garamond"/>
          <w:sz w:val="24"/>
          <w:szCs w:val="24"/>
        </w:rPr>
        <w:t xml:space="preserve"> Acresce que</w:t>
      </w:r>
      <w:r w:rsidRPr="00DD7B7D">
        <w:rPr>
          <w:rFonts w:ascii="Garamond" w:hAnsi="Garamond"/>
          <w:sz w:val="24"/>
          <w:szCs w:val="24"/>
        </w:rPr>
        <w:t xml:space="preserve">, em 1992, a UE assinou a Convenção e se comprometeu a promover e proteger os direitos da criança. Desde então, a UE tem vindo a </w:t>
      </w:r>
      <w:r>
        <w:rPr>
          <w:rFonts w:ascii="Garamond" w:hAnsi="Garamond"/>
          <w:sz w:val="24"/>
          <w:szCs w:val="24"/>
        </w:rPr>
        <w:t>promover a</w:t>
      </w:r>
      <w:r w:rsidRPr="00DD7B7D">
        <w:rPr>
          <w:rFonts w:ascii="Garamond" w:hAnsi="Garamond"/>
          <w:sz w:val="24"/>
          <w:szCs w:val="24"/>
        </w:rPr>
        <w:t xml:space="preserve"> prote</w:t>
      </w:r>
      <w:r>
        <w:rPr>
          <w:rFonts w:ascii="Garamond" w:hAnsi="Garamond"/>
          <w:sz w:val="24"/>
          <w:szCs w:val="24"/>
        </w:rPr>
        <w:t>ção</w:t>
      </w:r>
      <w:r w:rsidRPr="00DD7B7D">
        <w:rPr>
          <w:rFonts w:ascii="Garamond" w:hAnsi="Garamond"/>
          <w:sz w:val="24"/>
          <w:szCs w:val="24"/>
        </w:rPr>
        <w:t xml:space="preserve"> os direitos da criança em toda a União.</w:t>
      </w:r>
      <w:r>
        <w:rPr>
          <w:rFonts w:ascii="Garamond" w:hAnsi="Garamond"/>
          <w:sz w:val="24"/>
          <w:szCs w:val="24"/>
        </w:rPr>
        <w:t xml:space="preserve"> A vice-presidente </w:t>
      </w:r>
      <w:proofErr w:type="spellStart"/>
      <w:r w:rsidRPr="00112EB5">
        <w:rPr>
          <w:rFonts w:ascii="Garamond" w:hAnsi="Garamond"/>
          <w:i/>
          <w:iCs/>
          <w:sz w:val="24"/>
          <w:szCs w:val="24"/>
        </w:rPr>
        <w:t>Ewa</w:t>
      </w:r>
      <w:proofErr w:type="spellEnd"/>
      <w:r w:rsidRPr="00112EB5">
        <w:rPr>
          <w:rFonts w:ascii="Garamond" w:hAnsi="Garamond"/>
          <w:i/>
          <w:iCs/>
          <w:sz w:val="24"/>
          <w:szCs w:val="24"/>
        </w:rPr>
        <w:t xml:space="preserve"> </w:t>
      </w:r>
      <w:proofErr w:type="spellStart"/>
      <w:r w:rsidRPr="00112EB5">
        <w:rPr>
          <w:rFonts w:ascii="Garamond" w:hAnsi="Garamond"/>
          <w:i/>
          <w:iCs/>
          <w:sz w:val="24"/>
          <w:szCs w:val="24"/>
        </w:rPr>
        <w:t>Kopacz</w:t>
      </w:r>
      <w:proofErr w:type="spellEnd"/>
      <w:r w:rsidRPr="00112EB5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foi nomeada </w:t>
      </w:r>
      <w:r w:rsidRPr="00112EB5">
        <w:rPr>
          <w:rFonts w:ascii="Garamond" w:hAnsi="Garamond"/>
          <w:sz w:val="24"/>
          <w:szCs w:val="24"/>
        </w:rPr>
        <w:t>Coordenadora do Parlamento Europeu para os Direitos da Criança desde 2019.</w:t>
      </w:r>
    </w:p>
    <w:p w14:paraId="006857C2" w14:textId="77777777" w:rsidR="003C15B5" w:rsidRDefault="003C15B5" w:rsidP="003C15B5">
      <w:pPr>
        <w:ind w:firstLine="708"/>
        <w:jc w:val="both"/>
        <w:rPr>
          <w:rFonts w:ascii="Garamond" w:hAnsi="Garamond"/>
          <w:sz w:val="24"/>
          <w:szCs w:val="24"/>
        </w:rPr>
      </w:pPr>
      <w:r w:rsidRPr="00DD7B7D">
        <w:rPr>
          <w:rFonts w:ascii="Garamond" w:hAnsi="Garamond"/>
          <w:sz w:val="24"/>
          <w:szCs w:val="24"/>
        </w:rPr>
        <w:t xml:space="preserve">Além disso, a UE adotou </w:t>
      </w:r>
      <w:r>
        <w:rPr>
          <w:rFonts w:ascii="Garamond" w:hAnsi="Garamond"/>
          <w:sz w:val="24"/>
          <w:szCs w:val="24"/>
        </w:rPr>
        <w:t>diplomas</w:t>
      </w:r>
      <w:r w:rsidRPr="00DD7B7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específicos, já </w:t>
      </w:r>
      <w:r w:rsidRPr="00112EB5">
        <w:rPr>
          <w:rFonts w:ascii="Garamond" w:hAnsi="Garamond"/>
          <w:i/>
          <w:iCs/>
          <w:sz w:val="24"/>
          <w:szCs w:val="24"/>
        </w:rPr>
        <w:t xml:space="preserve">hard </w:t>
      </w:r>
      <w:proofErr w:type="spellStart"/>
      <w:r w:rsidRPr="00112EB5">
        <w:rPr>
          <w:rFonts w:ascii="Garamond" w:hAnsi="Garamond"/>
          <w:i/>
          <w:iCs/>
          <w:sz w:val="24"/>
          <w:szCs w:val="24"/>
        </w:rPr>
        <w:t>law</w:t>
      </w:r>
      <w:proofErr w:type="spellEnd"/>
      <w:r>
        <w:rPr>
          <w:rFonts w:ascii="Garamond" w:hAnsi="Garamond"/>
          <w:sz w:val="24"/>
          <w:szCs w:val="24"/>
        </w:rPr>
        <w:t>,</w:t>
      </w:r>
      <w:r w:rsidRPr="00DD7B7D">
        <w:rPr>
          <w:rFonts w:ascii="Garamond" w:hAnsi="Garamond"/>
          <w:sz w:val="24"/>
          <w:szCs w:val="24"/>
        </w:rPr>
        <w:t xml:space="preserve"> para proteger as crianças de situações prejudiciais, como abuso, negligência e exploração. Essas medidas incluem, por exemplo, a Diretiva da UE sobre o combate ao abuso sexual e à exploração sexual de crianças e à pornografia infantil</w:t>
      </w:r>
      <w:r>
        <w:rPr>
          <w:rFonts w:ascii="Garamond" w:hAnsi="Garamond"/>
          <w:sz w:val="24"/>
          <w:szCs w:val="24"/>
        </w:rPr>
        <w:t xml:space="preserve"> </w:t>
      </w:r>
      <w:r w:rsidRPr="00DD7B7D">
        <w:rPr>
          <w:rFonts w:ascii="Garamond" w:hAnsi="Garamond"/>
          <w:sz w:val="24"/>
          <w:szCs w:val="24"/>
        </w:rPr>
        <w:t>e a Diretiva da UE sobre a luta contra o tráfico de seres humanos</w:t>
      </w:r>
      <w:r>
        <w:rPr>
          <w:rFonts w:ascii="Garamond" w:hAnsi="Garamond"/>
          <w:sz w:val="24"/>
          <w:szCs w:val="24"/>
        </w:rPr>
        <w:t xml:space="preserve"> ambas de 2011</w:t>
      </w:r>
      <w:r w:rsidRPr="00DD7B7D">
        <w:rPr>
          <w:rFonts w:ascii="Garamond" w:hAnsi="Garamond"/>
          <w:sz w:val="24"/>
          <w:szCs w:val="24"/>
        </w:rPr>
        <w:t>.</w:t>
      </w:r>
    </w:p>
    <w:p w14:paraId="156D063A" w14:textId="3DFB5B09" w:rsidR="00D9730A" w:rsidRPr="00A8197D" w:rsidRDefault="003C15B5" w:rsidP="003C15B5">
      <w:pPr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Cumpre salientar estas preocupações e acompanhar os marcos jurídicos no direito da União Europeia relativos aos direitos das crianças como valor de democracia.</w:t>
      </w:r>
    </w:p>
    <w:p w14:paraId="5564B433" w14:textId="6AEBDDD4" w:rsidR="00806E2E" w:rsidRDefault="00806E2E" w:rsidP="00D9730A">
      <w:pPr>
        <w:spacing w:line="360" w:lineRule="auto"/>
        <w:jc w:val="both"/>
        <w:rPr>
          <w:b/>
          <w:bCs/>
        </w:rPr>
      </w:pPr>
    </w:p>
    <w:p w14:paraId="4BE2BF4F" w14:textId="093D7878" w:rsidR="00207533" w:rsidRDefault="00207533" w:rsidP="00207533">
      <w:pPr>
        <w:spacing w:line="360" w:lineRule="auto"/>
        <w:jc w:val="both"/>
      </w:pPr>
      <w:r w:rsidRPr="00773CF6">
        <w:rPr>
          <w:b/>
          <w:bCs/>
        </w:rPr>
        <w:t xml:space="preserve">Palavras-chave: </w:t>
      </w:r>
      <w:r w:rsidR="003C15B5">
        <w:t>direitos das crianças</w:t>
      </w:r>
      <w:r w:rsidR="003C15B5" w:rsidRPr="00C9780B">
        <w:t xml:space="preserve">; </w:t>
      </w:r>
      <w:r w:rsidR="003C15B5">
        <w:t>documentação; diretiva;</w:t>
      </w:r>
      <w:r w:rsidR="00C9780B" w:rsidRPr="00C9780B">
        <w:t xml:space="preserve"> União Europeia</w:t>
      </w:r>
      <w:r>
        <w:t xml:space="preserve">  </w:t>
      </w:r>
    </w:p>
    <w:p w14:paraId="1CFC0783" w14:textId="77777777" w:rsidR="00207533" w:rsidRDefault="00207533" w:rsidP="00207533">
      <w:pPr>
        <w:spacing w:line="360" w:lineRule="auto"/>
        <w:jc w:val="both"/>
      </w:pPr>
    </w:p>
    <w:p w14:paraId="0BB8DFC5" w14:textId="77777777" w:rsidR="00207533" w:rsidRPr="00F252BB" w:rsidRDefault="00207533" w:rsidP="00207533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Referências breves</w:t>
      </w:r>
    </w:p>
    <w:p w14:paraId="431568E2" w14:textId="538BB2C5" w:rsidR="00C9780B" w:rsidRPr="00C9780B" w:rsidRDefault="00733710" w:rsidP="00C9780B">
      <w:pPr>
        <w:pStyle w:val="Textodenotaderodap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-------</w:t>
      </w:r>
    </w:p>
    <w:p w14:paraId="0B70D41A" w14:textId="77777777" w:rsidR="00207533" w:rsidRDefault="00207533" w:rsidP="00207533">
      <w:pPr>
        <w:spacing w:line="360" w:lineRule="auto"/>
        <w:jc w:val="both"/>
      </w:pPr>
    </w:p>
    <w:p w14:paraId="5E163C1C" w14:textId="2D6C8083" w:rsidR="00207533" w:rsidRPr="006623EA" w:rsidRDefault="00207533" w:rsidP="00207533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Documentação</w:t>
      </w:r>
    </w:p>
    <w:p w14:paraId="6FD1825C" w14:textId="77777777" w:rsidR="003C15B5" w:rsidRPr="00112EB5" w:rsidRDefault="003C15B5" w:rsidP="003C15B5">
      <w:pPr>
        <w:shd w:val="clear" w:color="auto" w:fill="FFFFFF"/>
        <w:spacing w:after="75" w:line="240" w:lineRule="auto"/>
        <w:jc w:val="both"/>
        <w:rPr>
          <w:rFonts w:ascii="Roboto" w:eastAsia="Times New Roman" w:hAnsi="Roboto" w:cs="Times New Roman"/>
          <w:sz w:val="21"/>
          <w:szCs w:val="21"/>
          <w:lang w:eastAsia="pt-PT"/>
        </w:rPr>
      </w:pPr>
      <w:proofErr w:type="spellStart"/>
      <w:r w:rsidRPr="00112EB5">
        <w:rPr>
          <w:rFonts w:ascii="Roboto" w:eastAsia="Times New Roman" w:hAnsi="Roboto" w:cs="Times New Roman"/>
          <w:sz w:val="21"/>
          <w:szCs w:val="21"/>
          <w:lang w:eastAsia="pt-PT"/>
        </w:rPr>
        <w:t>Directiva</w:t>
      </w:r>
      <w:proofErr w:type="spellEnd"/>
      <w:r w:rsidRPr="00112EB5">
        <w:rPr>
          <w:rFonts w:ascii="Roboto" w:eastAsia="Times New Roman" w:hAnsi="Roboto" w:cs="Times New Roman"/>
          <w:sz w:val="21"/>
          <w:szCs w:val="21"/>
          <w:lang w:eastAsia="pt-PT"/>
        </w:rPr>
        <w:t xml:space="preserve"> 2011/93/UE do Parlamento Europeu e do Conselho, de 13 de Dezembro de 2011 , relativa à luta contra o abuso sexual e a exploração sexual de crianças e a pornografia infantil, e que substitui a Decisão-Quadro 2004/68/JAI do Conselho</w:t>
      </w:r>
      <w:r>
        <w:rPr>
          <w:rFonts w:ascii="Roboto" w:eastAsia="Times New Roman" w:hAnsi="Roboto" w:cs="Times New Roman"/>
          <w:sz w:val="21"/>
          <w:szCs w:val="21"/>
          <w:lang w:eastAsia="pt-PT"/>
        </w:rPr>
        <w:t xml:space="preserve">, </w:t>
      </w:r>
      <w:r w:rsidRPr="00112EB5">
        <w:rPr>
          <w:rFonts w:ascii="Roboto" w:eastAsia="Times New Roman" w:hAnsi="Roboto" w:cs="Times New Roman"/>
          <w:sz w:val="21"/>
          <w:szCs w:val="21"/>
          <w:lang w:eastAsia="pt-PT"/>
        </w:rPr>
        <w:t>J</w:t>
      </w:r>
      <w:r w:rsidRPr="00BE4672">
        <w:rPr>
          <w:rFonts w:ascii="Roboto" w:eastAsia="Times New Roman" w:hAnsi="Roboto" w:cs="Times New Roman"/>
          <w:sz w:val="21"/>
          <w:szCs w:val="21"/>
          <w:lang w:eastAsia="pt-PT"/>
        </w:rPr>
        <w:t>OUE</w:t>
      </w:r>
      <w:r w:rsidRPr="00112EB5">
        <w:rPr>
          <w:rFonts w:ascii="Roboto" w:eastAsia="Times New Roman" w:hAnsi="Roboto" w:cs="Times New Roman"/>
          <w:sz w:val="21"/>
          <w:szCs w:val="21"/>
          <w:lang w:eastAsia="pt-PT"/>
        </w:rPr>
        <w:t xml:space="preserve"> L 335, 17.12.2011, p</w:t>
      </w:r>
      <w:r w:rsidRPr="00BE4672">
        <w:rPr>
          <w:rFonts w:ascii="Roboto" w:eastAsia="Times New Roman" w:hAnsi="Roboto" w:cs="Times New Roman"/>
          <w:sz w:val="21"/>
          <w:szCs w:val="21"/>
          <w:lang w:eastAsia="pt-PT"/>
        </w:rPr>
        <w:t>p</w:t>
      </w:r>
      <w:r w:rsidRPr="00112EB5">
        <w:rPr>
          <w:rFonts w:ascii="Roboto" w:eastAsia="Times New Roman" w:hAnsi="Roboto" w:cs="Times New Roman"/>
          <w:sz w:val="21"/>
          <w:szCs w:val="21"/>
          <w:lang w:eastAsia="pt-PT"/>
        </w:rPr>
        <w:t>. 1–14</w:t>
      </w:r>
      <w:r w:rsidRPr="00BE4672">
        <w:rPr>
          <w:rFonts w:ascii="Roboto" w:eastAsia="Times New Roman" w:hAnsi="Roboto" w:cs="Times New Roman"/>
          <w:sz w:val="21"/>
          <w:szCs w:val="21"/>
          <w:lang w:eastAsia="pt-PT"/>
        </w:rPr>
        <w:t>.</w:t>
      </w:r>
    </w:p>
    <w:p w14:paraId="5382F35D" w14:textId="77777777" w:rsidR="003C15B5" w:rsidRPr="00CF3D78" w:rsidRDefault="003C15B5" w:rsidP="003C15B5">
      <w:pPr>
        <w:shd w:val="clear" w:color="auto" w:fill="FFFFFF"/>
        <w:spacing w:after="75" w:line="240" w:lineRule="auto"/>
        <w:jc w:val="both"/>
        <w:rPr>
          <w:rFonts w:ascii="Roboto" w:eastAsia="Times New Roman" w:hAnsi="Roboto" w:cs="Times New Roman"/>
          <w:sz w:val="21"/>
          <w:szCs w:val="21"/>
          <w:lang w:eastAsia="pt-PT"/>
        </w:rPr>
      </w:pPr>
      <w:proofErr w:type="spellStart"/>
      <w:r w:rsidRPr="00CF3D78">
        <w:rPr>
          <w:rFonts w:ascii="Roboto" w:eastAsia="Times New Roman" w:hAnsi="Roboto" w:cs="Times New Roman"/>
          <w:sz w:val="21"/>
          <w:szCs w:val="21"/>
          <w:lang w:eastAsia="pt-PT"/>
        </w:rPr>
        <w:t>Directiva</w:t>
      </w:r>
      <w:proofErr w:type="spellEnd"/>
      <w:r w:rsidRPr="00CF3D78">
        <w:rPr>
          <w:rFonts w:ascii="Roboto" w:eastAsia="Times New Roman" w:hAnsi="Roboto" w:cs="Times New Roman"/>
          <w:sz w:val="21"/>
          <w:szCs w:val="21"/>
          <w:lang w:eastAsia="pt-PT"/>
        </w:rPr>
        <w:t xml:space="preserve"> 2011/36/UE do Parlamento Europeu e do Conselho, de 5 de Abril de 2011 , relativa à prevenção e luta contra o tráfico de seres humanos e à </w:t>
      </w:r>
      <w:proofErr w:type="spellStart"/>
      <w:r w:rsidRPr="00CF3D78">
        <w:rPr>
          <w:rFonts w:ascii="Roboto" w:eastAsia="Times New Roman" w:hAnsi="Roboto" w:cs="Times New Roman"/>
          <w:sz w:val="21"/>
          <w:szCs w:val="21"/>
          <w:lang w:eastAsia="pt-PT"/>
        </w:rPr>
        <w:t>protecção</w:t>
      </w:r>
      <w:proofErr w:type="spellEnd"/>
      <w:r w:rsidRPr="00CF3D78">
        <w:rPr>
          <w:rFonts w:ascii="Roboto" w:eastAsia="Times New Roman" w:hAnsi="Roboto" w:cs="Times New Roman"/>
          <w:sz w:val="21"/>
          <w:szCs w:val="21"/>
          <w:lang w:eastAsia="pt-PT"/>
        </w:rPr>
        <w:t xml:space="preserve"> das vítimas, e que substitui a Decisão-Quadro 2002/629/JAI do Conselho</w:t>
      </w:r>
      <w:r>
        <w:rPr>
          <w:rFonts w:ascii="Roboto" w:eastAsia="Times New Roman" w:hAnsi="Roboto" w:cs="Times New Roman"/>
          <w:sz w:val="21"/>
          <w:szCs w:val="21"/>
          <w:lang w:eastAsia="pt-PT"/>
        </w:rPr>
        <w:t xml:space="preserve">, </w:t>
      </w:r>
      <w:r w:rsidRPr="00CF3D78">
        <w:rPr>
          <w:rFonts w:ascii="Roboto" w:eastAsia="Times New Roman" w:hAnsi="Roboto" w:cs="Times New Roman"/>
          <w:sz w:val="21"/>
          <w:szCs w:val="21"/>
          <w:lang w:eastAsia="pt-PT"/>
        </w:rPr>
        <w:t>J</w:t>
      </w:r>
      <w:r w:rsidRPr="007A4A7E">
        <w:rPr>
          <w:rFonts w:ascii="Roboto" w:eastAsia="Times New Roman" w:hAnsi="Roboto" w:cs="Times New Roman"/>
          <w:sz w:val="21"/>
          <w:szCs w:val="21"/>
          <w:lang w:eastAsia="pt-PT"/>
        </w:rPr>
        <w:t>OUE</w:t>
      </w:r>
      <w:r w:rsidRPr="00CF3D78">
        <w:rPr>
          <w:rFonts w:ascii="Roboto" w:eastAsia="Times New Roman" w:hAnsi="Roboto" w:cs="Times New Roman"/>
          <w:sz w:val="21"/>
          <w:szCs w:val="21"/>
          <w:lang w:eastAsia="pt-PT"/>
        </w:rPr>
        <w:t xml:space="preserve"> L 101, 15.</w:t>
      </w:r>
      <w:r>
        <w:rPr>
          <w:rFonts w:ascii="Roboto" w:eastAsia="Times New Roman" w:hAnsi="Roboto" w:cs="Times New Roman"/>
          <w:sz w:val="21"/>
          <w:szCs w:val="21"/>
          <w:lang w:eastAsia="pt-PT"/>
        </w:rPr>
        <w:t>0</w:t>
      </w:r>
      <w:r w:rsidRPr="00CF3D78">
        <w:rPr>
          <w:rFonts w:ascii="Roboto" w:eastAsia="Times New Roman" w:hAnsi="Roboto" w:cs="Times New Roman"/>
          <w:sz w:val="21"/>
          <w:szCs w:val="21"/>
          <w:lang w:eastAsia="pt-PT"/>
        </w:rPr>
        <w:t>4.2011, p</w:t>
      </w:r>
      <w:r w:rsidRPr="007A4A7E">
        <w:rPr>
          <w:rFonts w:ascii="Roboto" w:eastAsia="Times New Roman" w:hAnsi="Roboto" w:cs="Times New Roman"/>
          <w:sz w:val="21"/>
          <w:szCs w:val="21"/>
          <w:lang w:eastAsia="pt-PT"/>
        </w:rPr>
        <w:t>p</w:t>
      </w:r>
      <w:r w:rsidRPr="00CF3D78">
        <w:rPr>
          <w:rFonts w:ascii="Roboto" w:eastAsia="Times New Roman" w:hAnsi="Roboto" w:cs="Times New Roman"/>
          <w:sz w:val="21"/>
          <w:szCs w:val="21"/>
          <w:lang w:eastAsia="pt-PT"/>
        </w:rPr>
        <w:t>. 1–11</w:t>
      </w:r>
      <w:r>
        <w:rPr>
          <w:rFonts w:ascii="Roboto" w:eastAsia="Times New Roman" w:hAnsi="Roboto" w:cs="Times New Roman"/>
          <w:i/>
          <w:iCs/>
          <w:sz w:val="21"/>
          <w:szCs w:val="21"/>
          <w:lang w:eastAsia="pt-PT"/>
        </w:rPr>
        <w:t>.</w:t>
      </w:r>
    </w:p>
    <w:p w14:paraId="3BB3126F" w14:textId="321B8806" w:rsidR="00C9780B" w:rsidRDefault="00C9780B" w:rsidP="00C9780B">
      <w:pPr>
        <w:ind w:right="-1135"/>
        <w:jc w:val="both"/>
        <w:rPr>
          <w:rFonts w:ascii="Times New Roman" w:hAnsi="Times New Roman" w:cs="Times New Roman"/>
          <w:noProof/>
        </w:rPr>
      </w:pPr>
      <w:r w:rsidRPr="003D78A8">
        <w:rPr>
          <w:rFonts w:ascii="Times New Roman" w:hAnsi="Times New Roman" w:cs="Times New Roman"/>
        </w:rPr>
        <w:t xml:space="preserve">     </w:t>
      </w:r>
    </w:p>
    <w:p w14:paraId="6C577D78" w14:textId="361B62BF" w:rsidR="00B4724B" w:rsidRPr="000D6CE4" w:rsidRDefault="00B4724B" w:rsidP="00B4724B">
      <w:pPr>
        <w:pStyle w:val="Ttulo2"/>
        <w:spacing w:before="0" w:after="150" w:line="360" w:lineRule="atLeast"/>
        <w:rPr>
          <w:rFonts w:ascii="Open Sans" w:hAnsi="Open Sans" w:cs="Open Sans"/>
          <w:sz w:val="22"/>
          <w:szCs w:val="22"/>
        </w:rPr>
      </w:pPr>
      <w:proofErr w:type="spellStart"/>
      <w:r w:rsidRPr="000D6CE4">
        <w:rPr>
          <w:rFonts w:ascii="Open Sans" w:hAnsi="Open Sans" w:cs="Open Sans"/>
          <w:sz w:val="22"/>
          <w:szCs w:val="22"/>
        </w:rPr>
        <w:t>Call</w:t>
      </w:r>
      <w:proofErr w:type="spellEnd"/>
      <w:r w:rsidRPr="000D6CE4">
        <w:rPr>
          <w:rFonts w:ascii="Open Sans" w:hAnsi="Open Sans" w:cs="Open Sans"/>
          <w:sz w:val="22"/>
          <w:szCs w:val="22"/>
        </w:rPr>
        <w:t xml:space="preserve"> for </w:t>
      </w:r>
      <w:proofErr w:type="spellStart"/>
      <w:r w:rsidRPr="000D6CE4">
        <w:rPr>
          <w:rFonts w:ascii="Open Sans" w:hAnsi="Open Sans" w:cs="Open Sans"/>
          <w:sz w:val="22"/>
          <w:szCs w:val="22"/>
        </w:rPr>
        <w:t>papers</w:t>
      </w:r>
      <w:proofErr w:type="spellEnd"/>
      <w:r w:rsidRPr="000D6CE4">
        <w:rPr>
          <w:rFonts w:ascii="Open Sans" w:hAnsi="Open Sans" w:cs="Open Sans"/>
          <w:sz w:val="22"/>
          <w:szCs w:val="22"/>
        </w:rPr>
        <w:t xml:space="preserve">  </w:t>
      </w:r>
    </w:p>
    <w:p w14:paraId="23B31A25" w14:textId="77777777" w:rsidR="000D6CE4" w:rsidRPr="000D6CE4" w:rsidRDefault="000D6CE4" w:rsidP="000D6CE4">
      <w:pPr>
        <w:shd w:val="clear" w:color="auto" w:fill="F5F5F5"/>
        <w:spacing w:after="150" w:line="240" w:lineRule="auto"/>
        <w:rPr>
          <w:rFonts w:ascii="Roboto" w:eastAsia="Times New Roman" w:hAnsi="Roboto" w:cs="Times New Roman"/>
          <w:color w:val="212121"/>
          <w:lang w:eastAsia="pt-PT"/>
        </w:rPr>
      </w:pPr>
      <w:r w:rsidRPr="000D6CE4">
        <w:rPr>
          <w:rFonts w:ascii="Roboto" w:eastAsia="Times New Roman" w:hAnsi="Roboto" w:cs="Times New Roman"/>
          <w:color w:val="212121"/>
          <w:lang w:eastAsia="pt-PT"/>
        </w:rPr>
        <w:t xml:space="preserve">Chamada para resumos (1ª fase) - a decorrer </w:t>
      </w:r>
      <w:r w:rsidRPr="000D6CE4">
        <w:rPr>
          <w:rFonts w:ascii="Roboto" w:eastAsia="Times New Roman" w:hAnsi="Roboto" w:cs="Times New Roman"/>
          <w:color w:val="212121"/>
          <w:highlight w:val="yellow"/>
          <w:lang w:eastAsia="pt-PT"/>
        </w:rPr>
        <w:t>até 15 de março</w:t>
      </w:r>
    </w:p>
    <w:p w14:paraId="7036BD02" w14:textId="071417E4" w:rsidR="00140350" w:rsidRDefault="00000000" w:rsidP="002A7133">
      <w:hyperlink r:id="rId11" w:history="1">
        <w:r w:rsidR="000D6CE4" w:rsidRPr="00446FD2">
          <w:rPr>
            <w:rStyle w:val="Hiperligao"/>
          </w:rPr>
          <w:t>https://ciais.eventqualia.net/pt/2023/inicio/resumos/normas-de-submiss%C3%A3o/</w:t>
        </w:r>
      </w:hyperlink>
      <w:r w:rsidR="000D6CE4">
        <w:t xml:space="preserve"> </w:t>
      </w:r>
    </w:p>
    <w:p w14:paraId="28E54CB6" w14:textId="480F64D8" w:rsidR="007B1C54" w:rsidRDefault="00000000" w:rsidP="002A7133">
      <w:hyperlink r:id="rId12" w:history="1">
        <w:r w:rsidR="007B1C54" w:rsidRPr="00446FD2">
          <w:rPr>
            <w:rStyle w:val="Hiperligao"/>
          </w:rPr>
          <w:t>https://ciais.eventqualia.net/pt/2023/inicio/inscri%C3%A7%C3%A3o/</w:t>
        </w:r>
      </w:hyperlink>
    </w:p>
    <w:p w14:paraId="1020FB23" w14:textId="77777777" w:rsidR="007B1C54" w:rsidRPr="000D6CE4" w:rsidRDefault="007B1C54" w:rsidP="002A7133"/>
    <w:sectPr w:rsidR="007B1C54" w:rsidRPr="000D6CE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F57C6" w14:textId="77777777" w:rsidR="008F003C" w:rsidRDefault="008F003C" w:rsidP="00207533">
      <w:pPr>
        <w:spacing w:after="0" w:line="240" w:lineRule="auto"/>
      </w:pPr>
      <w:r>
        <w:separator/>
      </w:r>
    </w:p>
  </w:endnote>
  <w:endnote w:type="continuationSeparator" w:id="0">
    <w:p w14:paraId="1BB8C99B" w14:textId="77777777" w:rsidR="008F003C" w:rsidRDefault="008F003C" w:rsidP="002075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B55210" w14:textId="77777777" w:rsidR="008F003C" w:rsidRDefault="008F003C" w:rsidP="00207533">
      <w:pPr>
        <w:spacing w:after="0" w:line="240" w:lineRule="auto"/>
      </w:pPr>
      <w:r>
        <w:separator/>
      </w:r>
    </w:p>
  </w:footnote>
  <w:footnote w:type="continuationSeparator" w:id="0">
    <w:p w14:paraId="1F8C9041" w14:textId="77777777" w:rsidR="008F003C" w:rsidRDefault="008F003C" w:rsidP="002075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4713BB"/>
    <w:multiLevelType w:val="multilevel"/>
    <w:tmpl w:val="37A6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648004C"/>
    <w:multiLevelType w:val="multilevel"/>
    <w:tmpl w:val="12A0D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FB048B"/>
    <w:multiLevelType w:val="hybridMultilevel"/>
    <w:tmpl w:val="7DDCC0C4"/>
    <w:lvl w:ilvl="0" w:tplc="0816000F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506" w:hanging="360"/>
      </w:pPr>
    </w:lvl>
    <w:lvl w:ilvl="2" w:tplc="0816001B" w:tentative="1">
      <w:start w:val="1"/>
      <w:numFmt w:val="lowerRoman"/>
      <w:lvlText w:val="%3."/>
      <w:lvlJc w:val="right"/>
      <w:pPr>
        <w:ind w:left="2226" w:hanging="180"/>
      </w:pPr>
    </w:lvl>
    <w:lvl w:ilvl="3" w:tplc="0816000F" w:tentative="1">
      <w:start w:val="1"/>
      <w:numFmt w:val="decimal"/>
      <w:lvlText w:val="%4."/>
      <w:lvlJc w:val="left"/>
      <w:pPr>
        <w:ind w:left="2946" w:hanging="360"/>
      </w:pPr>
    </w:lvl>
    <w:lvl w:ilvl="4" w:tplc="08160019" w:tentative="1">
      <w:start w:val="1"/>
      <w:numFmt w:val="lowerLetter"/>
      <w:lvlText w:val="%5."/>
      <w:lvlJc w:val="left"/>
      <w:pPr>
        <w:ind w:left="3666" w:hanging="360"/>
      </w:pPr>
    </w:lvl>
    <w:lvl w:ilvl="5" w:tplc="0816001B" w:tentative="1">
      <w:start w:val="1"/>
      <w:numFmt w:val="lowerRoman"/>
      <w:lvlText w:val="%6."/>
      <w:lvlJc w:val="right"/>
      <w:pPr>
        <w:ind w:left="4386" w:hanging="180"/>
      </w:pPr>
    </w:lvl>
    <w:lvl w:ilvl="6" w:tplc="0816000F" w:tentative="1">
      <w:start w:val="1"/>
      <w:numFmt w:val="decimal"/>
      <w:lvlText w:val="%7."/>
      <w:lvlJc w:val="left"/>
      <w:pPr>
        <w:ind w:left="5106" w:hanging="360"/>
      </w:pPr>
    </w:lvl>
    <w:lvl w:ilvl="7" w:tplc="08160019" w:tentative="1">
      <w:start w:val="1"/>
      <w:numFmt w:val="lowerLetter"/>
      <w:lvlText w:val="%8."/>
      <w:lvlJc w:val="left"/>
      <w:pPr>
        <w:ind w:left="5826" w:hanging="360"/>
      </w:pPr>
    </w:lvl>
    <w:lvl w:ilvl="8" w:tplc="0816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B8C0EA4"/>
    <w:multiLevelType w:val="multilevel"/>
    <w:tmpl w:val="AE2673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06128164">
    <w:abstractNumId w:val="0"/>
  </w:num>
  <w:num w:numId="2" w16cid:durableId="892430868">
    <w:abstractNumId w:val="1"/>
  </w:num>
  <w:num w:numId="3" w16cid:durableId="1251231803">
    <w:abstractNumId w:val="3"/>
  </w:num>
  <w:num w:numId="4" w16cid:durableId="2764537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31"/>
    <w:rsid w:val="00021A2F"/>
    <w:rsid w:val="000879CF"/>
    <w:rsid w:val="000A1E8B"/>
    <w:rsid w:val="000C7A56"/>
    <w:rsid w:val="000D6CE4"/>
    <w:rsid w:val="0010164D"/>
    <w:rsid w:val="00102C2D"/>
    <w:rsid w:val="00116C72"/>
    <w:rsid w:val="00140350"/>
    <w:rsid w:val="00163401"/>
    <w:rsid w:val="00164031"/>
    <w:rsid w:val="00177E86"/>
    <w:rsid w:val="00183CE7"/>
    <w:rsid w:val="001D37C2"/>
    <w:rsid w:val="001F5CA4"/>
    <w:rsid w:val="00206805"/>
    <w:rsid w:val="00207533"/>
    <w:rsid w:val="00207D00"/>
    <w:rsid w:val="0021166E"/>
    <w:rsid w:val="00216189"/>
    <w:rsid w:val="00262E56"/>
    <w:rsid w:val="00265572"/>
    <w:rsid w:val="002A7133"/>
    <w:rsid w:val="002D62BA"/>
    <w:rsid w:val="002F20E2"/>
    <w:rsid w:val="002F3B7D"/>
    <w:rsid w:val="00305A70"/>
    <w:rsid w:val="00310344"/>
    <w:rsid w:val="00312DAC"/>
    <w:rsid w:val="00333271"/>
    <w:rsid w:val="00370A29"/>
    <w:rsid w:val="00374812"/>
    <w:rsid w:val="003923A2"/>
    <w:rsid w:val="003C15B5"/>
    <w:rsid w:val="003D48F3"/>
    <w:rsid w:val="00402D2E"/>
    <w:rsid w:val="0043202F"/>
    <w:rsid w:val="00432AB2"/>
    <w:rsid w:val="00455147"/>
    <w:rsid w:val="004655CF"/>
    <w:rsid w:val="004E70BE"/>
    <w:rsid w:val="00501792"/>
    <w:rsid w:val="00544E9B"/>
    <w:rsid w:val="00556343"/>
    <w:rsid w:val="00563BFB"/>
    <w:rsid w:val="00575180"/>
    <w:rsid w:val="005C7943"/>
    <w:rsid w:val="005F30BF"/>
    <w:rsid w:val="005F499D"/>
    <w:rsid w:val="006227D8"/>
    <w:rsid w:val="006341D8"/>
    <w:rsid w:val="006623EA"/>
    <w:rsid w:val="00662405"/>
    <w:rsid w:val="006F1ECA"/>
    <w:rsid w:val="00733710"/>
    <w:rsid w:val="007533DF"/>
    <w:rsid w:val="00797076"/>
    <w:rsid w:val="007B1C54"/>
    <w:rsid w:val="007B7F80"/>
    <w:rsid w:val="007F351B"/>
    <w:rsid w:val="00806E2E"/>
    <w:rsid w:val="008417C4"/>
    <w:rsid w:val="00861341"/>
    <w:rsid w:val="008677F5"/>
    <w:rsid w:val="00897D13"/>
    <w:rsid w:val="008A5A7C"/>
    <w:rsid w:val="008F003C"/>
    <w:rsid w:val="008F11BF"/>
    <w:rsid w:val="00940FC4"/>
    <w:rsid w:val="009633F6"/>
    <w:rsid w:val="0097632D"/>
    <w:rsid w:val="009779AC"/>
    <w:rsid w:val="00980DAC"/>
    <w:rsid w:val="0099791B"/>
    <w:rsid w:val="00997B64"/>
    <w:rsid w:val="009B5A7A"/>
    <w:rsid w:val="009C1FC3"/>
    <w:rsid w:val="009D7094"/>
    <w:rsid w:val="009E677A"/>
    <w:rsid w:val="009F649D"/>
    <w:rsid w:val="00A10663"/>
    <w:rsid w:val="00A71353"/>
    <w:rsid w:val="00A825A7"/>
    <w:rsid w:val="00AA2381"/>
    <w:rsid w:val="00AE55ED"/>
    <w:rsid w:val="00AF6237"/>
    <w:rsid w:val="00B14F78"/>
    <w:rsid w:val="00B17BD0"/>
    <w:rsid w:val="00B37C29"/>
    <w:rsid w:val="00B4724B"/>
    <w:rsid w:val="00B623C8"/>
    <w:rsid w:val="00BD6F6F"/>
    <w:rsid w:val="00BE238F"/>
    <w:rsid w:val="00C04309"/>
    <w:rsid w:val="00C34DE2"/>
    <w:rsid w:val="00C66374"/>
    <w:rsid w:val="00C732CF"/>
    <w:rsid w:val="00C9780B"/>
    <w:rsid w:val="00CC4A47"/>
    <w:rsid w:val="00CD0114"/>
    <w:rsid w:val="00CF2D15"/>
    <w:rsid w:val="00D065C7"/>
    <w:rsid w:val="00D9730A"/>
    <w:rsid w:val="00DB1833"/>
    <w:rsid w:val="00DB5053"/>
    <w:rsid w:val="00DC3BBD"/>
    <w:rsid w:val="00DC72EC"/>
    <w:rsid w:val="00DD1BF6"/>
    <w:rsid w:val="00DF0C96"/>
    <w:rsid w:val="00E3584E"/>
    <w:rsid w:val="00E519F7"/>
    <w:rsid w:val="00E855DD"/>
    <w:rsid w:val="00EC43F6"/>
    <w:rsid w:val="00EE0488"/>
    <w:rsid w:val="00EE1A41"/>
    <w:rsid w:val="00EE4CF5"/>
    <w:rsid w:val="00F01F8C"/>
    <w:rsid w:val="00F03F8A"/>
    <w:rsid w:val="00F22E39"/>
    <w:rsid w:val="00F42AB1"/>
    <w:rsid w:val="00F60C48"/>
    <w:rsid w:val="00F6475E"/>
    <w:rsid w:val="00FC2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FC35C"/>
  <w15:chartTrackingRefBased/>
  <w15:docId w15:val="{178DA4B3-5384-4905-A17C-71300DBB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812"/>
  </w:style>
  <w:style w:type="paragraph" w:styleId="Ttulo1">
    <w:name w:val="heading 1"/>
    <w:basedOn w:val="Normal"/>
    <w:next w:val="Normal"/>
    <w:link w:val="Ttulo1Carter"/>
    <w:uiPriority w:val="9"/>
    <w:qFormat/>
    <w:rsid w:val="001403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633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83CE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link w:val="Ttulo4Carter"/>
    <w:uiPriority w:val="9"/>
    <w:qFormat/>
    <w:rsid w:val="0016403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arter">
    <w:name w:val="Título 4 Caráter"/>
    <w:basedOn w:val="Tipodeletrapredefinidodopargrafo"/>
    <w:link w:val="Ttulo4"/>
    <w:uiPriority w:val="9"/>
    <w:rsid w:val="00164031"/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633F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ligao">
    <w:name w:val="Hyperlink"/>
    <w:basedOn w:val="Tipodeletrapredefinidodopargrafo"/>
    <w:unhideWhenUsed/>
    <w:rsid w:val="009633F6"/>
    <w:rPr>
      <w:color w:val="0000FF"/>
      <w:u w:val="single"/>
    </w:rPr>
  </w:style>
  <w:style w:type="paragraph" w:customStyle="1" w:styleId="elementor-icon-list-item">
    <w:name w:val="elementor-icon-list-item"/>
    <w:basedOn w:val="Normal"/>
    <w:rsid w:val="00B62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elementor-icon-list-text">
    <w:name w:val="elementor-icon-list-text"/>
    <w:basedOn w:val="Tipodeletrapredefinidodopargrafo"/>
    <w:rsid w:val="00B623C8"/>
  </w:style>
  <w:style w:type="character" w:customStyle="1" w:styleId="elementor-heading-title">
    <w:name w:val="elementor-heading-title"/>
    <w:basedOn w:val="Tipodeletrapredefinidodopargrafo"/>
    <w:rsid w:val="00B623C8"/>
  </w:style>
  <w:style w:type="paragraph" w:customStyle="1" w:styleId="font8">
    <w:name w:val="font_8"/>
    <w:basedOn w:val="Normal"/>
    <w:uiPriority w:val="99"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Default">
    <w:name w:val="Default"/>
    <w:rsid w:val="00207533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paragraph" w:styleId="Textodenotaderodap">
    <w:name w:val="footnote text"/>
    <w:basedOn w:val="Normal"/>
    <w:link w:val="TextodenotaderodapCarter"/>
    <w:uiPriority w:val="99"/>
    <w:rsid w:val="00207533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207533"/>
    <w:rPr>
      <w:rFonts w:ascii="Arial" w:eastAsia="Times New Roman" w:hAnsi="Arial" w:cs="Arial"/>
      <w:sz w:val="20"/>
      <w:szCs w:val="20"/>
    </w:rPr>
  </w:style>
  <w:style w:type="character" w:styleId="Forte">
    <w:name w:val="Strong"/>
    <w:uiPriority w:val="22"/>
    <w:qFormat/>
    <w:rsid w:val="00207533"/>
    <w:rPr>
      <w:b/>
      <w:bCs/>
    </w:rPr>
  </w:style>
  <w:style w:type="character" w:styleId="Refdenotaderodap">
    <w:name w:val="footnote reference"/>
    <w:uiPriority w:val="99"/>
    <w:rsid w:val="00207533"/>
    <w:rPr>
      <w:vertAlign w:val="superscript"/>
    </w:rPr>
  </w:style>
  <w:style w:type="paragraph" w:styleId="NormalWeb">
    <w:name w:val="Normal (Web)"/>
    <w:basedOn w:val="Normal"/>
    <w:uiPriority w:val="99"/>
    <w:unhideWhenUsed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207533"/>
    <w:pPr>
      <w:spacing w:after="0" w:line="240" w:lineRule="auto"/>
    </w:pPr>
    <w:rPr>
      <w:rFonts w:ascii="Calibri" w:hAnsi="Calibri" w:cs="Calibri"/>
      <w:lang w:eastAsia="pt-PT"/>
    </w:rPr>
  </w:style>
  <w:style w:type="paragraph" w:styleId="Textosimples">
    <w:name w:val="Plain Text"/>
    <w:basedOn w:val="Normal"/>
    <w:link w:val="TextosimplesCarter"/>
    <w:uiPriority w:val="99"/>
    <w:unhideWhenUsed/>
    <w:rsid w:val="00207533"/>
    <w:pPr>
      <w:spacing w:after="0" w:line="240" w:lineRule="auto"/>
    </w:pPr>
    <w:rPr>
      <w:rFonts w:ascii="Calibri" w:hAnsi="Calibri"/>
      <w:szCs w:val="21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rsid w:val="00207533"/>
    <w:rPr>
      <w:rFonts w:ascii="Calibri" w:hAnsi="Calibri"/>
      <w:szCs w:val="21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75180"/>
    <w:rPr>
      <w:color w:val="605E5C"/>
      <w:shd w:val="clear" w:color="auto" w:fill="E1DFDD"/>
    </w:rPr>
  </w:style>
  <w:style w:type="character" w:customStyle="1" w:styleId="name">
    <w:name w:val="name"/>
    <w:basedOn w:val="Tipodeletrapredefinidodopargrafo"/>
    <w:rsid w:val="006623EA"/>
  </w:style>
  <w:style w:type="character" w:styleId="nfase">
    <w:name w:val="Emphasis"/>
    <w:basedOn w:val="Tipodeletrapredefinidodopargrafo"/>
    <w:uiPriority w:val="20"/>
    <w:qFormat/>
    <w:rsid w:val="00EE0488"/>
    <w:rPr>
      <w:i/>
      <w:iCs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1403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rgba">
    <w:name w:val="rgba"/>
    <w:basedOn w:val="Tipodeletrapredefinidodopargrafo"/>
    <w:rsid w:val="00140350"/>
  </w:style>
  <w:style w:type="paragraph" w:styleId="Bibliografia">
    <w:name w:val="Bibliography"/>
    <w:basedOn w:val="Normal"/>
    <w:next w:val="Normal"/>
    <w:uiPriority w:val="37"/>
    <w:semiHidden/>
    <w:unhideWhenUsed/>
    <w:rsid w:val="0043202F"/>
  </w:style>
  <w:style w:type="character" w:styleId="Hiperligaovisitada">
    <w:name w:val="FollowedHyperlink"/>
    <w:basedOn w:val="Tipodeletrapredefinidodopargrafo"/>
    <w:uiPriority w:val="99"/>
    <w:semiHidden/>
    <w:unhideWhenUsed/>
    <w:rsid w:val="000879CF"/>
    <w:rPr>
      <w:color w:val="954F72" w:themeColor="followedHyperlink"/>
      <w:u w:val="single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83CE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citetitle">
    <w:name w:val="cite_title"/>
    <w:basedOn w:val="Tipodeletrapredefinidodopargrafo"/>
    <w:rsid w:val="00C9780B"/>
  </w:style>
  <w:style w:type="paragraph" w:styleId="Corpodetexto">
    <w:name w:val="Body Text"/>
    <w:basedOn w:val="Normal"/>
    <w:link w:val="CorpodetextoCarter"/>
    <w:uiPriority w:val="1"/>
    <w:qFormat/>
    <w:rsid w:val="0010164D"/>
    <w:pPr>
      <w:widowControl w:val="0"/>
      <w:autoSpaceDE w:val="0"/>
      <w:autoSpaceDN w:val="0"/>
      <w:adjustRightInd w:val="0"/>
      <w:spacing w:after="0" w:line="240" w:lineRule="auto"/>
      <w:ind w:left="122" w:firstLine="566"/>
    </w:pPr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10164D"/>
    <w:rPr>
      <w:rFonts w:ascii="Calibri" w:eastAsia="Times New Roman" w:hAnsi="Calibri" w:cs="Calibri"/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43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199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06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0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431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748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26057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8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8405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31811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3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59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ais.eventqualia.net/pt/2023/inicio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ciais.eventqualia.net/pt/2023/inicio/inscri%C3%A7%C3%A3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iais.eventqualia.net/pt/2023/inicio/resumos/normas-de-submiss%C3%A3o/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daniela.castilhos@ipleiria.p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ra@upt.p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647</Words>
  <Characters>3500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Cabeçalhos</vt:lpstr>
      </vt:variant>
      <vt:variant>
        <vt:i4>6</vt:i4>
      </vt:variant>
    </vt:vector>
  </HeadingPairs>
  <TitlesOfParts>
    <vt:vector size="7" baseType="lpstr">
      <vt:lpstr/>
      <vt:lpstr>    II Congresso Internacional</vt:lpstr>
      <vt:lpstr>    Novos Desafios dos Direitos Humanos</vt:lpstr>
      <vt:lpstr>        (II CINDHU)</vt:lpstr>
      <vt:lpstr>        “Cidadania global e desenvolvimento sustentável”</vt:lpstr>
      <vt:lpstr>        Politécnico de Leiria, Portugal</vt:lpstr>
      <vt:lpstr>    Call for papers  </vt:lpstr>
    </vt:vector>
  </TitlesOfParts>
  <Company/>
  <LinksUpToDate>false</LinksUpToDate>
  <CharactersWithSpaces>4139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Dora Resende Alves</cp:lastModifiedBy>
  <cp:revision>9</cp:revision>
  <dcterms:created xsi:type="dcterms:W3CDTF">2023-02-13T22:37:00Z</dcterms:created>
  <dcterms:modified xsi:type="dcterms:W3CDTF">2023-09-02T14:28:00Z</dcterms:modified>
</cp:coreProperties>
</file>