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BEFADF" w14:textId="21910571" w:rsidR="00AF6F0C" w:rsidRDefault="004235DA" w:rsidP="004D1036">
      <w:pPr>
        <w:spacing w:line="240" w:lineRule="auto"/>
        <w:ind w:left="-142" w:firstLine="0"/>
        <w:jc w:val="center"/>
        <w:rPr>
          <w:rFonts w:cs="Arial"/>
          <w:b/>
          <w:bCs/>
          <w:color w:val="000000" w:themeColor="text1"/>
          <w:shd w:val="clear" w:color="auto" w:fill="FFFFFF"/>
        </w:rPr>
      </w:pPr>
      <w:r>
        <w:rPr>
          <w:noProof/>
          <w14:ligatures w14:val="standardContextual"/>
        </w:rPr>
        <w:drawing>
          <wp:inline distT="0" distB="0" distL="0" distR="0" wp14:anchorId="538A929F" wp14:editId="7B81280B">
            <wp:extent cx="5819775" cy="1591733"/>
            <wp:effectExtent l="0" t="0" r="0" b="8890"/>
            <wp:docPr id="1797557223"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7557223" name=""/>
                    <pic:cNvPicPr/>
                  </pic:nvPicPr>
                  <pic:blipFill rotWithShape="1">
                    <a:blip r:embed="rId8"/>
                    <a:srcRect l="6879" t="20285" r="51846" b="65604"/>
                    <a:stretch>
                      <a:fillRect/>
                    </a:stretch>
                  </pic:blipFill>
                  <pic:spPr bwMode="auto">
                    <a:xfrm>
                      <a:off x="0" y="0"/>
                      <a:ext cx="5874227" cy="1606626"/>
                    </a:xfrm>
                    <a:prstGeom prst="rect">
                      <a:avLst/>
                    </a:prstGeom>
                    <a:ln>
                      <a:noFill/>
                    </a:ln>
                    <a:extLst>
                      <a:ext uri="{53640926-AAD7-44D8-BBD7-CCE9431645EC}">
                        <a14:shadowObscured xmlns:a14="http://schemas.microsoft.com/office/drawing/2010/main"/>
                      </a:ext>
                    </a:extLst>
                  </pic:spPr>
                </pic:pic>
              </a:graphicData>
            </a:graphic>
          </wp:inline>
        </w:drawing>
      </w:r>
    </w:p>
    <w:p w14:paraId="240C0E41" w14:textId="2AC484CE" w:rsidR="003946D0" w:rsidRDefault="008E0CAD" w:rsidP="001D0C11">
      <w:pPr>
        <w:spacing w:line="240" w:lineRule="auto"/>
        <w:ind w:firstLine="0"/>
        <w:jc w:val="center"/>
        <w:rPr>
          <w:rFonts w:cs="Arial"/>
          <w:b/>
          <w:bCs/>
          <w:color w:val="000000" w:themeColor="text1"/>
          <w:shd w:val="clear" w:color="auto" w:fill="FFFFFF"/>
        </w:rPr>
      </w:pPr>
      <w:r>
        <w:rPr>
          <w:rFonts w:cs="Arial"/>
          <w:b/>
          <w:bCs/>
          <w:color w:val="000000" w:themeColor="text1"/>
          <w:shd w:val="clear" w:color="auto" w:fill="FFFFFF"/>
        </w:rPr>
        <w:t xml:space="preserve">II </w:t>
      </w:r>
      <w:r w:rsidR="007D79B8" w:rsidRPr="007D79B8">
        <w:rPr>
          <w:rFonts w:cs="Arial"/>
          <w:b/>
          <w:bCs/>
          <w:color w:val="000000" w:themeColor="text1"/>
          <w:shd w:val="clear" w:color="auto" w:fill="FFFFFF"/>
        </w:rPr>
        <w:t>Conferência Dia Internacional das Mulheres da Universidade Portucalense</w:t>
      </w:r>
    </w:p>
    <w:p w14:paraId="7D871770" w14:textId="5FA4FA5D" w:rsidR="003946D0" w:rsidRPr="00BE4724" w:rsidRDefault="00287E67" w:rsidP="00AB790C">
      <w:pPr>
        <w:spacing w:line="240" w:lineRule="auto"/>
        <w:ind w:firstLine="0"/>
        <w:jc w:val="center"/>
        <w:rPr>
          <w:rFonts w:cs="Arial"/>
          <w:color w:val="000000" w:themeColor="text1"/>
          <w:sz w:val="16"/>
          <w:szCs w:val="16"/>
          <w:shd w:val="clear" w:color="auto" w:fill="FFFFFF"/>
        </w:rPr>
      </w:pPr>
      <w:hyperlink r:id="rId9" w:history="1">
        <w:r w:rsidR="00BE4724" w:rsidRPr="00BE4724">
          <w:rPr>
            <w:rStyle w:val="Hiperligao"/>
            <w:rFonts w:cs="Arial"/>
            <w:sz w:val="16"/>
            <w:szCs w:val="16"/>
            <w:shd w:val="clear" w:color="auto" w:fill="FFFFFF"/>
          </w:rPr>
          <w:t>https://ijp.upt.pt/ii-conferencia-dia-internacional-das-mulheres/</w:t>
        </w:r>
      </w:hyperlink>
      <w:r w:rsidR="00BE4724" w:rsidRPr="00BE4724">
        <w:rPr>
          <w:rFonts w:cs="Arial"/>
          <w:color w:val="000000" w:themeColor="text1"/>
          <w:sz w:val="16"/>
          <w:szCs w:val="16"/>
          <w:shd w:val="clear" w:color="auto" w:fill="FFFFFF"/>
        </w:rPr>
        <w:t xml:space="preserve"> </w:t>
      </w:r>
    </w:p>
    <w:p w14:paraId="59691B7A" w14:textId="30500CCF" w:rsidR="00F83FB1" w:rsidRDefault="00F83FB1" w:rsidP="00F83FB1">
      <w:pPr>
        <w:spacing w:line="240" w:lineRule="auto"/>
        <w:ind w:firstLine="0"/>
        <w:jc w:val="center"/>
      </w:pPr>
      <w:r w:rsidRPr="00F32D07">
        <w:t>Projeto “</w:t>
      </w:r>
      <w:bookmarkStart w:id="0" w:name="_Hlk192403002"/>
      <w:r w:rsidRPr="00F32D07">
        <w:t>Estudos sobre as mulheres</w:t>
      </w:r>
      <w:bookmarkEnd w:id="0"/>
      <w:r w:rsidRPr="00F32D07">
        <w:t xml:space="preserve">, género e </w:t>
      </w:r>
      <w:proofErr w:type="spellStart"/>
      <w:r w:rsidRPr="00F32D07">
        <w:t>interseccionalidade</w:t>
      </w:r>
      <w:proofErr w:type="spellEnd"/>
      <w:r w:rsidRPr="00F32D07">
        <w:t xml:space="preserve">” </w:t>
      </w:r>
    </w:p>
    <w:p w14:paraId="5CE6D6F3" w14:textId="593B77A0" w:rsidR="003946D0" w:rsidRDefault="00F83FB1" w:rsidP="00F83FB1">
      <w:pPr>
        <w:spacing w:line="240" w:lineRule="auto"/>
        <w:ind w:firstLine="0"/>
        <w:jc w:val="center"/>
      </w:pPr>
      <w:r w:rsidRPr="00F32D07">
        <w:t>integrado no Grupo Pessoas, do Instituto Jurídico Portucalense – IJP</w:t>
      </w:r>
      <w:r>
        <w:t xml:space="preserve"> </w:t>
      </w:r>
      <w:r w:rsidRPr="00F32D07">
        <w:rPr>
          <w:rStyle w:val="Refdenotaderodap"/>
        </w:rPr>
        <w:footnoteReference w:id="1"/>
      </w:r>
    </w:p>
    <w:p w14:paraId="0253F731" w14:textId="77777777" w:rsidR="008E0CAD" w:rsidRPr="003946D0" w:rsidRDefault="008E0CAD" w:rsidP="00AB790C">
      <w:pPr>
        <w:spacing w:line="240" w:lineRule="auto"/>
        <w:ind w:firstLine="0"/>
        <w:jc w:val="center"/>
        <w:rPr>
          <w:rFonts w:cs="Arial"/>
          <w:color w:val="000000" w:themeColor="text1"/>
          <w:shd w:val="clear" w:color="auto" w:fill="FFFFFF"/>
        </w:rPr>
      </w:pPr>
    </w:p>
    <w:p w14:paraId="0A6D7AE2" w14:textId="500A8D5B" w:rsidR="003946D0" w:rsidRDefault="003946D0" w:rsidP="001D0C11">
      <w:pPr>
        <w:spacing w:line="240" w:lineRule="auto"/>
        <w:ind w:firstLine="0"/>
        <w:jc w:val="center"/>
        <w:rPr>
          <w:rFonts w:cs="Arial"/>
          <w:color w:val="000000" w:themeColor="text1"/>
          <w:shd w:val="clear" w:color="auto" w:fill="FFFFFF"/>
        </w:rPr>
      </w:pPr>
      <w:r w:rsidRPr="003946D0">
        <w:rPr>
          <w:rFonts w:cs="Arial"/>
          <w:color w:val="000000" w:themeColor="text1"/>
          <w:shd w:val="clear" w:color="auto" w:fill="FFFFFF"/>
        </w:rPr>
        <w:t xml:space="preserve">Universidade de </w:t>
      </w:r>
      <w:r w:rsidR="00175259">
        <w:rPr>
          <w:rFonts w:cs="Arial"/>
          <w:color w:val="000000" w:themeColor="text1"/>
          <w:shd w:val="clear" w:color="auto" w:fill="FFFFFF"/>
        </w:rPr>
        <w:t>Portucalense Infante D. Henrique, Porto</w:t>
      </w:r>
    </w:p>
    <w:p w14:paraId="225B608E" w14:textId="5DD67895" w:rsidR="003946D0" w:rsidRPr="003946D0" w:rsidRDefault="00175259" w:rsidP="003946D0">
      <w:pPr>
        <w:spacing w:line="240" w:lineRule="auto"/>
        <w:ind w:firstLine="0"/>
        <w:jc w:val="center"/>
        <w:rPr>
          <w:rFonts w:cs="Arial"/>
          <w:color w:val="000000" w:themeColor="text1"/>
          <w:shd w:val="clear" w:color="auto" w:fill="FFFFFF"/>
        </w:rPr>
      </w:pPr>
      <w:r>
        <w:rPr>
          <w:rFonts w:cs="Arial"/>
          <w:color w:val="000000" w:themeColor="text1"/>
          <w:shd w:val="clear" w:color="auto" w:fill="FFFFFF"/>
        </w:rPr>
        <w:t>9</w:t>
      </w:r>
      <w:r w:rsidR="003946D0" w:rsidRPr="003946D0">
        <w:rPr>
          <w:rFonts w:cs="Arial"/>
          <w:color w:val="000000" w:themeColor="text1"/>
          <w:shd w:val="clear" w:color="auto" w:fill="FFFFFF"/>
        </w:rPr>
        <w:t xml:space="preserve"> e </w:t>
      </w:r>
      <w:r>
        <w:rPr>
          <w:rFonts w:cs="Arial"/>
          <w:color w:val="000000" w:themeColor="text1"/>
          <w:shd w:val="clear" w:color="auto" w:fill="FFFFFF"/>
        </w:rPr>
        <w:t>10</w:t>
      </w:r>
      <w:r w:rsidR="003946D0" w:rsidRPr="003946D0">
        <w:rPr>
          <w:rFonts w:cs="Arial"/>
          <w:color w:val="000000" w:themeColor="text1"/>
          <w:shd w:val="clear" w:color="auto" w:fill="FFFFFF"/>
        </w:rPr>
        <w:t xml:space="preserve"> de </w:t>
      </w:r>
      <w:r>
        <w:rPr>
          <w:rFonts w:cs="Arial"/>
          <w:color w:val="000000" w:themeColor="text1"/>
          <w:shd w:val="clear" w:color="auto" w:fill="FFFFFF"/>
        </w:rPr>
        <w:t>març</w:t>
      </w:r>
      <w:r w:rsidR="003946D0" w:rsidRPr="003946D0">
        <w:rPr>
          <w:rFonts w:cs="Arial"/>
          <w:color w:val="000000" w:themeColor="text1"/>
          <w:shd w:val="clear" w:color="auto" w:fill="FFFFFF"/>
        </w:rPr>
        <w:t>o de 202</w:t>
      </w:r>
      <w:r>
        <w:rPr>
          <w:rFonts w:cs="Arial"/>
          <w:color w:val="000000" w:themeColor="text1"/>
          <w:shd w:val="clear" w:color="auto" w:fill="FFFFFF"/>
        </w:rPr>
        <w:t>6</w:t>
      </w:r>
      <w:r w:rsidR="00F83FB1">
        <w:rPr>
          <w:rFonts w:cs="Arial"/>
          <w:color w:val="000000" w:themeColor="text1"/>
          <w:shd w:val="clear" w:color="auto" w:fill="FFFFFF"/>
        </w:rPr>
        <w:t xml:space="preserve"> </w:t>
      </w:r>
      <w:r w:rsidR="00F83FB1">
        <w:rPr>
          <w:rStyle w:val="Refdenotaderodap"/>
        </w:rPr>
        <w:footnoteReference w:id="2"/>
      </w:r>
    </w:p>
    <w:p w14:paraId="2ECF3212" w14:textId="18A8450B" w:rsidR="00AB790C" w:rsidRPr="003946D0" w:rsidRDefault="003946D0" w:rsidP="00AB790C">
      <w:pPr>
        <w:spacing w:line="240" w:lineRule="auto"/>
        <w:ind w:firstLine="0"/>
        <w:jc w:val="center"/>
        <w:rPr>
          <w:rFonts w:cs="Arial"/>
          <w:color w:val="000000" w:themeColor="text1"/>
          <w:shd w:val="clear" w:color="auto" w:fill="FFFFFF"/>
        </w:rPr>
      </w:pPr>
      <w:r w:rsidRPr="003946D0">
        <w:rPr>
          <w:rFonts w:cs="Arial"/>
          <w:color w:val="000000" w:themeColor="text1"/>
          <w:shd w:val="clear" w:color="auto" w:fill="FFFFFF"/>
        </w:rPr>
        <w:t> </w:t>
      </w:r>
    </w:p>
    <w:p w14:paraId="3A7E6C90" w14:textId="77777777" w:rsidR="00EB04E2" w:rsidRDefault="00EB04E2" w:rsidP="00D42CB8">
      <w:pPr>
        <w:spacing w:line="240" w:lineRule="auto"/>
        <w:ind w:firstLine="0"/>
        <w:rPr>
          <w:rFonts w:cs="Arial"/>
          <w:b/>
          <w:bCs/>
          <w:color w:val="000000" w:themeColor="text1"/>
          <w:sz w:val="20"/>
          <w:szCs w:val="20"/>
          <w:shd w:val="clear" w:color="auto" w:fill="FFFFFF"/>
        </w:rPr>
      </w:pPr>
    </w:p>
    <w:p w14:paraId="1B8F6893" w14:textId="77777777" w:rsidR="00AB790C" w:rsidRPr="00EB04E2" w:rsidRDefault="00AB790C" w:rsidP="00D42CB8">
      <w:pPr>
        <w:spacing w:line="240" w:lineRule="auto"/>
        <w:ind w:firstLine="0"/>
        <w:rPr>
          <w:rFonts w:cs="Arial"/>
          <w:b/>
          <w:bCs/>
          <w:color w:val="000000" w:themeColor="text1"/>
          <w:sz w:val="20"/>
          <w:szCs w:val="20"/>
          <w:shd w:val="clear" w:color="auto" w:fill="FFFFFF"/>
        </w:rPr>
      </w:pPr>
    </w:p>
    <w:p w14:paraId="1E42BD0B" w14:textId="603F40C4" w:rsidR="00970D4A" w:rsidRPr="00767385" w:rsidRDefault="00175259" w:rsidP="00AB790C">
      <w:pPr>
        <w:ind w:firstLine="0"/>
        <w:jc w:val="center"/>
        <w:rPr>
          <w:rFonts w:ascii="Times New Roman" w:hAnsi="Times New Roman" w:cs="Times New Roman"/>
          <w:b/>
          <w:bCs/>
          <w:sz w:val="32"/>
          <w:szCs w:val="32"/>
          <w:u w:val="single"/>
        </w:rPr>
      </w:pPr>
      <w:r w:rsidRPr="00175259">
        <w:rPr>
          <w:rFonts w:ascii="Times New Roman" w:hAnsi="Times New Roman" w:cs="Times New Roman"/>
          <w:b/>
          <w:bCs/>
          <w:sz w:val="32"/>
          <w:szCs w:val="32"/>
          <w:u w:val="single"/>
        </w:rPr>
        <w:t>A igualdade de género na organização da União Europeia - o papel do Instituto Europeu para a Igualdade de Género (EIGE)</w:t>
      </w:r>
    </w:p>
    <w:p w14:paraId="69176A6A" w14:textId="77777777" w:rsidR="00AB790C" w:rsidRPr="00EB04E2" w:rsidRDefault="00AB790C" w:rsidP="00AB790C">
      <w:pPr>
        <w:ind w:firstLine="0"/>
        <w:jc w:val="center"/>
        <w:rPr>
          <w:rFonts w:ascii="Times New Roman" w:hAnsi="Times New Roman" w:cs="Times New Roman"/>
          <w:b/>
          <w:bCs/>
          <w:sz w:val="32"/>
          <w:szCs w:val="32"/>
          <w:u w:val="single"/>
        </w:rPr>
      </w:pPr>
    </w:p>
    <w:p w14:paraId="122A7423" w14:textId="77777777" w:rsidR="00175259" w:rsidRPr="00175259" w:rsidRDefault="00175259" w:rsidP="00175259">
      <w:pPr>
        <w:jc w:val="right"/>
        <w:rPr>
          <w:rFonts w:ascii="Times New Roman" w:hAnsi="Times New Roman" w:cs="Times New Roman"/>
          <w:sz w:val="24"/>
        </w:rPr>
      </w:pPr>
      <w:r w:rsidRPr="00175259">
        <w:rPr>
          <w:rFonts w:ascii="Times New Roman" w:hAnsi="Times New Roman" w:cs="Times New Roman"/>
          <w:sz w:val="24"/>
        </w:rPr>
        <w:t>Dora Resende Alves</w:t>
      </w:r>
      <w:r w:rsidRPr="00175259">
        <w:rPr>
          <w:rStyle w:val="Refdenotaderodap"/>
          <w:rFonts w:ascii="Times New Roman" w:hAnsi="Times New Roman" w:cs="Times New Roman"/>
          <w:sz w:val="24"/>
        </w:rPr>
        <w:footnoteReference w:id="3"/>
      </w:r>
    </w:p>
    <w:p w14:paraId="7DE36B90" w14:textId="01B623FB" w:rsidR="00114F3B" w:rsidRPr="00175259" w:rsidRDefault="00175259" w:rsidP="00175259">
      <w:pPr>
        <w:spacing w:line="240" w:lineRule="auto"/>
        <w:ind w:firstLine="0"/>
        <w:jc w:val="right"/>
        <w:rPr>
          <w:rFonts w:ascii="Times New Roman" w:hAnsi="Times New Roman" w:cs="Times New Roman"/>
          <w:sz w:val="24"/>
        </w:rPr>
      </w:pPr>
      <w:r w:rsidRPr="00175259">
        <w:rPr>
          <w:rFonts w:ascii="Times New Roman" w:hAnsi="Times New Roman" w:cs="Times New Roman"/>
          <w:sz w:val="24"/>
        </w:rPr>
        <w:t>Angélica Lima</w:t>
      </w:r>
      <w:r w:rsidRPr="00175259">
        <w:rPr>
          <w:rStyle w:val="Refdenotaderodap"/>
          <w:rFonts w:ascii="Times New Roman" w:hAnsi="Times New Roman" w:cs="Times New Roman"/>
          <w:sz w:val="24"/>
        </w:rPr>
        <w:footnoteReference w:id="4"/>
      </w:r>
    </w:p>
    <w:p w14:paraId="26094413" w14:textId="77777777" w:rsidR="00175259" w:rsidRPr="00985A15" w:rsidRDefault="00175259" w:rsidP="00175259">
      <w:pPr>
        <w:spacing w:line="240" w:lineRule="auto"/>
        <w:ind w:firstLine="0"/>
        <w:jc w:val="right"/>
        <w:rPr>
          <w:rFonts w:ascii="Times New Roman" w:hAnsi="Times New Roman" w:cs="Times New Roman"/>
          <w:sz w:val="24"/>
        </w:rPr>
      </w:pPr>
    </w:p>
    <w:p w14:paraId="6A7CAABD" w14:textId="41F63F44" w:rsidR="000D11E8" w:rsidRPr="00EB04E2" w:rsidRDefault="000D11E8" w:rsidP="000D11E8">
      <w:pPr>
        <w:pStyle w:val="Default"/>
        <w:jc w:val="both"/>
        <w:rPr>
          <w:rFonts w:ascii="Times New Roman" w:hAnsi="Times New Roman" w:cs="Times New Roman"/>
          <w:color w:val="auto"/>
        </w:rPr>
      </w:pPr>
      <w:r w:rsidRPr="00985A15">
        <w:rPr>
          <w:rFonts w:ascii="Times New Roman" w:hAnsi="Times New Roman" w:cs="Times New Roman"/>
          <w:b/>
          <w:bCs/>
        </w:rPr>
        <w:t>FILIAÇÃO</w:t>
      </w:r>
      <w:r w:rsidRPr="00985A15">
        <w:rPr>
          <w:rFonts w:ascii="Times New Roman" w:hAnsi="Times New Roman" w:cs="Times New Roman"/>
          <w:b/>
          <w:bCs/>
          <w:color w:val="auto"/>
        </w:rPr>
        <w:t>:</w:t>
      </w:r>
      <w:r w:rsidRPr="00985A15">
        <w:rPr>
          <w:rFonts w:ascii="Times New Roman" w:hAnsi="Times New Roman" w:cs="Times New Roman"/>
          <w:color w:val="auto"/>
        </w:rPr>
        <w:t xml:space="preserve"> </w:t>
      </w:r>
    </w:p>
    <w:p w14:paraId="7E1069CE" w14:textId="504CB56A" w:rsidR="004D682E" w:rsidRPr="00985A15" w:rsidRDefault="000D11E8" w:rsidP="00FB7DF0">
      <w:pPr>
        <w:pStyle w:val="Default"/>
        <w:jc w:val="both"/>
        <w:rPr>
          <w:rFonts w:ascii="Times New Roman" w:hAnsi="Times New Roman" w:cs="Times New Roman"/>
        </w:rPr>
      </w:pPr>
      <w:r w:rsidRPr="00985A15">
        <w:rPr>
          <w:rFonts w:ascii="Times New Roman" w:hAnsi="Times New Roman" w:cs="Times New Roman"/>
        </w:rPr>
        <w:t>Instituto Jurídico Portucalense, Universidade Portucalense Infante D. Henrique, Porto, Portugal</w:t>
      </w:r>
      <w:bookmarkStart w:id="4" w:name="_Toc67839871"/>
      <w:bookmarkStart w:id="5" w:name="_Toc67840703"/>
      <w:bookmarkStart w:id="6" w:name="_Toc68280127"/>
      <w:bookmarkStart w:id="7" w:name="_Toc71743446"/>
      <w:bookmarkStart w:id="8" w:name="_Toc71812157"/>
      <w:bookmarkStart w:id="9" w:name="_Toc72426142"/>
    </w:p>
    <w:p w14:paraId="03B16DD9" w14:textId="48CFD8F3" w:rsidR="00F83FB1" w:rsidRPr="00F83FB1" w:rsidRDefault="00287AC4" w:rsidP="00F83FB1">
      <w:pPr>
        <w:pStyle w:val="Ttulo1"/>
        <w:spacing w:line="240" w:lineRule="auto"/>
        <w:rPr>
          <w:rFonts w:ascii="Times New Roman" w:hAnsi="Times New Roman" w:cs="Times New Roman"/>
          <w:b w:val="0"/>
          <w:bCs w:val="0"/>
          <w:caps w:val="0"/>
          <w:sz w:val="24"/>
          <w:lang w:val="pt-PT"/>
        </w:rPr>
      </w:pPr>
      <w:r>
        <w:rPr>
          <w:rFonts w:ascii="Times New Roman" w:hAnsi="Times New Roman" w:cs="Times New Roman"/>
          <w:sz w:val="24"/>
          <w:szCs w:val="24"/>
        </w:rPr>
        <w:t>EIXO:</w:t>
      </w:r>
      <w:r w:rsidR="00706042">
        <w:rPr>
          <w:rFonts w:ascii="Times New Roman" w:hAnsi="Times New Roman" w:cs="Times New Roman"/>
          <w:sz w:val="24"/>
          <w:szCs w:val="24"/>
        </w:rPr>
        <w:t xml:space="preserve"> </w:t>
      </w:r>
      <w:r w:rsidR="003946D0" w:rsidRPr="003946D0">
        <w:rPr>
          <w:rFonts w:ascii="Times New Roman" w:hAnsi="Times New Roman" w:cs="Times New Roman"/>
          <w:b w:val="0"/>
          <w:bCs w:val="0"/>
          <w:caps w:val="0"/>
          <w:sz w:val="24"/>
          <w:lang w:val="pt-PT"/>
        </w:rPr>
        <w:t xml:space="preserve">Área </w:t>
      </w:r>
      <w:r w:rsidR="00F83FB1">
        <w:rPr>
          <w:rFonts w:ascii="Times New Roman" w:hAnsi="Times New Roman" w:cs="Times New Roman"/>
          <w:b w:val="0"/>
          <w:bCs w:val="0"/>
          <w:caps w:val="0"/>
          <w:sz w:val="24"/>
          <w:lang w:val="pt-PT"/>
        </w:rPr>
        <w:t>–</w:t>
      </w:r>
      <w:r w:rsidR="003946D0">
        <w:rPr>
          <w:rFonts w:ascii="Times New Roman" w:hAnsi="Times New Roman" w:cs="Times New Roman"/>
          <w:b w:val="0"/>
          <w:bCs w:val="0"/>
          <w:caps w:val="0"/>
          <w:sz w:val="24"/>
          <w:lang w:val="pt-PT"/>
        </w:rPr>
        <w:t xml:space="preserve"> </w:t>
      </w:r>
      <w:r w:rsidR="00F83FB1">
        <w:rPr>
          <w:rFonts w:ascii="Times New Roman" w:hAnsi="Times New Roman" w:cs="Times New Roman"/>
          <w:b w:val="0"/>
          <w:bCs w:val="0"/>
          <w:caps w:val="0"/>
          <w:sz w:val="24"/>
          <w:lang w:val="pt-PT"/>
        </w:rPr>
        <w:t>Direito da União Europeia</w:t>
      </w:r>
    </w:p>
    <w:p w14:paraId="166C244C" w14:textId="77777777" w:rsidR="00F83FB1" w:rsidRDefault="00F83FB1" w:rsidP="00F83FB1">
      <w:pPr>
        <w:spacing w:line="240" w:lineRule="auto"/>
        <w:ind w:firstLine="0"/>
        <w:rPr>
          <w:rFonts w:ascii="Garamond" w:hAnsi="Garamond"/>
          <w:b/>
          <w:bCs/>
        </w:rPr>
      </w:pPr>
    </w:p>
    <w:p w14:paraId="28125D1E" w14:textId="557BDEAB" w:rsidR="00F83FB1" w:rsidRPr="00F83FB1" w:rsidRDefault="00F83FB1" w:rsidP="00F83FB1">
      <w:pPr>
        <w:spacing w:line="240" w:lineRule="auto"/>
        <w:ind w:firstLine="0"/>
        <w:rPr>
          <w:rFonts w:ascii="Times New Roman" w:hAnsi="Times New Roman" w:cs="Times New Roman"/>
          <w:sz w:val="20"/>
          <w:szCs w:val="20"/>
        </w:rPr>
      </w:pPr>
      <w:r w:rsidRPr="007549E4">
        <w:rPr>
          <w:rFonts w:ascii="Garamond" w:hAnsi="Garamond"/>
          <w:b/>
          <w:bCs/>
        </w:rPr>
        <w:t>Sumário</w:t>
      </w:r>
      <w:r w:rsidRPr="008553E0">
        <w:rPr>
          <w:rFonts w:ascii="Garamond" w:hAnsi="Garamond"/>
        </w:rPr>
        <w:t xml:space="preserve">: </w:t>
      </w:r>
      <w:r w:rsidRPr="000371F1">
        <w:rPr>
          <w:rFonts w:ascii="Times New Roman" w:hAnsi="Times New Roman" w:cs="Times New Roman"/>
          <w:sz w:val="20"/>
          <w:szCs w:val="20"/>
        </w:rPr>
        <w:t xml:space="preserve">Introdução; 1. A igualdade de género no direito da União Europeia; 2. </w:t>
      </w:r>
      <w:r>
        <w:rPr>
          <w:rFonts w:ascii="Times New Roman" w:hAnsi="Times New Roman" w:cs="Times New Roman"/>
          <w:sz w:val="20"/>
          <w:szCs w:val="20"/>
        </w:rPr>
        <w:t xml:space="preserve">O papel do </w:t>
      </w:r>
      <w:r w:rsidRPr="00F83FB1">
        <w:rPr>
          <w:rFonts w:ascii="Times New Roman" w:hAnsi="Times New Roman" w:cs="Times New Roman"/>
          <w:sz w:val="20"/>
          <w:szCs w:val="20"/>
        </w:rPr>
        <w:t>Instituto Europeu para a Igualdade de Género (EIGE)</w:t>
      </w:r>
      <w:r w:rsidRPr="000371F1">
        <w:rPr>
          <w:rFonts w:ascii="Times New Roman" w:hAnsi="Times New Roman" w:cs="Times New Roman"/>
          <w:sz w:val="20"/>
          <w:szCs w:val="20"/>
        </w:rPr>
        <w:t xml:space="preserve">; 3. </w:t>
      </w:r>
      <w:r>
        <w:rPr>
          <w:rFonts w:ascii="Times New Roman" w:hAnsi="Times New Roman" w:cs="Times New Roman"/>
          <w:sz w:val="20"/>
          <w:szCs w:val="20"/>
        </w:rPr>
        <w:t>Análise das mais recentes estatísticas</w:t>
      </w:r>
      <w:r w:rsidRPr="000371F1">
        <w:rPr>
          <w:rFonts w:ascii="Times New Roman" w:hAnsi="Times New Roman" w:cs="Times New Roman"/>
          <w:sz w:val="20"/>
          <w:szCs w:val="20"/>
        </w:rPr>
        <w:t>; Notas conclusivas</w:t>
      </w:r>
    </w:p>
    <w:p w14:paraId="48A8FFA8" w14:textId="51A0FCE2" w:rsidR="00114F3B" w:rsidRDefault="00970D4A" w:rsidP="00EB04E2">
      <w:pPr>
        <w:pStyle w:val="Ttulo1"/>
        <w:rPr>
          <w:rFonts w:ascii="Times New Roman" w:hAnsi="Times New Roman" w:cs="Times New Roman"/>
          <w:sz w:val="24"/>
          <w:szCs w:val="24"/>
        </w:rPr>
      </w:pPr>
      <w:r w:rsidRPr="00985A15">
        <w:rPr>
          <w:rFonts w:ascii="Times New Roman" w:hAnsi="Times New Roman" w:cs="Times New Roman"/>
          <w:sz w:val="24"/>
          <w:szCs w:val="24"/>
        </w:rPr>
        <w:lastRenderedPageBreak/>
        <w:t>Resumo</w:t>
      </w:r>
      <w:bookmarkEnd w:id="4"/>
      <w:bookmarkEnd w:id="5"/>
      <w:bookmarkEnd w:id="6"/>
      <w:bookmarkEnd w:id="7"/>
      <w:bookmarkEnd w:id="8"/>
      <w:bookmarkEnd w:id="9"/>
      <w:r w:rsidR="00DA60CB" w:rsidRPr="00985A15">
        <w:rPr>
          <w:rFonts w:ascii="Times New Roman" w:hAnsi="Times New Roman" w:cs="Times New Roman"/>
          <w:sz w:val="24"/>
          <w:szCs w:val="24"/>
        </w:rPr>
        <w:t>:</w:t>
      </w:r>
      <w:r w:rsidR="00AB790C">
        <w:rPr>
          <w:rFonts w:ascii="Times New Roman" w:hAnsi="Times New Roman" w:cs="Times New Roman"/>
          <w:sz w:val="24"/>
          <w:szCs w:val="24"/>
        </w:rPr>
        <w:t xml:space="preserve">   </w:t>
      </w:r>
    </w:p>
    <w:p w14:paraId="7B09567F" w14:textId="51B2A56B" w:rsidR="002971C6" w:rsidRDefault="003946D0" w:rsidP="00175259">
      <w:pPr>
        <w:spacing w:after="0" w:line="360" w:lineRule="auto"/>
        <w:rPr>
          <w:rFonts w:ascii="Times New Roman" w:hAnsi="Times New Roman" w:cs="Times New Roman"/>
          <w:sz w:val="24"/>
        </w:rPr>
      </w:pPr>
      <w:bookmarkStart w:id="10" w:name="_Hlk136280528"/>
      <w:r>
        <w:rPr>
          <w:rFonts w:ascii="Times New Roman" w:hAnsi="Times New Roman" w:cs="Times New Roman"/>
          <w:sz w:val="24"/>
        </w:rPr>
        <w:t>A</w:t>
      </w:r>
      <w:r w:rsidR="00B953A5">
        <w:rPr>
          <w:rFonts w:ascii="Times New Roman" w:hAnsi="Times New Roman" w:cs="Times New Roman"/>
          <w:sz w:val="24"/>
        </w:rPr>
        <w:t xml:space="preserve">s questões de igualdade de género estão presentes na União Europeia desde cedo </w:t>
      </w:r>
      <w:r w:rsidR="00052607" w:rsidRPr="00052607">
        <w:rPr>
          <w:rFonts w:ascii="Times New Roman" w:hAnsi="Times New Roman" w:cs="Times New Roman"/>
          <w:sz w:val="24"/>
        </w:rPr>
        <w:t>conhecendo hoje uma fase de concretização normativa mais sólida</w:t>
      </w:r>
      <w:r w:rsidR="00052607">
        <w:rPr>
          <w:rFonts w:ascii="Times New Roman" w:hAnsi="Times New Roman" w:cs="Times New Roman"/>
          <w:sz w:val="24"/>
        </w:rPr>
        <w:t>, ainda que não suficiente</w:t>
      </w:r>
      <w:r w:rsidR="00B953A5">
        <w:rPr>
          <w:rFonts w:ascii="Times New Roman" w:hAnsi="Times New Roman" w:cs="Times New Roman"/>
          <w:sz w:val="24"/>
        </w:rPr>
        <w:t xml:space="preserve">. Com base nos mais recentes relatórios da documentação de </w:t>
      </w:r>
      <w:r w:rsidR="00B953A5" w:rsidRPr="00B953A5">
        <w:rPr>
          <w:rFonts w:ascii="Times New Roman" w:hAnsi="Times New Roman" w:cs="Times New Roman"/>
          <w:i/>
          <w:iCs/>
          <w:sz w:val="24"/>
        </w:rPr>
        <w:t xml:space="preserve">soft </w:t>
      </w:r>
      <w:proofErr w:type="spellStart"/>
      <w:r w:rsidR="00B953A5" w:rsidRPr="00B953A5">
        <w:rPr>
          <w:rFonts w:ascii="Times New Roman" w:hAnsi="Times New Roman" w:cs="Times New Roman"/>
          <w:i/>
          <w:iCs/>
          <w:sz w:val="24"/>
        </w:rPr>
        <w:t>law</w:t>
      </w:r>
      <w:proofErr w:type="spellEnd"/>
      <w:r w:rsidR="00B953A5">
        <w:rPr>
          <w:rFonts w:ascii="Times New Roman" w:hAnsi="Times New Roman" w:cs="Times New Roman"/>
          <w:sz w:val="24"/>
        </w:rPr>
        <w:t xml:space="preserve"> da União, apresentam-se algumas considerações.</w:t>
      </w:r>
    </w:p>
    <w:p w14:paraId="3E72E721" w14:textId="4D8623DF" w:rsidR="00B953A5" w:rsidRDefault="00640AC2" w:rsidP="00B953A5">
      <w:pPr>
        <w:spacing w:after="0" w:line="360" w:lineRule="auto"/>
        <w:rPr>
          <w:rFonts w:ascii="Times New Roman" w:hAnsi="Times New Roman" w:cs="Times New Roman"/>
          <w:sz w:val="24"/>
        </w:rPr>
      </w:pPr>
      <w:r>
        <w:rPr>
          <w:rFonts w:ascii="Times New Roman" w:hAnsi="Times New Roman" w:cs="Times New Roman"/>
          <w:sz w:val="24"/>
        </w:rPr>
        <w:t xml:space="preserve">Como sempre na integração comunitária, o equilíbrio entre as instituições foi determinante para a posição da UE. </w:t>
      </w:r>
      <w:r w:rsidR="00B953A5">
        <w:rPr>
          <w:rFonts w:ascii="Times New Roman" w:hAnsi="Times New Roman" w:cs="Times New Roman"/>
          <w:sz w:val="24"/>
        </w:rPr>
        <w:t>A Comissão Europeia nas suas prioridades e prática, o Parlamento Europeu nas suas resoluções, o Conselho nos atos aprovados em processo legislativo ordinário, são instituições que assumiram as preocupações em matéria de paridade de género no evoluir da construção europeia. Mas foi o Tribunal de Justiça da União Europeia que mais cedo</w:t>
      </w:r>
      <w:r>
        <w:rPr>
          <w:rFonts w:ascii="Times New Roman" w:hAnsi="Times New Roman" w:cs="Times New Roman"/>
          <w:sz w:val="24"/>
        </w:rPr>
        <w:t xml:space="preserve"> (logo na década de 70)</w:t>
      </w:r>
      <w:r w:rsidR="00B953A5">
        <w:rPr>
          <w:rFonts w:ascii="Times New Roman" w:hAnsi="Times New Roman" w:cs="Times New Roman"/>
          <w:sz w:val="24"/>
        </w:rPr>
        <w:t xml:space="preserve"> apresentou a sensibilidade e voz ativa e</w:t>
      </w:r>
      <w:r w:rsidR="00685BBF">
        <w:rPr>
          <w:rFonts w:ascii="Times New Roman" w:hAnsi="Times New Roman" w:cs="Times New Roman"/>
          <w:sz w:val="24"/>
        </w:rPr>
        <w:t xml:space="preserve">levando a </w:t>
      </w:r>
      <w:r w:rsidR="00685BBF" w:rsidRPr="00685BBF">
        <w:rPr>
          <w:rFonts w:ascii="Times New Roman" w:hAnsi="Times New Roman" w:cs="Times New Roman"/>
          <w:sz w:val="24"/>
        </w:rPr>
        <w:t xml:space="preserve">igualdade de género no local de trabalho </w:t>
      </w:r>
      <w:r w:rsidR="00685BBF">
        <w:rPr>
          <w:rFonts w:ascii="Times New Roman" w:hAnsi="Times New Roman" w:cs="Times New Roman"/>
          <w:sz w:val="24"/>
        </w:rPr>
        <w:t>a</w:t>
      </w:r>
      <w:r w:rsidR="00685BBF" w:rsidRPr="00685BBF">
        <w:rPr>
          <w:rFonts w:ascii="Times New Roman" w:hAnsi="Times New Roman" w:cs="Times New Roman"/>
          <w:sz w:val="24"/>
        </w:rPr>
        <w:t xml:space="preserve"> princípio fundamental do direito da União</w:t>
      </w:r>
      <w:r w:rsidR="00685BBF">
        <w:rPr>
          <w:rFonts w:ascii="Times New Roman" w:hAnsi="Times New Roman" w:cs="Times New Roman"/>
          <w:sz w:val="24"/>
        </w:rPr>
        <w:t xml:space="preserve">, através de uma jurisprudência considerada </w:t>
      </w:r>
      <w:proofErr w:type="gramStart"/>
      <w:r w:rsidR="00685BBF">
        <w:rPr>
          <w:rFonts w:ascii="Times New Roman" w:hAnsi="Times New Roman" w:cs="Times New Roman"/>
          <w:sz w:val="24"/>
        </w:rPr>
        <w:t>expansiva</w:t>
      </w:r>
      <w:proofErr w:type="gramEnd"/>
      <w:r w:rsidR="00685BBF">
        <w:rPr>
          <w:rFonts w:ascii="Times New Roman" w:hAnsi="Times New Roman" w:cs="Times New Roman"/>
          <w:sz w:val="24"/>
        </w:rPr>
        <w:t xml:space="preserve"> mas que serviu de motor para uma evolução que orientou para legislação efetiva. Ainda que num tempo lento, próprio do funcionamento comunitário, importantes conquistas foram alcançadas.</w:t>
      </w:r>
    </w:p>
    <w:p w14:paraId="7377C5B9" w14:textId="287D30E9" w:rsidR="00052607" w:rsidRDefault="00685BBF" w:rsidP="00A23408">
      <w:pPr>
        <w:spacing w:after="0" w:line="360" w:lineRule="auto"/>
        <w:rPr>
          <w:rFonts w:ascii="Times New Roman" w:hAnsi="Times New Roman" w:cs="Times New Roman"/>
          <w:sz w:val="24"/>
        </w:rPr>
      </w:pPr>
      <w:r>
        <w:rPr>
          <w:rFonts w:ascii="Times New Roman" w:hAnsi="Times New Roman" w:cs="Times New Roman"/>
          <w:sz w:val="24"/>
        </w:rPr>
        <w:t>Nesse percurso, foi criado em 2006</w:t>
      </w:r>
      <w:r w:rsidR="00640AC2">
        <w:rPr>
          <w:rFonts w:ascii="Times New Roman" w:hAnsi="Times New Roman" w:cs="Times New Roman"/>
          <w:sz w:val="24"/>
        </w:rPr>
        <w:t xml:space="preserve"> e a funcionar desde 2010,</w:t>
      </w:r>
      <w:r>
        <w:rPr>
          <w:rFonts w:ascii="Times New Roman" w:hAnsi="Times New Roman" w:cs="Times New Roman"/>
          <w:sz w:val="24"/>
        </w:rPr>
        <w:t xml:space="preserve"> o </w:t>
      </w:r>
      <w:r w:rsidRPr="00685BBF">
        <w:rPr>
          <w:rFonts w:ascii="Times New Roman" w:hAnsi="Times New Roman" w:cs="Times New Roman"/>
          <w:sz w:val="24"/>
        </w:rPr>
        <w:t>Instituto Europeu para a Igualdade de Género (EIGE) </w:t>
      </w:r>
      <w:r w:rsidR="00A23408">
        <w:rPr>
          <w:rFonts w:ascii="Times New Roman" w:hAnsi="Times New Roman" w:cs="Times New Roman"/>
          <w:sz w:val="24"/>
        </w:rPr>
        <w:t xml:space="preserve">para melhor assegurar </w:t>
      </w:r>
      <w:r w:rsidR="00A23408" w:rsidRPr="00A23408">
        <w:rPr>
          <w:rFonts w:ascii="Times New Roman" w:hAnsi="Times New Roman" w:cs="Times New Roman"/>
          <w:sz w:val="24"/>
        </w:rPr>
        <w:t xml:space="preserve">a promoção </w:t>
      </w:r>
      <w:r w:rsidR="00A23408">
        <w:rPr>
          <w:rFonts w:ascii="Times New Roman" w:hAnsi="Times New Roman" w:cs="Times New Roman"/>
          <w:sz w:val="24"/>
        </w:rPr>
        <w:t xml:space="preserve">e monotorização </w:t>
      </w:r>
      <w:r w:rsidR="00A23408" w:rsidRPr="00A23408">
        <w:rPr>
          <w:rFonts w:ascii="Times New Roman" w:hAnsi="Times New Roman" w:cs="Times New Roman"/>
          <w:sz w:val="24"/>
        </w:rPr>
        <w:t>da igualdade de género na União Europeia</w:t>
      </w:r>
      <w:r w:rsidR="00052607">
        <w:rPr>
          <w:rFonts w:ascii="Times New Roman" w:hAnsi="Times New Roman" w:cs="Times New Roman"/>
          <w:sz w:val="24"/>
        </w:rPr>
        <w:t>, sendo um apoio e um recurso para voz da UE nesta matéria</w:t>
      </w:r>
      <w:r w:rsidR="00A23408">
        <w:rPr>
          <w:rFonts w:ascii="Times New Roman" w:hAnsi="Times New Roman" w:cs="Times New Roman"/>
          <w:sz w:val="24"/>
        </w:rPr>
        <w:t xml:space="preserve">. </w:t>
      </w:r>
    </w:p>
    <w:p w14:paraId="3B2BA210" w14:textId="05802E01" w:rsidR="0098102B" w:rsidRDefault="00A23408" w:rsidP="0098102B">
      <w:pPr>
        <w:spacing w:after="0" w:line="360" w:lineRule="auto"/>
        <w:rPr>
          <w:rFonts w:ascii="Times New Roman" w:hAnsi="Times New Roman" w:cs="Times New Roman"/>
          <w:sz w:val="24"/>
        </w:rPr>
      </w:pPr>
      <w:r>
        <w:rPr>
          <w:rFonts w:ascii="Times New Roman" w:hAnsi="Times New Roman" w:cs="Times New Roman"/>
          <w:sz w:val="24"/>
        </w:rPr>
        <w:t>A</w:t>
      </w:r>
      <w:r w:rsidR="00685BBF">
        <w:rPr>
          <w:rFonts w:ascii="Times New Roman" w:hAnsi="Times New Roman" w:cs="Times New Roman"/>
          <w:sz w:val="24"/>
        </w:rPr>
        <w:t xml:space="preserve"> publicação anual do </w:t>
      </w:r>
      <w:r w:rsidR="00685BBF" w:rsidRPr="00A23408">
        <w:rPr>
          <w:rFonts w:ascii="Times New Roman" w:hAnsi="Times New Roman" w:cs="Times New Roman"/>
          <w:i/>
          <w:iCs/>
          <w:sz w:val="24"/>
        </w:rPr>
        <w:t>Índice de Igualdade de Género 2025</w:t>
      </w:r>
      <w:r>
        <w:rPr>
          <w:rFonts w:ascii="Times New Roman" w:hAnsi="Times New Roman" w:cs="Times New Roman"/>
          <w:sz w:val="24"/>
        </w:rPr>
        <w:t xml:space="preserve">, com o mais recente </w:t>
      </w:r>
      <w:r w:rsidR="00685BBF" w:rsidRPr="00685BBF">
        <w:rPr>
          <w:rFonts w:ascii="Times New Roman" w:hAnsi="Times New Roman" w:cs="Times New Roman"/>
          <w:sz w:val="24"/>
        </w:rPr>
        <w:t>em dezembro de 2025</w:t>
      </w:r>
      <w:r w:rsidR="006122BF">
        <w:rPr>
          <w:rStyle w:val="Refdenotaderodap"/>
          <w:rFonts w:ascii="Times New Roman" w:hAnsi="Times New Roman" w:cs="Times New Roman"/>
          <w:sz w:val="24"/>
        </w:rPr>
        <w:footnoteReference w:id="5"/>
      </w:r>
      <w:r w:rsidR="00685BBF" w:rsidRPr="00685BBF">
        <w:rPr>
          <w:rFonts w:ascii="Times New Roman" w:hAnsi="Times New Roman" w:cs="Times New Roman"/>
          <w:sz w:val="24"/>
        </w:rPr>
        <w:t xml:space="preserve">, </w:t>
      </w:r>
      <w:r>
        <w:rPr>
          <w:rFonts w:ascii="Times New Roman" w:hAnsi="Times New Roman" w:cs="Times New Roman"/>
          <w:sz w:val="24"/>
        </w:rPr>
        <w:t>é um dos documentos que permite acesso aos</w:t>
      </w:r>
      <w:r w:rsidR="00685BBF" w:rsidRPr="00685BBF">
        <w:rPr>
          <w:rFonts w:ascii="Times New Roman" w:hAnsi="Times New Roman" w:cs="Times New Roman"/>
          <w:sz w:val="24"/>
        </w:rPr>
        <w:t xml:space="preserve"> dados atualizados sobre estereótipos de género na UE.</w:t>
      </w:r>
      <w:r>
        <w:rPr>
          <w:rFonts w:ascii="Times New Roman" w:hAnsi="Times New Roman" w:cs="Times New Roman"/>
          <w:sz w:val="24"/>
        </w:rPr>
        <w:t xml:space="preserve"> </w:t>
      </w:r>
      <w:r w:rsidR="00640AC2">
        <w:rPr>
          <w:rFonts w:ascii="Times New Roman" w:hAnsi="Times New Roman" w:cs="Times New Roman"/>
          <w:sz w:val="24"/>
        </w:rPr>
        <w:t>Os anos de</w:t>
      </w:r>
      <w:r>
        <w:rPr>
          <w:rFonts w:ascii="Times New Roman" w:hAnsi="Times New Roman" w:cs="Times New Roman"/>
          <w:sz w:val="24"/>
        </w:rPr>
        <w:t xml:space="preserve"> 2024 e 2025</w:t>
      </w:r>
      <w:r w:rsidR="00640AC2">
        <w:rPr>
          <w:rFonts w:ascii="Times New Roman" w:hAnsi="Times New Roman" w:cs="Times New Roman"/>
          <w:sz w:val="24"/>
        </w:rPr>
        <w:t xml:space="preserve"> foram importantes</w:t>
      </w:r>
      <w:r w:rsidR="00ED275C">
        <w:rPr>
          <w:rFonts w:ascii="Times New Roman" w:hAnsi="Times New Roman" w:cs="Times New Roman"/>
          <w:sz w:val="24"/>
        </w:rPr>
        <w:t>,</w:t>
      </w:r>
      <w:r>
        <w:rPr>
          <w:rFonts w:ascii="Times New Roman" w:hAnsi="Times New Roman" w:cs="Times New Roman"/>
          <w:sz w:val="24"/>
        </w:rPr>
        <w:t xml:space="preserve"> </w:t>
      </w:r>
      <w:r w:rsidR="00640AC2">
        <w:rPr>
          <w:rFonts w:ascii="Times New Roman" w:hAnsi="Times New Roman" w:cs="Times New Roman"/>
          <w:sz w:val="24"/>
        </w:rPr>
        <w:t>porque</w:t>
      </w:r>
      <w:r>
        <w:rPr>
          <w:rFonts w:ascii="Times New Roman" w:hAnsi="Times New Roman" w:cs="Times New Roman"/>
          <w:sz w:val="24"/>
        </w:rPr>
        <w:t xml:space="preserve"> publicados documentos </w:t>
      </w:r>
      <w:r w:rsidR="001D2491">
        <w:rPr>
          <w:rFonts w:ascii="Times New Roman" w:hAnsi="Times New Roman" w:cs="Times New Roman"/>
          <w:sz w:val="24"/>
        </w:rPr>
        <w:t>definidores e que estabelecem determinações que se prolongam no tempo presente</w:t>
      </w:r>
      <w:r>
        <w:rPr>
          <w:rFonts w:ascii="Times New Roman" w:hAnsi="Times New Roman" w:cs="Times New Roman"/>
          <w:sz w:val="24"/>
        </w:rPr>
        <w:t xml:space="preserve">. </w:t>
      </w:r>
      <w:r w:rsidR="00ED275C">
        <w:rPr>
          <w:rFonts w:ascii="Times New Roman" w:hAnsi="Times New Roman" w:cs="Times New Roman"/>
          <w:sz w:val="24"/>
        </w:rPr>
        <w:t>Nesses documentos (</w:t>
      </w:r>
      <w:r w:rsidR="001D2491">
        <w:rPr>
          <w:rFonts w:ascii="Times New Roman" w:hAnsi="Times New Roman" w:cs="Times New Roman"/>
          <w:sz w:val="24"/>
        </w:rPr>
        <w:t xml:space="preserve">alguns </w:t>
      </w:r>
      <w:r w:rsidR="00ED275C">
        <w:rPr>
          <w:rFonts w:ascii="Times New Roman" w:hAnsi="Times New Roman" w:cs="Times New Roman"/>
          <w:sz w:val="24"/>
        </w:rPr>
        <w:t>já analisados aqui por nós na edição de 2025 deste evento), foram</w:t>
      </w:r>
      <w:r>
        <w:rPr>
          <w:rFonts w:ascii="Times New Roman" w:hAnsi="Times New Roman" w:cs="Times New Roman"/>
          <w:sz w:val="24"/>
        </w:rPr>
        <w:t xml:space="preserve"> estabelecidas metas e intenções para 2026</w:t>
      </w:r>
      <w:r w:rsidR="00ED275C">
        <w:rPr>
          <w:rFonts w:ascii="Times New Roman" w:hAnsi="Times New Roman" w:cs="Times New Roman"/>
          <w:sz w:val="24"/>
        </w:rPr>
        <w:t xml:space="preserve">, bem como no </w:t>
      </w:r>
      <w:r w:rsidR="00ED275C" w:rsidRPr="00ED275C">
        <w:rPr>
          <w:rFonts w:ascii="Times New Roman" w:hAnsi="Times New Roman" w:cs="Times New Roman"/>
          <w:sz w:val="24"/>
        </w:rPr>
        <w:t>Programa de Trabalho da Comissão Europeia</w:t>
      </w:r>
      <w:r w:rsidR="00ED275C">
        <w:rPr>
          <w:rFonts w:ascii="Times New Roman" w:hAnsi="Times New Roman" w:cs="Times New Roman"/>
          <w:sz w:val="24"/>
        </w:rPr>
        <w:t xml:space="preserve"> de</w:t>
      </w:r>
      <w:r w:rsidR="006122BF">
        <w:rPr>
          <w:rFonts w:ascii="Times New Roman" w:hAnsi="Times New Roman" w:cs="Times New Roman"/>
          <w:sz w:val="24"/>
        </w:rPr>
        <w:t xml:space="preserve"> </w:t>
      </w:r>
      <w:r w:rsidR="005C6F49">
        <w:rPr>
          <w:rFonts w:ascii="Times New Roman" w:hAnsi="Times New Roman" w:cs="Times New Roman"/>
          <w:sz w:val="24"/>
        </w:rPr>
        <w:t>outu</w:t>
      </w:r>
      <w:r w:rsidR="006122BF">
        <w:rPr>
          <w:rFonts w:ascii="Times New Roman" w:hAnsi="Times New Roman" w:cs="Times New Roman"/>
          <w:sz w:val="24"/>
        </w:rPr>
        <w:t>bro de 2025</w:t>
      </w:r>
      <w:r w:rsidR="006122BF">
        <w:rPr>
          <w:rStyle w:val="Refdenotaderodap"/>
          <w:rFonts w:ascii="Times New Roman" w:hAnsi="Times New Roman" w:cs="Times New Roman"/>
          <w:sz w:val="24"/>
        </w:rPr>
        <w:footnoteReference w:id="6"/>
      </w:r>
      <w:r w:rsidR="00ED275C">
        <w:rPr>
          <w:rFonts w:ascii="Times New Roman" w:hAnsi="Times New Roman" w:cs="Times New Roman"/>
          <w:sz w:val="24"/>
        </w:rPr>
        <w:t xml:space="preserve"> </w:t>
      </w:r>
      <w:r w:rsidR="006122BF">
        <w:rPr>
          <w:rFonts w:ascii="Times New Roman" w:hAnsi="Times New Roman" w:cs="Times New Roman"/>
          <w:sz w:val="24"/>
        </w:rPr>
        <w:t xml:space="preserve">que influenciou a </w:t>
      </w:r>
      <w:r w:rsidR="005C6F49">
        <w:rPr>
          <w:rFonts w:ascii="Times New Roman" w:hAnsi="Times New Roman" w:cs="Times New Roman"/>
          <w:sz w:val="24"/>
        </w:rPr>
        <w:t>atualização da</w:t>
      </w:r>
      <w:r w:rsidR="006122BF">
        <w:rPr>
          <w:rFonts w:ascii="Times New Roman" w:hAnsi="Times New Roman" w:cs="Times New Roman"/>
          <w:sz w:val="24"/>
        </w:rPr>
        <w:t xml:space="preserve"> programação do EIGE</w:t>
      </w:r>
      <w:r w:rsidR="001D2491">
        <w:rPr>
          <w:rFonts w:ascii="Times New Roman" w:hAnsi="Times New Roman" w:cs="Times New Roman"/>
          <w:sz w:val="24"/>
        </w:rPr>
        <w:t xml:space="preserve"> (2026-2028)</w:t>
      </w:r>
      <w:r w:rsidR="006122BF">
        <w:rPr>
          <w:rStyle w:val="Refdenotaderodap"/>
          <w:rFonts w:ascii="Times New Roman" w:hAnsi="Times New Roman" w:cs="Times New Roman"/>
          <w:sz w:val="24"/>
        </w:rPr>
        <w:footnoteReference w:id="7"/>
      </w:r>
      <w:r>
        <w:rPr>
          <w:rFonts w:ascii="Times New Roman" w:hAnsi="Times New Roman" w:cs="Times New Roman"/>
          <w:sz w:val="24"/>
        </w:rPr>
        <w:t>.</w:t>
      </w:r>
    </w:p>
    <w:p w14:paraId="63F4898A" w14:textId="0590712B" w:rsidR="0098102B" w:rsidRPr="0098102B" w:rsidRDefault="0098102B" w:rsidP="00724F4A">
      <w:pPr>
        <w:spacing w:after="0" w:line="360" w:lineRule="auto"/>
        <w:rPr>
          <w:rFonts w:ascii="Times New Roman" w:hAnsi="Times New Roman" w:cs="Times New Roman"/>
          <w:sz w:val="24"/>
        </w:rPr>
      </w:pPr>
      <w:r w:rsidRPr="0098102B">
        <w:rPr>
          <w:rFonts w:ascii="Times New Roman" w:hAnsi="Times New Roman" w:cs="Times New Roman"/>
          <w:sz w:val="24"/>
        </w:rPr>
        <w:t>Também o anterior </w:t>
      </w:r>
      <w:r w:rsidRPr="0098102B">
        <w:rPr>
          <w:rFonts w:ascii="Times New Roman" w:hAnsi="Times New Roman" w:cs="Times New Roman"/>
          <w:i/>
          <w:iCs/>
          <w:sz w:val="24"/>
        </w:rPr>
        <w:t>Relatório de 2025 sobre a Igualdade de Género na UE</w:t>
      </w:r>
      <w:r w:rsidRPr="0098102B">
        <w:rPr>
          <w:rFonts w:ascii="Times New Roman" w:hAnsi="Times New Roman" w:cs="Times New Roman"/>
          <w:sz w:val="24"/>
        </w:rPr>
        <w:t xml:space="preserve"> publicado nesta data em 2025 pela Comissão Europeia, para assinalar o Dia Internacional da Mulher, fez o balanço final da Estratégia para a Igualdade de Género 2020-2025 e estabeleceu a base para o novo ciclo de políticas até 2030. No seguimento </w:t>
      </w:r>
      <w:r w:rsidRPr="0098102B">
        <w:rPr>
          <w:rFonts w:ascii="Times New Roman" w:hAnsi="Times New Roman" w:cs="Times New Roman"/>
          <w:sz w:val="24"/>
        </w:rPr>
        <w:lastRenderedPageBreak/>
        <w:t xml:space="preserve">de todos esses trabalhos surge a atual </w:t>
      </w:r>
      <w:r w:rsidRPr="0098102B">
        <w:rPr>
          <w:rFonts w:ascii="Times New Roman" w:hAnsi="Times New Roman" w:cs="Times New Roman"/>
          <w:i/>
          <w:iCs/>
          <w:sz w:val="24"/>
        </w:rPr>
        <w:t>Estratégia para a Igualdade de Género 2026-2030.</w:t>
      </w:r>
      <w:r w:rsidR="00724F4A" w:rsidRPr="00724F4A">
        <w:rPr>
          <w:rFonts w:ascii="Times New Roman" w:hAnsi="Times New Roman" w:cs="Times New Roman"/>
          <w:sz w:val="20"/>
          <w:szCs w:val="20"/>
        </w:rPr>
        <w:t xml:space="preserve"> </w:t>
      </w:r>
      <w:r w:rsidR="00724F4A" w:rsidRPr="00724F4A">
        <w:rPr>
          <w:rFonts w:ascii="Times New Roman" w:hAnsi="Times New Roman" w:cs="Times New Roman"/>
          <w:sz w:val="24"/>
        </w:rPr>
        <w:t>Esta estratégia servirá para operacionalizar o "Roteiro para os Direitos das Mulheres" (</w:t>
      </w:r>
      <w:r w:rsidR="00724F4A">
        <w:rPr>
          <w:rFonts w:ascii="Times New Roman" w:hAnsi="Times New Roman" w:cs="Times New Roman"/>
          <w:sz w:val="24"/>
        </w:rPr>
        <w:t xml:space="preserve">que fora </w:t>
      </w:r>
      <w:r w:rsidR="00724F4A" w:rsidRPr="00724F4A">
        <w:rPr>
          <w:rFonts w:ascii="Times New Roman" w:hAnsi="Times New Roman" w:cs="Times New Roman"/>
          <w:sz w:val="24"/>
        </w:rPr>
        <w:t>lançado em 2025) e inclui medidas concretas sobre violência de género, desigualdade salarial e participação política.</w:t>
      </w:r>
    </w:p>
    <w:p w14:paraId="374D5165" w14:textId="77777777" w:rsidR="0098102B" w:rsidRPr="0098102B" w:rsidRDefault="0098102B" w:rsidP="0098102B">
      <w:pPr>
        <w:spacing w:after="0" w:line="360" w:lineRule="auto"/>
        <w:rPr>
          <w:rFonts w:ascii="Times New Roman" w:hAnsi="Times New Roman" w:cs="Times New Roman"/>
          <w:sz w:val="24"/>
        </w:rPr>
      </w:pPr>
      <w:r w:rsidRPr="0098102B">
        <w:rPr>
          <w:rFonts w:ascii="Times New Roman" w:hAnsi="Times New Roman" w:cs="Times New Roman"/>
          <w:sz w:val="24"/>
        </w:rPr>
        <w:t>Há cerca de 20 anos que publicação pela Comissão Europeia dos dados estatísticos globais permite uma análise do tema. Mas é, mais recentemente de modo mais incisivo, pela ação do EIGE que dispomos dos números específicos. Estão já disponíveis dados relativos a 2025 no “Índice de Igualdade de Género 2025: Dados mais precisos para um mundo em transformação” que se estudam e demonstram um cenário ainda vagaroso.</w:t>
      </w:r>
    </w:p>
    <w:p w14:paraId="2C385680" w14:textId="77777777" w:rsidR="0098102B" w:rsidRPr="0098102B" w:rsidRDefault="0098102B" w:rsidP="0098102B">
      <w:pPr>
        <w:spacing w:after="0" w:line="360" w:lineRule="auto"/>
        <w:rPr>
          <w:rFonts w:ascii="Times New Roman" w:hAnsi="Times New Roman" w:cs="Times New Roman"/>
          <w:sz w:val="24"/>
        </w:rPr>
      </w:pPr>
      <w:r w:rsidRPr="0098102B">
        <w:rPr>
          <w:rFonts w:ascii="Times New Roman" w:hAnsi="Times New Roman" w:cs="Times New Roman"/>
          <w:sz w:val="24"/>
        </w:rPr>
        <w:t>O EIGE desenvolve uma abordagem analítica dupla, que compreende, por um lado, a comparação transversal dos dados entre os Estados‑Membros e, por outro, a análise aprofundada da evolução interna de cada Estado‑Membro considerado autonomamente.</w:t>
      </w:r>
    </w:p>
    <w:p w14:paraId="10A7DF77" w14:textId="77777777" w:rsidR="0098102B" w:rsidRDefault="0098102B" w:rsidP="00C87205">
      <w:pPr>
        <w:spacing w:after="0" w:line="360" w:lineRule="auto"/>
        <w:rPr>
          <w:rFonts w:ascii="Times New Roman" w:hAnsi="Times New Roman" w:cs="Times New Roman"/>
          <w:sz w:val="24"/>
        </w:rPr>
      </w:pPr>
    </w:p>
    <w:bookmarkEnd w:id="10"/>
    <w:p w14:paraId="094855A2" w14:textId="602D50A6" w:rsidR="00695095" w:rsidRDefault="00750A32" w:rsidP="00724F4A">
      <w:pPr>
        <w:spacing w:after="0" w:line="360" w:lineRule="auto"/>
        <w:ind w:firstLine="0"/>
        <w:rPr>
          <w:rFonts w:ascii="Times New Roman" w:hAnsi="Times New Roman" w:cs="Times New Roman"/>
          <w:sz w:val="24"/>
        </w:rPr>
      </w:pPr>
      <w:r w:rsidRPr="00985A15">
        <w:rPr>
          <w:rFonts w:ascii="Times New Roman" w:hAnsi="Times New Roman" w:cs="Times New Roman"/>
          <w:b/>
          <w:bCs/>
          <w:color w:val="000000" w:themeColor="text1"/>
          <w:sz w:val="24"/>
          <w:lang w:val="pt-BR"/>
        </w:rPr>
        <w:t xml:space="preserve">Palavras-chaves: </w:t>
      </w:r>
      <w:r w:rsidR="00175259">
        <w:rPr>
          <w:rFonts w:ascii="Times New Roman" w:hAnsi="Times New Roman" w:cs="Times New Roman"/>
          <w:color w:val="000000" w:themeColor="text1"/>
          <w:sz w:val="24"/>
          <w:lang w:val="pt-BR"/>
        </w:rPr>
        <w:t>instituições;</w:t>
      </w:r>
      <w:r w:rsidR="00F36838">
        <w:rPr>
          <w:rFonts w:ascii="Times New Roman" w:hAnsi="Times New Roman" w:cs="Times New Roman"/>
          <w:color w:val="000000" w:themeColor="text1"/>
          <w:sz w:val="24"/>
          <w:lang w:val="pt-BR"/>
        </w:rPr>
        <w:t xml:space="preserve"> EIGE;</w:t>
      </w:r>
      <w:r w:rsidR="00DA0286">
        <w:rPr>
          <w:rFonts w:ascii="Times New Roman" w:hAnsi="Times New Roman" w:cs="Times New Roman"/>
          <w:color w:val="000000" w:themeColor="text1"/>
          <w:sz w:val="24"/>
          <w:lang w:val="pt-BR"/>
        </w:rPr>
        <w:t xml:space="preserve"> igualdade de género</w:t>
      </w:r>
      <w:r w:rsidR="00175259">
        <w:rPr>
          <w:rFonts w:ascii="Times New Roman" w:hAnsi="Times New Roman" w:cs="Times New Roman"/>
          <w:color w:val="000000" w:themeColor="text1"/>
          <w:sz w:val="24"/>
          <w:lang w:val="pt-BR"/>
        </w:rPr>
        <w:t>; relatórios; União Europeia.</w:t>
      </w:r>
    </w:p>
    <w:p w14:paraId="3E0E852D" w14:textId="77777777" w:rsidR="00724F4A" w:rsidRDefault="00724F4A" w:rsidP="00724F4A">
      <w:pPr>
        <w:spacing w:after="0" w:line="360" w:lineRule="auto"/>
        <w:ind w:firstLine="0"/>
        <w:rPr>
          <w:rFonts w:ascii="Times New Roman" w:hAnsi="Times New Roman" w:cs="Times New Roman"/>
          <w:sz w:val="24"/>
        </w:rPr>
      </w:pPr>
    </w:p>
    <w:p w14:paraId="3C0FCCA8" w14:textId="77777777" w:rsidR="00AB790C" w:rsidRDefault="00AB790C" w:rsidP="004C5564">
      <w:pPr>
        <w:spacing w:before="120" w:line="240" w:lineRule="auto"/>
        <w:ind w:firstLine="0"/>
        <w:rPr>
          <w:rFonts w:ascii="Times New Roman" w:hAnsi="Times New Roman" w:cs="Times New Roman"/>
          <w:sz w:val="24"/>
        </w:rPr>
      </w:pPr>
    </w:p>
    <w:p w14:paraId="050EEAA7" w14:textId="737EBD33" w:rsidR="00A23408" w:rsidRPr="00724F4A" w:rsidRDefault="00EB04E2" w:rsidP="0062248B">
      <w:pPr>
        <w:spacing w:before="120" w:line="240" w:lineRule="auto"/>
        <w:ind w:firstLine="0"/>
        <w:rPr>
          <w:rFonts w:ascii="Times New Roman" w:hAnsi="Times New Roman" w:cs="Times New Roman"/>
          <w:sz w:val="24"/>
        </w:rPr>
      </w:pPr>
      <w:r>
        <w:rPr>
          <w:rFonts w:ascii="Times New Roman" w:hAnsi="Times New Roman" w:cs="Times New Roman"/>
          <w:b/>
          <w:bCs/>
          <w:color w:val="000000" w:themeColor="text1"/>
          <w:sz w:val="24"/>
          <w:lang w:val="pt-BR"/>
        </w:rPr>
        <w:t>Referências breve</w:t>
      </w:r>
      <w:r w:rsidRPr="00985A15">
        <w:rPr>
          <w:rFonts w:ascii="Times New Roman" w:hAnsi="Times New Roman" w:cs="Times New Roman"/>
          <w:b/>
          <w:bCs/>
          <w:color w:val="000000" w:themeColor="text1"/>
          <w:sz w:val="24"/>
          <w:lang w:val="pt-BR"/>
        </w:rPr>
        <w:t>s</w:t>
      </w:r>
      <w:bookmarkStart w:id="11" w:name="_Hlk176606025"/>
      <w:bookmarkStart w:id="12" w:name="_Hlk176603923"/>
      <w:bookmarkStart w:id="13" w:name="_Hlk176605284"/>
    </w:p>
    <w:p w14:paraId="471B015F" w14:textId="77777777" w:rsidR="00A23408" w:rsidRDefault="00A23408" w:rsidP="00A23408">
      <w:pPr>
        <w:spacing w:after="0" w:line="240" w:lineRule="auto"/>
        <w:ind w:firstLine="0"/>
      </w:pPr>
      <w:r w:rsidRPr="00FD2755">
        <w:rPr>
          <w:rFonts w:asciiTheme="minorHAnsi" w:hAnsiTheme="minorHAnsi" w:cstheme="minorHAnsi"/>
          <w:sz w:val="16"/>
          <w:szCs w:val="16"/>
        </w:rPr>
        <w:t xml:space="preserve">Alves, D. R., &amp; Lima, A. (2025). Os Direitos das Mulheres no Direito da União Europeia [comunicação oral]. Conferência Dia Internacional das Mulheres, Porto, Portugal, 10 março 2025. Universidade Portucalense. Repositório Institucional UPT. </w:t>
      </w:r>
      <w:hyperlink r:id="rId10" w:tgtFrame="_blank" w:history="1">
        <w:r w:rsidRPr="00FD2755">
          <w:rPr>
            <w:rStyle w:val="Hiperligao"/>
            <w:rFonts w:asciiTheme="minorHAnsi" w:hAnsiTheme="minorHAnsi" w:cstheme="minorHAnsi"/>
            <w:sz w:val="16"/>
            <w:szCs w:val="16"/>
          </w:rPr>
          <w:t>https://hdl.handle.net/11328/6207</w:t>
        </w:r>
      </w:hyperlink>
    </w:p>
    <w:p w14:paraId="4BBFD913" w14:textId="77777777" w:rsidR="00724F4A" w:rsidRDefault="00724F4A" w:rsidP="00A23408">
      <w:pPr>
        <w:spacing w:after="0" w:line="240" w:lineRule="auto"/>
        <w:ind w:firstLine="0"/>
      </w:pPr>
    </w:p>
    <w:p w14:paraId="46422B2A" w14:textId="77777777" w:rsidR="00724F4A" w:rsidRPr="00FD2755" w:rsidRDefault="00724F4A" w:rsidP="00A23408">
      <w:pPr>
        <w:spacing w:after="0" w:line="240" w:lineRule="auto"/>
        <w:ind w:firstLine="0"/>
        <w:rPr>
          <w:rFonts w:asciiTheme="minorHAnsi" w:hAnsiTheme="minorHAnsi" w:cstheme="minorHAnsi"/>
          <w:sz w:val="16"/>
          <w:szCs w:val="16"/>
        </w:rPr>
      </w:pPr>
    </w:p>
    <w:p w14:paraId="46A837DB" w14:textId="621F7C98" w:rsidR="00685BBF" w:rsidRDefault="00685BBF" w:rsidP="0062248B">
      <w:pPr>
        <w:spacing w:before="120" w:line="240" w:lineRule="auto"/>
        <w:ind w:firstLine="0"/>
        <w:rPr>
          <w:rFonts w:ascii="Times New Roman" w:hAnsi="Times New Roman" w:cs="Times New Roman"/>
          <w:b/>
          <w:bCs/>
          <w:sz w:val="24"/>
        </w:rPr>
      </w:pPr>
      <w:r>
        <w:rPr>
          <w:rFonts w:ascii="Times New Roman" w:hAnsi="Times New Roman" w:cs="Times New Roman"/>
          <w:b/>
          <w:bCs/>
          <w:sz w:val="24"/>
        </w:rPr>
        <w:t>Documentação</w:t>
      </w:r>
    </w:p>
    <w:p w14:paraId="461DD055" w14:textId="77777777" w:rsidR="006122BF" w:rsidRDefault="006122BF" w:rsidP="00685BBF">
      <w:pPr>
        <w:spacing w:after="0" w:line="240" w:lineRule="auto"/>
        <w:ind w:firstLine="0"/>
        <w:rPr>
          <w:rFonts w:ascii="Times New Roman" w:hAnsi="Times New Roman" w:cs="Times New Roman"/>
          <w:sz w:val="20"/>
          <w:szCs w:val="20"/>
        </w:rPr>
      </w:pPr>
    </w:p>
    <w:p w14:paraId="00682A3E" w14:textId="57E7CC95" w:rsidR="006122BF" w:rsidRPr="00724F4A" w:rsidRDefault="006122BF" w:rsidP="00685BBF">
      <w:pPr>
        <w:spacing w:after="0" w:line="240" w:lineRule="auto"/>
        <w:ind w:firstLine="0"/>
        <w:rPr>
          <w:rFonts w:ascii="Times New Roman" w:hAnsi="Times New Roman" w:cs="Times New Roman"/>
          <w:sz w:val="20"/>
          <w:szCs w:val="20"/>
        </w:rPr>
      </w:pPr>
      <w:r w:rsidRPr="00724F4A">
        <w:rPr>
          <w:rFonts w:ascii="Times New Roman" w:hAnsi="Times New Roman" w:cs="Times New Roman"/>
          <w:color w:val="333333"/>
          <w:sz w:val="20"/>
          <w:szCs w:val="20"/>
        </w:rPr>
        <w:t>Comunicação da Comissão ao Parlamento Europeu, ao Conselho, ao Comité Económico e Social Europeu e ao Comité das Regiões</w:t>
      </w:r>
      <w:r w:rsidRPr="00724F4A">
        <w:rPr>
          <w:rFonts w:ascii="Times New Roman" w:hAnsi="Times New Roman" w:cs="Times New Roman"/>
          <w:color w:val="000000"/>
          <w:sz w:val="20"/>
          <w:szCs w:val="20"/>
        </w:rPr>
        <w:t xml:space="preserve"> </w:t>
      </w:r>
      <w:r w:rsidRPr="00724F4A">
        <w:rPr>
          <w:rFonts w:ascii="Times New Roman" w:hAnsi="Times New Roman" w:cs="Times New Roman"/>
          <w:i/>
          <w:iCs/>
          <w:sz w:val="20"/>
          <w:szCs w:val="20"/>
        </w:rPr>
        <w:t>Programa de trabalho da Comissão para 2026 O momento da independência europeia</w:t>
      </w:r>
      <w:r w:rsidRPr="00724F4A">
        <w:rPr>
          <w:rFonts w:ascii="Times New Roman" w:hAnsi="Times New Roman" w:cs="Times New Roman"/>
          <w:sz w:val="20"/>
          <w:szCs w:val="20"/>
        </w:rPr>
        <w:t xml:space="preserve">. </w:t>
      </w:r>
      <w:bookmarkStart w:id="14" w:name="_Hlk213831590"/>
      <w:r w:rsidRPr="00724F4A">
        <w:rPr>
          <w:rFonts w:ascii="Times New Roman" w:hAnsi="Times New Roman" w:cs="Times New Roman"/>
          <w:color w:val="000000"/>
          <w:sz w:val="20"/>
          <w:szCs w:val="20"/>
        </w:rPr>
        <w:t xml:space="preserve">Documento </w:t>
      </w:r>
      <w:proofErr w:type="gramStart"/>
      <w:r w:rsidRPr="00724F4A">
        <w:rPr>
          <w:rFonts w:ascii="Times New Roman" w:hAnsi="Times New Roman" w:cs="Times New Roman"/>
          <w:sz w:val="20"/>
          <w:szCs w:val="20"/>
        </w:rPr>
        <w:t>COM(</w:t>
      </w:r>
      <w:proofErr w:type="gramEnd"/>
      <w:r w:rsidRPr="00724F4A">
        <w:rPr>
          <w:rFonts w:ascii="Times New Roman" w:hAnsi="Times New Roman" w:cs="Times New Roman"/>
          <w:sz w:val="20"/>
          <w:szCs w:val="20"/>
        </w:rPr>
        <w:t>2025) 870 final de 21.10.2025</w:t>
      </w:r>
      <w:r w:rsidRPr="00724F4A">
        <w:rPr>
          <w:rFonts w:ascii="Times New Roman" w:hAnsi="Times New Roman" w:cs="Times New Roman"/>
          <w:color w:val="000000"/>
          <w:sz w:val="20"/>
          <w:szCs w:val="20"/>
        </w:rPr>
        <w:t>.</w:t>
      </w:r>
      <w:bookmarkEnd w:id="14"/>
      <w:r w:rsidRPr="00724F4A">
        <w:rPr>
          <w:rFonts w:ascii="Times New Roman" w:hAnsi="Times New Roman" w:cs="Times New Roman"/>
          <w:color w:val="000000"/>
          <w:sz w:val="20"/>
          <w:szCs w:val="20"/>
        </w:rPr>
        <w:t xml:space="preserve"> </w:t>
      </w:r>
      <w:r w:rsidRPr="00724F4A">
        <w:rPr>
          <w:rFonts w:ascii="Times New Roman" w:hAnsi="Times New Roman" w:cs="Times New Roman"/>
          <w:sz w:val="20"/>
          <w:szCs w:val="20"/>
        </w:rPr>
        <w:t xml:space="preserve">Em </w:t>
      </w:r>
      <w:hyperlink r:id="rId11" w:history="1">
        <w:r w:rsidRPr="00724F4A">
          <w:rPr>
            <w:rStyle w:val="Hiperligao"/>
            <w:rFonts w:ascii="Times New Roman" w:hAnsi="Times New Roman" w:cs="Times New Roman"/>
            <w:sz w:val="20"/>
            <w:szCs w:val="20"/>
          </w:rPr>
          <w:t>https://eur-lex.europa.eu/legal-content/PT/TXT/?qid=1761126156157&amp;uri=CELEX%3A52025DC0870</w:t>
        </w:r>
      </w:hyperlink>
    </w:p>
    <w:p w14:paraId="390A07AD" w14:textId="77777777" w:rsidR="001D2491" w:rsidRPr="00724F4A" w:rsidRDefault="001D2491" w:rsidP="00685BBF">
      <w:pPr>
        <w:spacing w:after="0" w:line="240" w:lineRule="auto"/>
        <w:ind w:firstLine="0"/>
        <w:rPr>
          <w:rFonts w:ascii="Times New Roman" w:hAnsi="Times New Roman" w:cs="Times New Roman"/>
          <w:sz w:val="20"/>
          <w:szCs w:val="20"/>
        </w:rPr>
      </w:pPr>
    </w:p>
    <w:p w14:paraId="2418AE30" w14:textId="5E844700" w:rsidR="001D2491" w:rsidRPr="00724F4A" w:rsidRDefault="00726D22" w:rsidP="00685BBF">
      <w:pPr>
        <w:spacing w:after="0" w:line="240" w:lineRule="auto"/>
        <w:ind w:firstLine="0"/>
        <w:rPr>
          <w:rFonts w:ascii="Times New Roman" w:hAnsi="Times New Roman" w:cs="Times New Roman"/>
          <w:sz w:val="20"/>
          <w:szCs w:val="20"/>
        </w:rPr>
      </w:pPr>
      <w:r w:rsidRPr="00724F4A">
        <w:rPr>
          <w:rFonts w:ascii="Times New Roman" w:eastAsia="Times New Roman" w:hAnsi="Times New Roman" w:cs="Times New Roman"/>
          <w:color w:val="333333"/>
          <w:sz w:val="20"/>
          <w:szCs w:val="20"/>
        </w:rPr>
        <w:t xml:space="preserve">COMISSÃO EUROPEIA. Comunicação da Comissão ao Parlamento Europeu, ao Conselho, ao Comité Económico e Social Europeu e ao Comité das Regiões </w:t>
      </w:r>
      <w:r w:rsidRPr="00724F4A">
        <w:rPr>
          <w:rFonts w:ascii="Times New Roman" w:eastAsia="Times New Roman" w:hAnsi="Times New Roman" w:cs="Times New Roman"/>
          <w:i/>
          <w:iCs/>
          <w:color w:val="333333"/>
          <w:sz w:val="20"/>
          <w:szCs w:val="20"/>
        </w:rPr>
        <w:t>Estratégia para a Igualdade de Género 2026-2030</w:t>
      </w:r>
      <w:r w:rsidRPr="00724F4A">
        <w:rPr>
          <w:rFonts w:ascii="Times New Roman" w:eastAsia="Times New Roman" w:hAnsi="Times New Roman" w:cs="Times New Roman"/>
          <w:color w:val="333333"/>
          <w:sz w:val="20"/>
          <w:szCs w:val="20"/>
        </w:rPr>
        <w:t xml:space="preserve">. Documento </w:t>
      </w:r>
      <w:proofErr w:type="gramStart"/>
      <w:r w:rsidRPr="00724F4A">
        <w:rPr>
          <w:rFonts w:ascii="Times New Roman" w:hAnsi="Times New Roman" w:cs="Times New Roman"/>
          <w:color w:val="333333"/>
          <w:sz w:val="20"/>
          <w:szCs w:val="20"/>
        </w:rPr>
        <w:t>COM(</w:t>
      </w:r>
      <w:proofErr w:type="gramEnd"/>
      <w:r w:rsidRPr="00724F4A">
        <w:rPr>
          <w:rFonts w:ascii="Times New Roman" w:hAnsi="Times New Roman" w:cs="Times New Roman"/>
          <w:color w:val="333333"/>
          <w:sz w:val="20"/>
          <w:szCs w:val="20"/>
        </w:rPr>
        <w:t xml:space="preserve">2026) 113 final de 05.03.2026. Em </w:t>
      </w:r>
      <w:hyperlink r:id="rId12" w:history="1">
        <w:r w:rsidRPr="00724F4A">
          <w:rPr>
            <w:rStyle w:val="Hiperligao"/>
            <w:rFonts w:ascii="Times New Roman" w:hAnsi="Times New Roman" w:cs="Times New Roman"/>
            <w:sz w:val="20"/>
            <w:szCs w:val="20"/>
          </w:rPr>
          <w:t>https://eur-lex.europa.eu/legal-content/PT/TXT/?uri=CELEX%3A52026DC0113&amp;qid=1772739852845</w:t>
        </w:r>
      </w:hyperlink>
    </w:p>
    <w:p w14:paraId="10EE411A" w14:textId="77777777" w:rsidR="006122BF" w:rsidRDefault="006122BF" w:rsidP="00685BBF">
      <w:pPr>
        <w:spacing w:after="0" w:line="240" w:lineRule="auto"/>
        <w:ind w:firstLine="0"/>
        <w:rPr>
          <w:rFonts w:ascii="Times New Roman" w:hAnsi="Times New Roman" w:cs="Times New Roman"/>
          <w:sz w:val="20"/>
          <w:szCs w:val="20"/>
        </w:rPr>
      </w:pPr>
    </w:p>
    <w:p w14:paraId="68931FF0" w14:textId="00CE2B84" w:rsidR="00685BBF" w:rsidRPr="00685BBF" w:rsidRDefault="00685BBF" w:rsidP="00685BBF">
      <w:pPr>
        <w:spacing w:after="0" w:line="240" w:lineRule="auto"/>
        <w:ind w:firstLine="0"/>
        <w:rPr>
          <w:rFonts w:ascii="Times New Roman" w:hAnsi="Times New Roman" w:cs="Times New Roman"/>
          <w:sz w:val="20"/>
          <w:szCs w:val="20"/>
        </w:rPr>
      </w:pPr>
      <w:r w:rsidRPr="00685BBF">
        <w:rPr>
          <w:rFonts w:ascii="Times New Roman" w:hAnsi="Times New Roman" w:cs="Times New Roman"/>
          <w:sz w:val="20"/>
          <w:szCs w:val="20"/>
        </w:rPr>
        <w:t>Regulamento (CE) n.</w:t>
      </w:r>
      <w:r>
        <w:rPr>
          <w:rFonts w:ascii="Times New Roman" w:hAnsi="Times New Roman" w:cs="Times New Roman"/>
          <w:sz w:val="20"/>
          <w:szCs w:val="20"/>
        </w:rPr>
        <w:t>º</w:t>
      </w:r>
      <w:r w:rsidRPr="00685BBF">
        <w:rPr>
          <w:rFonts w:ascii="Times New Roman" w:hAnsi="Times New Roman" w:cs="Times New Roman"/>
          <w:sz w:val="20"/>
          <w:szCs w:val="20"/>
        </w:rPr>
        <w:t xml:space="preserve"> 1922/2006 do Parlamento Europeu e do Conselho, </w:t>
      </w:r>
      <w:proofErr w:type="gramStart"/>
      <w:r w:rsidRPr="00685BBF">
        <w:rPr>
          <w:rFonts w:ascii="Times New Roman" w:hAnsi="Times New Roman" w:cs="Times New Roman"/>
          <w:sz w:val="20"/>
          <w:szCs w:val="20"/>
        </w:rPr>
        <w:t>de  20</w:t>
      </w:r>
      <w:proofErr w:type="gramEnd"/>
      <w:r w:rsidRPr="00685BBF">
        <w:rPr>
          <w:rFonts w:ascii="Times New Roman" w:hAnsi="Times New Roman" w:cs="Times New Roman"/>
          <w:sz w:val="20"/>
          <w:szCs w:val="20"/>
        </w:rPr>
        <w:t> de Dezembro de 2006, que cria um Instituto Europeu para a Igualdade de Género</w:t>
      </w:r>
      <w:r>
        <w:rPr>
          <w:rFonts w:ascii="Times New Roman" w:hAnsi="Times New Roman" w:cs="Times New Roman"/>
          <w:sz w:val="20"/>
          <w:szCs w:val="20"/>
        </w:rPr>
        <w:t xml:space="preserve">. </w:t>
      </w:r>
      <w:r w:rsidRPr="00685BBF">
        <w:rPr>
          <w:rFonts w:ascii="Times New Roman" w:hAnsi="Times New Roman" w:cs="Times New Roman"/>
          <w:sz w:val="20"/>
          <w:szCs w:val="20"/>
        </w:rPr>
        <w:t>JO</w:t>
      </w:r>
      <w:r>
        <w:rPr>
          <w:rFonts w:ascii="Times New Roman" w:hAnsi="Times New Roman" w:cs="Times New Roman"/>
          <w:sz w:val="20"/>
          <w:szCs w:val="20"/>
        </w:rPr>
        <w:t>UE</w:t>
      </w:r>
      <w:r w:rsidRPr="00685BBF">
        <w:rPr>
          <w:rFonts w:ascii="Times New Roman" w:hAnsi="Times New Roman" w:cs="Times New Roman"/>
          <w:sz w:val="20"/>
          <w:szCs w:val="20"/>
        </w:rPr>
        <w:t xml:space="preserve"> L 403 de 30.12.2006, pp. 9–17. Versão</w:t>
      </w:r>
      <w:r>
        <w:rPr>
          <w:rFonts w:ascii="Times New Roman" w:hAnsi="Times New Roman" w:cs="Times New Roman"/>
          <w:sz w:val="20"/>
          <w:szCs w:val="20"/>
        </w:rPr>
        <w:t xml:space="preserve"> </w:t>
      </w:r>
      <w:r w:rsidRPr="00685BBF">
        <w:rPr>
          <w:rFonts w:ascii="Times New Roman" w:hAnsi="Times New Roman" w:cs="Times New Roman"/>
          <w:sz w:val="20"/>
          <w:szCs w:val="20"/>
        </w:rPr>
        <w:t>consolida</w:t>
      </w:r>
      <w:r>
        <w:rPr>
          <w:rFonts w:ascii="Times New Roman" w:hAnsi="Times New Roman" w:cs="Times New Roman"/>
          <w:sz w:val="20"/>
          <w:szCs w:val="20"/>
        </w:rPr>
        <w:t>da em</w:t>
      </w:r>
      <w:r w:rsidRPr="00685BBF">
        <w:rPr>
          <w:rFonts w:ascii="Times New Roman" w:hAnsi="Times New Roman" w:cs="Times New Roman"/>
          <w:sz w:val="20"/>
          <w:szCs w:val="20"/>
        </w:rPr>
        <w:t>: </w:t>
      </w:r>
      <w:hyperlink r:id="rId13" w:history="1">
        <w:r w:rsidRPr="00685BBF">
          <w:rPr>
            <w:rStyle w:val="Hiperligao"/>
            <w:rFonts w:ascii="Times New Roman" w:hAnsi="Times New Roman" w:cs="Times New Roman"/>
            <w:sz w:val="20"/>
            <w:szCs w:val="20"/>
          </w:rPr>
          <w:t>19/01/2007</w:t>
        </w:r>
      </w:hyperlink>
    </w:p>
    <w:p w14:paraId="17ABFF14" w14:textId="77777777" w:rsidR="00685BBF" w:rsidRDefault="00685BBF" w:rsidP="0062248B">
      <w:pPr>
        <w:spacing w:before="120" w:line="240" w:lineRule="auto"/>
        <w:ind w:firstLine="0"/>
        <w:rPr>
          <w:rFonts w:ascii="Times New Roman" w:hAnsi="Times New Roman" w:cs="Times New Roman"/>
          <w:b/>
          <w:bCs/>
          <w:sz w:val="24"/>
        </w:rPr>
      </w:pPr>
    </w:p>
    <w:p w14:paraId="544EDFD3" w14:textId="46B7E3D3" w:rsidR="00D425F1" w:rsidRPr="00D425F1" w:rsidRDefault="00D425F1" w:rsidP="0062248B">
      <w:pPr>
        <w:spacing w:before="120" w:line="240" w:lineRule="auto"/>
        <w:ind w:firstLine="0"/>
        <w:rPr>
          <w:rFonts w:ascii="Times New Roman" w:hAnsi="Times New Roman" w:cs="Times New Roman"/>
          <w:b/>
          <w:bCs/>
          <w:sz w:val="24"/>
        </w:rPr>
      </w:pPr>
      <w:r w:rsidRPr="00D425F1">
        <w:rPr>
          <w:rFonts w:ascii="Times New Roman" w:hAnsi="Times New Roman" w:cs="Times New Roman"/>
          <w:b/>
          <w:bCs/>
          <w:sz w:val="24"/>
        </w:rPr>
        <w:t>Acessos</w:t>
      </w:r>
    </w:p>
    <w:p w14:paraId="3DE5F071" w14:textId="6E91EF91" w:rsidR="00D425F1" w:rsidRPr="00685BBF" w:rsidRDefault="00287E67" w:rsidP="0062248B">
      <w:pPr>
        <w:spacing w:before="120" w:line="240" w:lineRule="auto"/>
        <w:ind w:firstLine="0"/>
        <w:rPr>
          <w:rFonts w:ascii="Times New Roman" w:hAnsi="Times New Roman" w:cs="Times New Roman"/>
          <w:sz w:val="20"/>
          <w:szCs w:val="20"/>
        </w:rPr>
      </w:pPr>
      <w:hyperlink r:id="rId14" w:history="1">
        <w:r w:rsidR="00685BBF" w:rsidRPr="00685BBF">
          <w:rPr>
            <w:rStyle w:val="Hiperligao"/>
            <w:rFonts w:ascii="Times New Roman" w:hAnsi="Times New Roman" w:cs="Times New Roman"/>
            <w:sz w:val="20"/>
            <w:szCs w:val="20"/>
          </w:rPr>
          <w:t>https://curia.europa.eu/site/jcms/qua1_5959/pt/igualdade-de-genero-no-trabalho</w:t>
        </w:r>
      </w:hyperlink>
    </w:p>
    <w:p w14:paraId="7CA7675B" w14:textId="6C46214A" w:rsidR="00685BBF" w:rsidRPr="00685BBF" w:rsidRDefault="00287E67" w:rsidP="0062248B">
      <w:pPr>
        <w:spacing w:before="120" w:line="240" w:lineRule="auto"/>
        <w:ind w:firstLine="0"/>
        <w:rPr>
          <w:rFonts w:ascii="Times New Roman" w:hAnsi="Times New Roman" w:cs="Times New Roman"/>
          <w:sz w:val="20"/>
          <w:szCs w:val="20"/>
        </w:rPr>
      </w:pPr>
      <w:hyperlink r:id="rId15" w:history="1">
        <w:r w:rsidR="00685BBF" w:rsidRPr="00685BBF">
          <w:rPr>
            <w:rStyle w:val="Hiperligao"/>
            <w:rFonts w:ascii="Times New Roman" w:hAnsi="Times New Roman" w:cs="Times New Roman"/>
            <w:sz w:val="20"/>
            <w:szCs w:val="20"/>
          </w:rPr>
          <w:t>https://eige.europa.eu/publications-resources/publications/gender-equality-index-2025-sharper-data-changing-world?language_content_entity=en</w:t>
        </w:r>
      </w:hyperlink>
      <w:r w:rsidR="00685BBF" w:rsidRPr="00685BBF">
        <w:rPr>
          <w:rFonts w:ascii="Times New Roman" w:hAnsi="Times New Roman" w:cs="Times New Roman"/>
          <w:sz w:val="20"/>
          <w:szCs w:val="20"/>
        </w:rPr>
        <w:t xml:space="preserve"> </w:t>
      </w:r>
    </w:p>
    <w:p w14:paraId="6E5DB682" w14:textId="77777777" w:rsidR="00685BBF" w:rsidRPr="0062248B" w:rsidRDefault="00685BBF" w:rsidP="0062248B">
      <w:pPr>
        <w:spacing w:before="120" w:line="240" w:lineRule="auto"/>
        <w:ind w:firstLine="0"/>
        <w:rPr>
          <w:rFonts w:ascii="Times New Roman" w:hAnsi="Times New Roman" w:cs="Times New Roman"/>
          <w:sz w:val="24"/>
        </w:rPr>
      </w:pPr>
    </w:p>
    <w:bookmarkEnd w:id="11"/>
    <w:bookmarkEnd w:id="12"/>
    <w:bookmarkEnd w:id="13"/>
    <w:p w14:paraId="7A3CDD0D" w14:textId="77777777" w:rsidR="007F761A" w:rsidRPr="00767385" w:rsidRDefault="007F761A" w:rsidP="002B2F25">
      <w:pPr>
        <w:spacing w:after="0" w:line="240" w:lineRule="auto"/>
        <w:ind w:firstLine="0"/>
        <w:jc w:val="right"/>
        <w:rPr>
          <w:rStyle w:val="Hiperligao"/>
          <w:rFonts w:cs="Arial"/>
          <w:b/>
          <w:bCs/>
          <w:color w:val="326E9B"/>
          <w:sz w:val="20"/>
          <w:szCs w:val="20"/>
          <w:shd w:val="clear" w:color="auto" w:fill="E1EAF2"/>
        </w:rPr>
      </w:pPr>
    </w:p>
    <w:p w14:paraId="678CAAC2" w14:textId="77777777" w:rsidR="005A5334" w:rsidRPr="005A5334" w:rsidRDefault="005A5334" w:rsidP="005A5334">
      <w:pPr>
        <w:spacing w:after="0" w:line="240" w:lineRule="auto"/>
        <w:ind w:firstLine="0"/>
        <w:jc w:val="left"/>
        <w:rPr>
          <w:rFonts w:cs="Arial"/>
          <w:sz w:val="18"/>
          <w:szCs w:val="18"/>
        </w:rPr>
      </w:pPr>
      <w:r w:rsidRPr="005A5334">
        <w:rPr>
          <w:rFonts w:cs="Arial"/>
          <w:sz w:val="18"/>
          <w:szCs w:val="18"/>
        </w:rPr>
        <w:t> </w:t>
      </w:r>
    </w:p>
    <w:p w14:paraId="43A754A8" w14:textId="77777777" w:rsidR="001F6912" w:rsidRPr="00CF3D16" w:rsidRDefault="001F6912" w:rsidP="001F6912">
      <w:pPr>
        <w:spacing w:after="160" w:line="259" w:lineRule="auto"/>
        <w:ind w:firstLine="0"/>
        <w:jc w:val="left"/>
        <w:rPr>
          <w:b/>
          <w:bCs/>
        </w:rPr>
      </w:pPr>
      <w:r>
        <w:rPr>
          <w:b/>
          <w:bCs/>
        </w:rPr>
        <w:lastRenderedPageBreak/>
        <w:t>Breve nota académica das autoras:</w:t>
      </w:r>
    </w:p>
    <w:p w14:paraId="056780AF" w14:textId="77777777" w:rsidR="001F6912" w:rsidRDefault="001F6912" w:rsidP="001F6912">
      <w:pPr>
        <w:spacing w:before="120" w:line="240" w:lineRule="auto"/>
        <w:ind w:firstLine="0"/>
      </w:pPr>
      <w:r>
        <w:rPr>
          <w:noProof/>
        </w:rPr>
        <w:drawing>
          <wp:inline distT="0" distB="0" distL="0" distR="0" wp14:anchorId="00AF00BD" wp14:editId="54BC0024">
            <wp:extent cx="1157897" cy="1428750"/>
            <wp:effectExtent l="0" t="0" r="4445" b="0"/>
            <wp:docPr id="5" name="Imagem 5" descr="Mulher de óculos sorrind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descr="Mulher de óculos sorrindo&#10;&#10;Descrição gerada automaticament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61412" cy="1433087"/>
                    </a:xfrm>
                    <a:prstGeom prst="rect">
                      <a:avLst/>
                    </a:prstGeom>
                    <a:noFill/>
                    <a:ln>
                      <a:noFill/>
                    </a:ln>
                  </pic:spPr>
                </pic:pic>
              </a:graphicData>
            </a:graphic>
          </wp:inline>
        </w:drawing>
      </w:r>
    </w:p>
    <w:p w14:paraId="6EC07045" w14:textId="77777777" w:rsidR="001F6912" w:rsidRDefault="001F6912" w:rsidP="001F6912">
      <w:pPr>
        <w:pStyle w:val="Corpo"/>
        <w:rPr>
          <w:rFonts w:ascii="Times New Roman" w:eastAsia="Times New Roman" w:hAnsi="Times New Roman" w:cs="Times New Roman"/>
          <w:b/>
          <w:bCs/>
          <w:sz w:val="20"/>
          <w:szCs w:val="20"/>
          <w:u w:val="single"/>
        </w:rPr>
      </w:pPr>
      <w:r>
        <w:rPr>
          <w:rFonts w:ascii="Times New Roman" w:hAnsi="Times New Roman"/>
          <w:b/>
          <w:bCs/>
          <w:sz w:val="20"/>
          <w:szCs w:val="20"/>
          <w:u w:val="single"/>
          <w:lang w:val="es-ES_tradnl"/>
        </w:rPr>
        <w:t>DORA RESENDE ALVES</w:t>
      </w:r>
    </w:p>
    <w:p w14:paraId="7EF38E73" w14:textId="7D8676DA" w:rsidR="001F6912" w:rsidRPr="00565F08" w:rsidRDefault="001F6912" w:rsidP="001F6912">
      <w:pPr>
        <w:pStyle w:val="Corpo"/>
        <w:spacing w:after="0" w:line="240" w:lineRule="auto"/>
        <w:jc w:val="both"/>
        <w:rPr>
          <w:rStyle w:val="Hyperlink2"/>
          <w:sz w:val="20"/>
          <w:szCs w:val="20"/>
        </w:rPr>
      </w:pPr>
      <w:bookmarkStart w:id="15" w:name="_Hlk45608775"/>
      <w:r>
        <w:rPr>
          <w:sz w:val="20"/>
          <w:szCs w:val="20"/>
        </w:rPr>
        <w:t xml:space="preserve">Professora Associada do Departamento de Direito da Universidade Portucalense (UPT). Doutora pela </w:t>
      </w:r>
      <w:proofErr w:type="spellStart"/>
      <w:r>
        <w:rPr>
          <w:sz w:val="20"/>
          <w:szCs w:val="20"/>
        </w:rPr>
        <w:t>Universidad</w:t>
      </w:r>
      <w:proofErr w:type="spellEnd"/>
      <w:r>
        <w:rPr>
          <w:sz w:val="20"/>
          <w:szCs w:val="20"/>
        </w:rPr>
        <w:t xml:space="preserve"> de Vigo (Espanha) e Mestre em Direito pela Universidade de Coimbra. </w:t>
      </w:r>
      <w:bookmarkStart w:id="16" w:name="_Hlk178507885"/>
      <w:r>
        <w:rPr>
          <w:sz w:val="20"/>
          <w:szCs w:val="20"/>
        </w:rPr>
        <w:t xml:space="preserve">Autora de livros e artigos científicos. Orientadora de teses. Revisora de revistas científicas. </w:t>
      </w:r>
      <w:bookmarkEnd w:id="16"/>
      <w:r>
        <w:rPr>
          <w:sz w:val="20"/>
          <w:szCs w:val="20"/>
        </w:rPr>
        <w:t>Investigadora do Instituto Jurídico Portucalense (IJP). Editora-adjunta da Revista Jurídica Portucalense.</w:t>
      </w:r>
      <w:bookmarkEnd w:id="15"/>
      <w:r>
        <w:rPr>
          <w:sz w:val="20"/>
          <w:szCs w:val="20"/>
        </w:rPr>
        <w:t xml:space="preserve"> </w:t>
      </w:r>
    </w:p>
    <w:p w14:paraId="3E527CB1" w14:textId="77777777" w:rsidR="001F6912" w:rsidRDefault="001F6912" w:rsidP="001F6912">
      <w:pPr>
        <w:spacing w:after="0" w:line="360" w:lineRule="auto"/>
        <w:ind w:right="-285" w:firstLine="0"/>
        <w:rPr>
          <w:rFonts w:cs="Arial"/>
          <w:sz w:val="20"/>
          <w:szCs w:val="20"/>
          <w:lang w:val="pt-BR"/>
        </w:rPr>
      </w:pPr>
    </w:p>
    <w:p w14:paraId="62B82811" w14:textId="4C1E37E0" w:rsidR="001F6912" w:rsidRDefault="001F6912" w:rsidP="001F6912">
      <w:pPr>
        <w:spacing w:after="0" w:line="360" w:lineRule="auto"/>
        <w:ind w:right="-285" w:firstLine="0"/>
        <w:rPr>
          <w:rFonts w:cs="Arial"/>
          <w:sz w:val="20"/>
          <w:szCs w:val="20"/>
          <w:lang w:val="pt-BR"/>
        </w:rPr>
      </w:pPr>
      <w:r>
        <w:rPr>
          <w:rFonts w:cs="Arial"/>
          <w:sz w:val="20"/>
          <w:szCs w:val="20"/>
          <w:lang w:val="pt-BR"/>
        </w:rPr>
        <w:t>+</w:t>
      </w:r>
    </w:p>
    <w:p w14:paraId="4DE60338" w14:textId="77777777" w:rsidR="001F6912" w:rsidRDefault="001F6912" w:rsidP="001F6912">
      <w:pPr>
        <w:spacing w:after="0" w:line="360" w:lineRule="auto"/>
        <w:ind w:right="-285" w:firstLine="0"/>
        <w:rPr>
          <w:rFonts w:cs="Arial"/>
          <w:sz w:val="20"/>
          <w:szCs w:val="20"/>
          <w:lang w:val="pt-BR"/>
        </w:rPr>
      </w:pPr>
      <w:r w:rsidRPr="00CF3D16">
        <w:rPr>
          <w:rFonts w:cs="Arial"/>
          <w:noProof/>
          <w:sz w:val="20"/>
          <w:szCs w:val="20"/>
        </w:rPr>
        <w:drawing>
          <wp:inline distT="0" distB="0" distL="0" distR="0" wp14:anchorId="4B5E48BC" wp14:editId="7B192990">
            <wp:extent cx="1382395" cy="1627972"/>
            <wp:effectExtent l="0" t="0" r="8255" b="0"/>
            <wp:docPr id="8" name="Imagem 7" descr="Uma imagem com pessoa, Cara humana, vestuário, retrato&#10;&#10;Os conteúdos gerados por IA poderão estar incorretos.">
              <a:extLst xmlns:a="http://schemas.openxmlformats.org/drawingml/2006/main">
                <a:ext uri="{FF2B5EF4-FFF2-40B4-BE49-F238E27FC236}">
                  <a16:creationId xmlns:a16="http://schemas.microsoft.com/office/drawing/2014/main" id="{64DD5A01-1D5D-276B-0A27-DAD9ED9306F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7" descr="Uma imagem com pessoa, Cara humana, vestuário, retrato&#10;&#10;Os conteúdos gerados por IA poderão estar incorretos.">
                      <a:extLst>
                        <a:ext uri="{FF2B5EF4-FFF2-40B4-BE49-F238E27FC236}">
                          <a16:creationId xmlns:a16="http://schemas.microsoft.com/office/drawing/2014/main" id="{64DD5A01-1D5D-276B-0A27-DAD9ED9306F7}"/>
                        </a:ext>
                      </a:extLst>
                    </pic:cNvPr>
                    <pic:cNvPicPr>
                      <a:picLocks noChangeAspect="1"/>
                    </pic:cNvPicPr>
                  </pic:nvPicPr>
                  <pic:blipFill rotWithShape="1">
                    <a:blip r:embed="rId17"/>
                    <a:srcRect t="17796"/>
                    <a:stretch/>
                  </pic:blipFill>
                  <pic:spPr bwMode="auto">
                    <a:xfrm>
                      <a:off x="0" y="0"/>
                      <a:ext cx="1382868" cy="1628529"/>
                    </a:xfrm>
                    <a:prstGeom prst="rect">
                      <a:avLst/>
                    </a:prstGeom>
                    <a:ln>
                      <a:noFill/>
                    </a:ln>
                    <a:extLst>
                      <a:ext uri="{53640926-AAD7-44D8-BBD7-CCE9431645EC}">
                        <a14:shadowObscured xmlns:a14="http://schemas.microsoft.com/office/drawing/2010/main"/>
                      </a:ext>
                    </a:extLst>
                  </pic:spPr>
                </pic:pic>
              </a:graphicData>
            </a:graphic>
          </wp:inline>
        </w:drawing>
      </w:r>
    </w:p>
    <w:p w14:paraId="0C165C87" w14:textId="77777777" w:rsidR="001F6912" w:rsidRPr="00CF3D16" w:rsidRDefault="001F6912" w:rsidP="001F6912">
      <w:pPr>
        <w:spacing w:after="0" w:line="360" w:lineRule="auto"/>
        <w:ind w:right="-285" w:firstLine="0"/>
        <w:rPr>
          <w:rFonts w:ascii="Times New Roman" w:eastAsia="Arial Unicode MS" w:hAnsi="Times New Roman" w:cs="Arial Unicode MS"/>
          <w:b/>
          <w:bCs/>
          <w:color w:val="000000"/>
          <w:sz w:val="20"/>
          <w:szCs w:val="20"/>
          <w:u w:val="single" w:color="000000"/>
          <w:bdr w:val="nil"/>
          <w:lang w:val="es-ES_tradnl" w:eastAsia="pt-PT"/>
          <w14:textOutline w14:w="0" w14:cap="flat" w14:cmpd="sng" w14:algn="ctr">
            <w14:noFill/>
            <w14:prstDash w14:val="solid"/>
            <w14:bevel/>
          </w14:textOutline>
        </w:rPr>
      </w:pPr>
      <w:r w:rsidRPr="00CF3D16">
        <w:rPr>
          <w:rFonts w:ascii="Times New Roman" w:eastAsia="Arial Unicode MS" w:hAnsi="Times New Roman" w:cs="Arial Unicode MS"/>
          <w:b/>
          <w:bCs/>
          <w:color w:val="000000"/>
          <w:sz w:val="20"/>
          <w:szCs w:val="20"/>
          <w:u w:val="single" w:color="000000"/>
          <w:bdr w:val="nil"/>
          <w:lang w:val="es-ES_tradnl" w:eastAsia="pt-PT"/>
          <w14:textOutline w14:w="0" w14:cap="flat" w14:cmpd="sng" w14:algn="ctr">
            <w14:noFill/>
            <w14:prstDash w14:val="solid"/>
            <w14:bevel/>
          </w14:textOutline>
        </w:rPr>
        <w:t>ANGÉLICA LIMA</w:t>
      </w:r>
    </w:p>
    <w:p w14:paraId="50E87112" w14:textId="782E245A" w:rsidR="001F6912" w:rsidRPr="00CF3D16" w:rsidRDefault="001F6912" w:rsidP="001F6912">
      <w:pPr>
        <w:spacing w:after="0" w:line="240" w:lineRule="auto"/>
        <w:ind w:right="-285" w:firstLine="0"/>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pPr>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Licenciada</w:t>
      </w:r>
      <w:r>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 xml:space="preserve"> em Direito e</w:t>
      </w:r>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 xml:space="preserve"> em Engenharia Química – ramo </w:t>
      </w:r>
      <w:proofErr w:type="spellStart"/>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tecnicas</w:t>
      </w:r>
      <w:proofErr w:type="spellEnd"/>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 xml:space="preserve"> de proteção ambiental </w:t>
      </w:r>
      <w:proofErr w:type="gramStart"/>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pelo  Instituto</w:t>
      </w:r>
      <w:proofErr w:type="gramEnd"/>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 xml:space="preserve"> superior de Engenharia, MBA em </w:t>
      </w:r>
      <w:proofErr w:type="spellStart"/>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Lean</w:t>
      </w:r>
      <w:proofErr w:type="spellEnd"/>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 xml:space="preserve"> </w:t>
      </w:r>
      <w:proofErr w:type="spellStart"/>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Services</w:t>
      </w:r>
      <w:proofErr w:type="spellEnd"/>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 xml:space="preserve"> Management, com uma pós Graduação em </w:t>
      </w:r>
      <w:proofErr w:type="spellStart"/>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Gestao</w:t>
      </w:r>
      <w:proofErr w:type="spellEnd"/>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 xml:space="preserve"> da qualidade, e  Pós Graduação em Higiene e segurança no trabalho.</w:t>
      </w:r>
    </w:p>
    <w:p w14:paraId="0046AB11" w14:textId="439D0D72" w:rsidR="001F6912" w:rsidRPr="00CF3D16" w:rsidRDefault="001F6912" w:rsidP="001F6912">
      <w:pPr>
        <w:spacing w:after="0" w:line="240" w:lineRule="auto"/>
        <w:ind w:right="-285" w:firstLine="0"/>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pPr>
      <w:r>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Mestranda em</w:t>
      </w:r>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 xml:space="preserve"> </w:t>
      </w:r>
      <w:r>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D</w:t>
      </w:r>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 xml:space="preserve">ireito </w:t>
      </w:r>
      <w:r>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na U</w:t>
      </w:r>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niversidade Portucalense.</w:t>
      </w:r>
    </w:p>
    <w:p w14:paraId="321D5164" w14:textId="3AF809DD" w:rsidR="001F6912" w:rsidRPr="00CF3D16" w:rsidRDefault="001F6912" w:rsidP="001F6912">
      <w:pPr>
        <w:spacing w:after="0" w:line="240" w:lineRule="auto"/>
        <w:ind w:right="-285" w:firstLine="0"/>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pPr>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 xml:space="preserve">Atualmente </w:t>
      </w:r>
      <w:proofErr w:type="gramStart"/>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Investigadora</w:t>
      </w:r>
      <w:proofErr w:type="gramEnd"/>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 xml:space="preserve"> na Investigadora Cátedra Jean Monnet na Universidade Federal da Uberlândia na área dos Direitos Humanos, Conflitos Armados, Médio Oriente, Refugiados, Migrantes, Direito Humanitário, Direito </w:t>
      </w:r>
      <w:r>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d</w:t>
      </w:r>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 xml:space="preserve">a União Europeia </w:t>
      </w:r>
      <w:r>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e</w:t>
      </w:r>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 xml:space="preserve"> Igualdade </w:t>
      </w:r>
      <w:r>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d</w:t>
      </w:r>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e Género. </w:t>
      </w:r>
    </w:p>
    <w:p w14:paraId="29C8353C" w14:textId="7A4B8AEC" w:rsidR="001F6912" w:rsidRPr="00CF3D16" w:rsidRDefault="001F6912" w:rsidP="001F6912">
      <w:pPr>
        <w:spacing w:after="0" w:line="240" w:lineRule="auto"/>
        <w:ind w:right="-285" w:firstLine="0"/>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pPr>
      <w:r w:rsidRPr="00CF3D16">
        <w:rPr>
          <w:rFonts w:ascii="Calibri" w:eastAsia="Arial Unicode MS" w:hAnsi="Calibri" w:cs="Arial Unicode MS"/>
          <w:color w:val="000000"/>
          <w:sz w:val="20"/>
          <w:szCs w:val="20"/>
          <w:u w:color="000000"/>
          <w:bdr w:val="nil"/>
          <w:lang w:eastAsia="pt-PT"/>
          <w14:textOutline w14:w="0" w14:cap="flat" w14:cmpd="sng" w14:algn="ctr">
            <w14:noFill/>
            <w14:prstDash w14:val="solid"/>
            <w14:bevel/>
          </w14:textOutline>
        </w:rPr>
        <w:t>Autora de artigos científicos.</w:t>
      </w:r>
    </w:p>
    <w:p w14:paraId="36AE11BE" w14:textId="77777777" w:rsidR="00A93BE2" w:rsidRDefault="00A93BE2" w:rsidP="006E3ADD">
      <w:pPr>
        <w:spacing w:after="0" w:line="360" w:lineRule="auto"/>
        <w:ind w:right="-285" w:firstLine="0"/>
        <w:rPr>
          <w:rFonts w:cs="Arial"/>
          <w:sz w:val="20"/>
          <w:szCs w:val="20"/>
          <w:lang w:val="pt-BR"/>
        </w:rPr>
      </w:pPr>
    </w:p>
    <w:sectPr w:rsidR="00A93BE2" w:rsidSect="00AF6F0C">
      <w:pgSz w:w="11906" w:h="16838"/>
      <w:pgMar w:top="1276" w:right="1701" w:bottom="85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CF1A14" w14:textId="77777777" w:rsidR="00287E67" w:rsidRDefault="00287E67" w:rsidP="00970D4A">
      <w:pPr>
        <w:spacing w:after="0" w:line="240" w:lineRule="auto"/>
      </w:pPr>
      <w:r>
        <w:separator/>
      </w:r>
    </w:p>
  </w:endnote>
  <w:endnote w:type="continuationSeparator" w:id="0">
    <w:p w14:paraId="09A46535" w14:textId="77777777" w:rsidR="00287E67" w:rsidRDefault="00287E67" w:rsidP="00970D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Garamond">
    <w:altName w:val="Garamond"/>
    <w:panose1 w:val="020204040303010108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B41747" w14:textId="77777777" w:rsidR="00287E67" w:rsidRDefault="00287E67" w:rsidP="00970D4A">
      <w:pPr>
        <w:spacing w:after="0" w:line="240" w:lineRule="auto"/>
      </w:pPr>
      <w:r>
        <w:separator/>
      </w:r>
    </w:p>
  </w:footnote>
  <w:footnote w:type="continuationSeparator" w:id="0">
    <w:p w14:paraId="2497D5D8" w14:textId="77777777" w:rsidR="00287E67" w:rsidRDefault="00287E67" w:rsidP="00970D4A">
      <w:pPr>
        <w:spacing w:after="0" w:line="240" w:lineRule="auto"/>
      </w:pPr>
      <w:r>
        <w:continuationSeparator/>
      </w:r>
    </w:p>
  </w:footnote>
  <w:footnote w:id="1">
    <w:p w14:paraId="4AD7C7F0" w14:textId="77777777" w:rsidR="00F83FB1" w:rsidRPr="000371F1" w:rsidRDefault="00F83FB1" w:rsidP="00F83FB1">
      <w:pPr>
        <w:pStyle w:val="Textodenotaderodap"/>
        <w:rPr>
          <w:rFonts w:ascii="Times New Roman" w:hAnsi="Times New Roman" w:cs="Times New Roman"/>
        </w:rPr>
      </w:pPr>
      <w:r w:rsidRPr="000371F1">
        <w:rPr>
          <w:rStyle w:val="Refdenotaderodap"/>
          <w:rFonts w:ascii="Times New Roman" w:hAnsi="Times New Roman" w:cs="Times New Roman"/>
        </w:rPr>
        <w:footnoteRef/>
      </w:r>
      <w:r w:rsidRPr="000371F1">
        <w:rPr>
          <w:rFonts w:ascii="Times New Roman" w:hAnsi="Times New Roman" w:cs="Times New Roman"/>
        </w:rPr>
        <w:t xml:space="preserve"> Em </w:t>
      </w:r>
      <w:hyperlink r:id="rId1" w:history="1">
        <w:r w:rsidRPr="000371F1">
          <w:rPr>
            <w:rStyle w:val="Hiperligao"/>
            <w:rFonts w:ascii="Times New Roman" w:hAnsi="Times New Roman" w:cs="Times New Roman"/>
          </w:rPr>
          <w:t>https://ijp.upt.pt/estudos-sobre-mulheres-genero-e-interseccionalidade/</w:t>
        </w:r>
      </w:hyperlink>
    </w:p>
  </w:footnote>
  <w:footnote w:id="2">
    <w:p w14:paraId="07DCD170" w14:textId="1FE964A8" w:rsidR="00F83FB1" w:rsidRPr="000371F1" w:rsidRDefault="00F83FB1" w:rsidP="00F83FB1">
      <w:pPr>
        <w:pStyle w:val="Textodenotaderodap"/>
        <w:rPr>
          <w:rFonts w:ascii="Times New Roman" w:hAnsi="Times New Roman" w:cs="Times New Roman"/>
        </w:rPr>
      </w:pPr>
      <w:r w:rsidRPr="000371F1">
        <w:rPr>
          <w:rStyle w:val="Refdenotaderodap"/>
          <w:rFonts w:ascii="Times New Roman" w:hAnsi="Times New Roman" w:cs="Times New Roman"/>
        </w:rPr>
        <w:footnoteRef/>
      </w:r>
      <w:r w:rsidRPr="000371F1">
        <w:rPr>
          <w:rFonts w:ascii="Times New Roman" w:hAnsi="Times New Roman" w:cs="Times New Roman"/>
        </w:rPr>
        <w:t xml:space="preserve"> Divulgado em </w:t>
      </w:r>
      <w:hyperlink r:id="rId2" w:history="1">
        <w:r w:rsidR="00BE4724" w:rsidRPr="00133B24">
          <w:rPr>
            <w:rStyle w:val="Hiperligao"/>
            <w:rFonts w:ascii="Times New Roman" w:hAnsi="Times New Roman" w:cs="Times New Roman"/>
          </w:rPr>
          <w:t>https://www.upt.pt/agenda/ii-conferencia-dia-internacional-das-mulheres/</w:t>
        </w:r>
      </w:hyperlink>
      <w:r w:rsidR="00BE4724">
        <w:rPr>
          <w:rFonts w:ascii="Times New Roman" w:hAnsi="Times New Roman" w:cs="Times New Roman"/>
        </w:rPr>
        <w:t xml:space="preserve"> </w:t>
      </w:r>
    </w:p>
  </w:footnote>
  <w:footnote w:id="3">
    <w:p w14:paraId="438F0FAD" w14:textId="17848859" w:rsidR="00175259" w:rsidRPr="008553E0" w:rsidRDefault="00175259" w:rsidP="00175259">
      <w:pPr>
        <w:pStyle w:val="Textodenotaderodap"/>
        <w:rPr>
          <w:rFonts w:ascii="Garamond" w:hAnsi="Garamond"/>
        </w:rPr>
      </w:pPr>
      <w:r w:rsidRPr="008553E0">
        <w:rPr>
          <w:rStyle w:val="Refdenotaderodap"/>
          <w:rFonts w:ascii="Garamond" w:hAnsi="Garamond"/>
        </w:rPr>
        <w:footnoteRef/>
      </w:r>
      <w:r w:rsidRPr="008553E0">
        <w:rPr>
          <w:rFonts w:ascii="Garamond" w:hAnsi="Garamond"/>
        </w:rPr>
        <w:t xml:space="preserve"> </w:t>
      </w:r>
      <w:bookmarkStart w:id="1" w:name="_Hlk176422320"/>
      <w:r>
        <w:rPr>
          <w:rFonts w:ascii="Garamond" w:hAnsi="Garamond"/>
        </w:rPr>
        <w:t>Docente d</w:t>
      </w:r>
      <w:r w:rsidRPr="008553E0">
        <w:rPr>
          <w:rFonts w:ascii="Garamond" w:hAnsi="Garamond"/>
        </w:rPr>
        <w:t>a Universidade Portucalense Infante D. Henrique</w:t>
      </w:r>
      <w:r>
        <w:rPr>
          <w:rFonts w:ascii="Garamond" w:hAnsi="Garamond"/>
        </w:rPr>
        <w:t>, Porto, Portugal</w:t>
      </w:r>
      <w:r w:rsidRPr="008553E0">
        <w:rPr>
          <w:rFonts w:ascii="Garamond" w:hAnsi="Garamond"/>
        </w:rPr>
        <w:t>. Investigadora</w:t>
      </w:r>
      <w:r>
        <w:rPr>
          <w:rFonts w:ascii="Garamond" w:hAnsi="Garamond"/>
        </w:rPr>
        <w:t xml:space="preserve"> integrada</w:t>
      </w:r>
      <w:r w:rsidRPr="008553E0">
        <w:rPr>
          <w:rFonts w:ascii="Garamond" w:hAnsi="Garamond"/>
        </w:rPr>
        <w:t xml:space="preserve"> do Instituto Jurídico Portucalense. E-mail: </w:t>
      </w:r>
      <w:hyperlink r:id="rId3" w:history="1">
        <w:r w:rsidRPr="008553E0">
          <w:rPr>
            <w:rStyle w:val="Hiperligao"/>
            <w:rFonts w:ascii="Garamond" w:hAnsi="Garamond"/>
          </w:rPr>
          <w:t>dra@upt.pt</w:t>
        </w:r>
      </w:hyperlink>
      <w:bookmarkEnd w:id="1"/>
      <w:r w:rsidRPr="008553E0">
        <w:rPr>
          <w:rFonts w:ascii="Garamond" w:hAnsi="Garamond"/>
        </w:rPr>
        <w:t xml:space="preserve"> </w:t>
      </w:r>
      <w:bookmarkStart w:id="2" w:name="_Hlk181001768"/>
      <w:r w:rsidR="00F83FB1" w:rsidRPr="00767385">
        <w:rPr>
          <w:rFonts w:ascii="Times New Roman" w:hAnsi="Times New Roman" w:cs="Times New Roman"/>
        </w:rPr>
        <w:t xml:space="preserve">ORCID – </w:t>
      </w:r>
      <w:r w:rsidR="00F83FB1" w:rsidRPr="00767385">
        <w:rPr>
          <w:rFonts w:ascii="Times New Roman" w:hAnsi="Times New Roman" w:cs="Times New Roman"/>
          <w:color w:val="1F497D"/>
        </w:rPr>
        <w:t>0000-0003-4720-1400</w:t>
      </w:r>
      <w:bookmarkEnd w:id="2"/>
      <w:r w:rsidR="00F83FB1" w:rsidRPr="00767385">
        <w:rPr>
          <w:rFonts w:ascii="Times New Roman" w:hAnsi="Times New Roman" w:cs="Times New Roman"/>
          <w:color w:val="1F497D"/>
        </w:rPr>
        <w:t xml:space="preserve"> </w:t>
      </w:r>
      <w:r w:rsidR="00F83FB1" w:rsidRPr="00767385">
        <w:rPr>
          <w:rFonts w:ascii="Times New Roman" w:hAnsi="Times New Roman" w:cs="Times New Roman"/>
        </w:rPr>
        <w:t xml:space="preserve"> </w:t>
      </w:r>
    </w:p>
  </w:footnote>
  <w:footnote w:id="4">
    <w:p w14:paraId="6259423B" w14:textId="353AFCD4" w:rsidR="00175259" w:rsidRDefault="00175259" w:rsidP="00175259">
      <w:pPr>
        <w:pStyle w:val="Textodenotaderodap"/>
      </w:pPr>
      <w:r>
        <w:rPr>
          <w:rStyle w:val="Refdenotaderodap"/>
        </w:rPr>
        <w:footnoteRef/>
      </w:r>
      <w:r>
        <w:t xml:space="preserve"> </w:t>
      </w:r>
      <w:bookmarkStart w:id="3" w:name="_Hlk176422344"/>
      <w:r>
        <w:rPr>
          <w:rFonts w:ascii="Garamond" w:hAnsi="Garamond"/>
        </w:rPr>
        <w:t>Mestranda d</w:t>
      </w:r>
      <w:r w:rsidRPr="008553E0">
        <w:rPr>
          <w:rFonts w:ascii="Garamond" w:hAnsi="Garamond"/>
        </w:rPr>
        <w:t>a Universidade Portucalense Infante D. Henrique. Investigadora</w:t>
      </w:r>
      <w:r>
        <w:rPr>
          <w:rFonts w:ascii="Garamond" w:hAnsi="Garamond"/>
        </w:rPr>
        <w:t xml:space="preserve"> na Cátedra Jean Monnet – Universidade de Uberlândia, Brasil</w:t>
      </w:r>
      <w:r w:rsidRPr="008553E0">
        <w:rPr>
          <w:rFonts w:ascii="Garamond" w:hAnsi="Garamond"/>
        </w:rPr>
        <w:t xml:space="preserve">. E-mail: </w:t>
      </w:r>
      <w:hyperlink r:id="rId4" w:history="1">
        <w:r w:rsidRPr="00F20989">
          <w:rPr>
            <w:rStyle w:val="Hiperligao"/>
            <w:rFonts w:ascii="Garamond" w:hAnsi="Garamond"/>
          </w:rPr>
          <w:t>39598@alunos.upt.pt</w:t>
        </w:r>
      </w:hyperlink>
      <w:bookmarkEnd w:id="3"/>
      <w:r w:rsidR="00F83FB1">
        <w:t xml:space="preserve"> </w:t>
      </w:r>
      <w:r w:rsidR="00F83FB1" w:rsidRPr="006943B8">
        <w:rPr>
          <w:rFonts w:ascii="Garamond" w:hAnsi="Garamond"/>
        </w:rPr>
        <w:t>ORCID:</w:t>
      </w:r>
      <w:r w:rsidR="00F83FB1" w:rsidRPr="006D5DF8">
        <w:t xml:space="preserve"> </w:t>
      </w:r>
      <w:r w:rsidR="00F83FB1" w:rsidRPr="006D5DF8">
        <w:rPr>
          <w:rFonts w:ascii="Times New Roman" w:hAnsi="Times New Roman" w:cs="Times New Roman"/>
          <w:color w:val="1F497D"/>
        </w:rPr>
        <w:t>0009-0001-7781-2846</w:t>
      </w:r>
    </w:p>
  </w:footnote>
  <w:footnote w:id="5">
    <w:p w14:paraId="0FB2490C" w14:textId="7316CA13" w:rsidR="006122BF" w:rsidRPr="0098102B" w:rsidRDefault="006122BF" w:rsidP="006122BF">
      <w:pPr>
        <w:pStyle w:val="Textodenotaderodap"/>
        <w:ind w:firstLine="0"/>
        <w:rPr>
          <w:rFonts w:ascii="Times New Roman" w:hAnsi="Times New Roman" w:cs="Times New Roman"/>
        </w:rPr>
      </w:pPr>
      <w:r w:rsidRPr="0098102B">
        <w:rPr>
          <w:rStyle w:val="Refdenotaderodap"/>
          <w:rFonts w:ascii="Times New Roman" w:hAnsi="Times New Roman" w:cs="Times New Roman"/>
        </w:rPr>
        <w:footnoteRef/>
      </w:r>
      <w:r w:rsidRPr="0098102B">
        <w:rPr>
          <w:rFonts w:ascii="Times New Roman" w:hAnsi="Times New Roman" w:cs="Times New Roman"/>
        </w:rPr>
        <w:t xml:space="preserve"> Em </w:t>
      </w:r>
      <w:hyperlink r:id="rId5" w:history="1">
        <w:r w:rsidRPr="0098102B">
          <w:rPr>
            <w:rStyle w:val="Hiperligao"/>
            <w:rFonts w:ascii="Times New Roman" w:hAnsi="Times New Roman" w:cs="Times New Roman"/>
          </w:rPr>
          <w:t>https://eige.europa.eu/publications-resources/publications/gender-equality-index-2025-sharper-data-changing-world?language_content_entity=en</w:t>
        </w:r>
      </w:hyperlink>
      <w:r w:rsidRPr="0098102B">
        <w:rPr>
          <w:rFonts w:ascii="Times New Roman" w:hAnsi="Times New Roman" w:cs="Times New Roman"/>
        </w:rPr>
        <w:t xml:space="preserve"> </w:t>
      </w:r>
    </w:p>
  </w:footnote>
  <w:footnote w:id="6">
    <w:p w14:paraId="5D048A07" w14:textId="0E9C0206" w:rsidR="006122BF" w:rsidRPr="0098102B" w:rsidRDefault="006122BF" w:rsidP="006122BF">
      <w:pPr>
        <w:pStyle w:val="Textodenotaderodap"/>
        <w:ind w:firstLine="0"/>
        <w:rPr>
          <w:rFonts w:ascii="Times New Roman" w:hAnsi="Times New Roman" w:cs="Times New Roman"/>
        </w:rPr>
      </w:pPr>
      <w:r w:rsidRPr="0098102B">
        <w:rPr>
          <w:rStyle w:val="Refdenotaderodap"/>
          <w:rFonts w:ascii="Times New Roman" w:hAnsi="Times New Roman" w:cs="Times New Roman"/>
        </w:rPr>
        <w:footnoteRef/>
      </w:r>
      <w:r w:rsidRPr="0098102B">
        <w:rPr>
          <w:rFonts w:ascii="Times New Roman" w:hAnsi="Times New Roman" w:cs="Times New Roman"/>
        </w:rPr>
        <w:t xml:space="preserve"> No </w:t>
      </w:r>
      <w:r w:rsidRPr="0098102B">
        <w:rPr>
          <w:rFonts w:ascii="Times New Roman" w:hAnsi="Times New Roman" w:cs="Times New Roman"/>
          <w:color w:val="000000"/>
        </w:rPr>
        <w:t xml:space="preserve">Documento </w:t>
      </w:r>
      <w:proofErr w:type="gramStart"/>
      <w:r w:rsidRPr="0098102B">
        <w:rPr>
          <w:rFonts w:ascii="Times New Roman" w:hAnsi="Times New Roman" w:cs="Times New Roman"/>
        </w:rPr>
        <w:t>COM(</w:t>
      </w:r>
      <w:proofErr w:type="gramEnd"/>
      <w:r w:rsidRPr="0098102B">
        <w:rPr>
          <w:rFonts w:ascii="Times New Roman" w:hAnsi="Times New Roman" w:cs="Times New Roman"/>
        </w:rPr>
        <w:t xml:space="preserve">2025) 870 final de 21.10.2025, no seguimento do anunciado no Discurso da União de Setembro de 2025, em </w:t>
      </w:r>
      <w:hyperlink r:id="rId6" w:history="1">
        <w:r w:rsidRPr="0098102B">
          <w:rPr>
            <w:rStyle w:val="Hiperligao"/>
            <w:rFonts w:ascii="Times New Roman" w:hAnsi="Times New Roman" w:cs="Times New Roman"/>
          </w:rPr>
          <w:t>https://ec.europa.eu/commission/presscorner/detail/pt/SPEECH_25_2053</w:t>
        </w:r>
      </w:hyperlink>
    </w:p>
  </w:footnote>
  <w:footnote w:id="7">
    <w:p w14:paraId="06A5A83A" w14:textId="51EF288A" w:rsidR="006122BF" w:rsidRPr="0098102B" w:rsidRDefault="006122BF" w:rsidP="006122BF">
      <w:pPr>
        <w:pStyle w:val="Textodenotaderodap"/>
        <w:ind w:firstLine="0"/>
        <w:rPr>
          <w:rFonts w:ascii="Times New Roman" w:hAnsi="Times New Roman" w:cs="Times New Roman"/>
        </w:rPr>
      </w:pPr>
      <w:r w:rsidRPr="0098102B">
        <w:rPr>
          <w:rStyle w:val="Refdenotaderodap"/>
          <w:rFonts w:ascii="Times New Roman" w:hAnsi="Times New Roman" w:cs="Times New Roman"/>
        </w:rPr>
        <w:footnoteRef/>
      </w:r>
      <w:r w:rsidRPr="0098102B">
        <w:rPr>
          <w:rFonts w:ascii="Times New Roman" w:hAnsi="Times New Roman" w:cs="Times New Roman"/>
        </w:rPr>
        <w:t xml:space="preserve"> Em </w:t>
      </w:r>
      <w:hyperlink r:id="rId7" w:history="1">
        <w:r w:rsidRPr="0098102B">
          <w:rPr>
            <w:rStyle w:val="Hiperligao"/>
            <w:rFonts w:ascii="Times New Roman" w:hAnsi="Times New Roman" w:cs="Times New Roman"/>
          </w:rPr>
          <w:t>https://eige.europa.eu/about/documents-registry/eiges-2026-2028-single-programming-document-amended</w:t>
        </w:r>
      </w:hyperlink>
      <w:r w:rsidRPr="0098102B">
        <w:rPr>
          <w:rFonts w:ascii="Times New Roman" w:hAnsi="Times New Roman" w:cs="Times New Roman"/>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340BF3"/>
    <w:multiLevelType w:val="multilevel"/>
    <w:tmpl w:val="3A6834F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B37185E"/>
    <w:multiLevelType w:val="multilevel"/>
    <w:tmpl w:val="1C58C4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9094EE8"/>
    <w:multiLevelType w:val="multilevel"/>
    <w:tmpl w:val="C4B025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2DA5D7E"/>
    <w:multiLevelType w:val="multilevel"/>
    <w:tmpl w:val="EC66C4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D1E49E1"/>
    <w:multiLevelType w:val="multilevel"/>
    <w:tmpl w:val="ECAACF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2"/>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0A32"/>
    <w:rsid w:val="0000136C"/>
    <w:rsid w:val="00003958"/>
    <w:rsid w:val="0003296E"/>
    <w:rsid w:val="00052607"/>
    <w:rsid w:val="00061463"/>
    <w:rsid w:val="0006461D"/>
    <w:rsid w:val="00075179"/>
    <w:rsid w:val="000C229D"/>
    <w:rsid w:val="000C5F2A"/>
    <w:rsid w:val="000D0F55"/>
    <w:rsid w:val="000D11E8"/>
    <w:rsid w:val="000E676F"/>
    <w:rsid w:val="000F4B59"/>
    <w:rsid w:val="000F52C7"/>
    <w:rsid w:val="00105F1C"/>
    <w:rsid w:val="00111D5A"/>
    <w:rsid w:val="0011319E"/>
    <w:rsid w:val="00114F3B"/>
    <w:rsid w:val="001168F0"/>
    <w:rsid w:val="001328AD"/>
    <w:rsid w:val="00133E76"/>
    <w:rsid w:val="00144B50"/>
    <w:rsid w:val="00144B79"/>
    <w:rsid w:val="001453ED"/>
    <w:rsid w:val="001507A5"/>
    <w:rsid w:val="00155B83"/>
    <w:rsid w:val="00161E9F"/>
    <w:rsid w:val="001620BD"/>
    <w:rsid w:val="00170EE3"/>
    <w:rsid w:val="00175259"/>
    <w:rsid w:val="001A7D17"/>
    <w:rsid w:val="001C43CE"/>
    <w:rsid w:val="001D0C11"/>
    <w:rsid w:val="001D2491"/>
    <w:rsid w:val="001D33FD"/>
    <w:rsid w:val="001F6912"/>
    <w:rsid w:val="002057CF"/>
    <w:rsid w:val="00212536"/>
    <w:rsid w:val="002155F7"/>
    <w:rsid w:val="00220B5B"/>
    <w:rsid w:val="002238AB"/>
    <w:rsid w:val="002522F2"/>
    <w:rsid w:val="00256574"/>
    <w:rsid w:val="00262BBD"/>
    <w:rsid w:val="00267CE2"/>
    <w:rsid w:val="00287AC4"/>
    <w:rsid w:val="00287E67"/>
    <w:rsid w:val="002954C7"/>
    <w:rsid w:val="002971C6"/>
    <w:rsid w:val="002A7414"/>
    <w:rsid w:val="002B2F25"/>
    <w:rsid w:val="002B718F"/>
    <w:rsid w:val="002C1229"/>
    <w:rsid w:val="002C133B"/>
    <w:rsid w:val="002C710F"/>
    <w:rsid w:val="002D5BF0"/>
    <w:rsid w:val="00316FBA"/>
    <w:rsid w:val="00324E6E"/>
    <w:rsid w:val="00330DB9"/>
    <w:rsid w:val="00335627"/>
    <w:rsid w:val="00346155"/>
    <w:rsid w:val="00350651"/>
    <w:rsid w:val="0035339A"/>
    <w:rsid w:val="003946D0"/>
    <w:rsid w:val="003A1022"/>
    <w:rsid w:val="003B2CB1"/>
    <w:rsid w:val="003B56F5"/>
    <w:rsid w:val="003C44B0"/>
    <w:rsid w:val="003D495B"/>
    <w:rsid w:val="003D6F77"/>
    <w:rsid w:val="003E3B37"/>
    <w:rsid w:val="004167EC"/>
    <w:rsid w:val="00422D7C"/>
    <w:rsid w:val="004235DA"/>
    <w:rsid w:val="00434C32"/>
    <w:rsid w:val="00441942"/>
    <w:rsid w:val="00474150"/>
    <w:rsid w:val="00484186"/>
    <w:rsid w:val="004878D1"/>
    <w:rsid w:val="004975F8"/>
    <w:rsid w:val="004A629B"/>
    <w:rsid w:val="004B3358"/>
    <w:rsid w:val="004C1F98"/>
    <w:rsid w:val="004C5564"/>
    <w:rsid w:val="004C64C7"/>
    <w:rsid w:val="004C6A64"/>
    <w:rsid w:val="004D1036"/>
    <w:rsid w:val="004D60C0"/>
    <w:rsid w:val="004D682E"/>
    <w:rsid w:val="004E3824"/>
    <w:rsid w:val="004E6E26"/>
    <w:rsid w:val="004F3559"/>
    <w:rsid w:val="004F37A3"/>
    <w:rsid w:val="0050006D"/>
    <w:rsid w:val="0050171F"/>
    <w:rsid w:val="00512CC0"/>
    <w:rsid w:val="00531E72"/>
    <w:rsid w:val="00565F08"/>
    <w:rsid w:val="00567AE7"/>
    <w:rsid w:val="005710E8"/>
    <w:rsid w:val="00583B6A"/>
    <w:rsid w:val="00585A42"/>
    <w:rsid w:val="005A4C53"/>
    <w:rsid w:val="005A5334"/>
    <w:rsid w:val="005A7B5E"/>
    <w:rsid w:val="005B2EEA"/>
    <w:rsid w:val="005C6F49"/>
    <w:rsid w:val="005D7DFD"/>
    <w:rsid w:val="005F17FB"/>
    <w:rsid w:val="00601812"/>
    <w:rsid w:val="00602B36"/>
    <w:rsid w:val="006039EC"/>
    <w:rsid w:val="00611E1B"/>
    <w:rsid w:val="006122BF"/>
    <w:rsid w:val="0061566A"/>
    <w:rsid w:val="0062248B"/>
    <w:rsid w:val="00625F57"/>
    <w:rsid w:val="00640AC2"/>
    <w:rsid w:val="006553D7"/>
    <w:rsid w:val="006607CF"/>
    <w:rsid w:val="00664C5C"/>
    <w:rsid w:val="006669FD"/>
    <w:rsid w:val="006734C2"/>
    <w:rsid w:val="00677C16"/>
    <w:rsid w:val="00685BBF"/>
    <w:rsid w:val="006943B8"/>
    <w:rsid w:val="00695095"/>
    <w:rsid w:val="006A4F36"/>
    <w:rsid w:val="006A684B"/>
    <w:rsid w:val="006B016C"/>
    <w:rsid w:val="006B710C"/>
    <w:rsid w:val="006C19BE"/>
    <w:rsid w:val="006E21F7"/>
    <w:rsid w:val="006E3ADD"/>
    <w:rsid w:val="006F109A"/>
    <w:rsid w:val="00702E97"/>
    <w:rsid w:val="007053F9"/>
    <w:rsid w:val="00705D1E"/>
    <w:rsid w:val="00706042"/>
    <w:rsid w:val="00716438"/>
    <w:rsid w:val="0071706D"/>
    <w:rsid w:val="00724F4A"/>
    <w:rsid w:val="00726D22"/>
    <w:rsid w:val="0073214E"/>
    <w:rsid w:val="00743ED5"/>
    <w:rsid w:val="00750A32"/>
    <w:rsid w:val="00763611"/>
    <w:rsid w:val="00767385"/>
    <w:rsid w:val="00777204"/>
    <w:rsid w:val="00780069"/>
    <w:rsid w:val="00786BB0"/>
    <w:rsid w:val="0079382E"/>
    <w:rsid w:val="00794089"/>
    <w:rsid w:val="00796313"/>
    <w:rsid w:val="00797507"/>
    <w:rsid w:val="007B289B"/>
    <w:rsid w:val="007B359F"/>
    <w:rsid w:val="007B4ED8"/>
    <w:rsid w:val="007C076E"/>
    <w:rsid w:val="007C2577"/>
    <w:rsid w:val="007C458A"/>
    <w:rsid w:val="007D5429"/>
    <w:rsid w:val="007D675F"/>
    <w:rsid w:val="007D79B8"/>
    <w:rsid w:val="007E3842"/>
    <w:rsid w:val="007F04F4"/>
    <w:rsid w:val="007F2652"/>
    <w:rsid w:val="007F6AF7"/>
    <w:rsid w:val="007F761A"/>
    <w:rsid w:val="00802E65"/>
    <w:rsid w:val="00805539"/>
    <w:rsid w:val="00806319"/>
    <w:rsid w:val="00806425"/>
    <w:rsid w:val="00810601"/>
    <w:rsid w:val="00812163"/>
    <w:rsid w:val="00831106"/>
    <w:rsid w:val="008322D5"/>
    <w:rsid w:val="00841160"/>
    <w:rsid w:val="00846FFE"/>
    <w:rsid w:val="00861035"/>
    <w:rsid w:val="00861D05"/>
    <w:rsid w:val="00881D1B"/>
    <w:rsid w:val="0088590A"/>
    <w:rsid w:val="00897100"/>
    <w:rsid w:val="008A4C93"/>
    <w:rsid w:val="008A52BA"/>
    <w:rsid w:val="008A6017"/>
    <w:rsid w:val="008B1CB0"/>
    <w:rsid w:val="008B2EBD"/>
    <w:rsid w:val="008B5D15"/>
    <w:rsid w:val="008C1EED"/>
    <w:rsid w:val="008C4733"/>
    <w:rsid w:val="008C5149"/>
    <w:rsid w:val="008C5747"/>
    <w:rsid w:val="008E0CAD"/>
    <w:rsid w:val="008E1A9F"/>
    <w:rsid w:val="008E2765"/>
    <w:rsid w:val="008E6149"/>
    <w:rsid w:val="008E75F2"/>
    <w:rsid w:val="0092252D"/>
    <w:rsid w:val="00932678"/>
    <w:rsid w:val="0093637A"/>
    <w:rsid w:val="00946A51"/>
    <w:rsid w:val="0095336E"/>
    <w:rsid w:val="00953545"/>
    <w:rsid w:val="009550A3"/>
    <w:rsid w:val="00970D4A"/>
    <w:rsid w:val="0097141B"/>
    <w:rsid w:val="0098102B"/>
    <w:rsid w:val="00985A15"/>
    <w:rsid w:val="00987512"/>
    <w:rsid w:val="009A1043"/>
    <w:rsid w:val="009B4EEB"/>
    <w:rsid w:val="009D7A2A"/>
    <w:rsid w:val="009D7EA6"/>
    <w:rsid w:val="009E281D"/>
    <w:rsid w:val="009F089A"/>
    <w:rsid w:val="009F09D3"/>
    <w:rsid w:val="009F1B99"/>
    <w:rsid w:val="009F3232"/>
    <w:rsid w:val="009F76AE"/>
    <w:rsid w:val="009F76F8"/>
    <w:rsid w:val="00A00BF9"/>
    <w:rsid w:val="00A23408"/>
    <w:rsid w:val="00A27866"/>
    <w:rsid w:val="00A342DF"/>
    <w:rsid w:val="00A34A84"/>
    <w:rsid w:val="00A350F5"/>
    <w:rsid w:val="00A41DE6"/>
    <w:rsid w:val="00A50BF9"/>
    <w:rsid w:val="00A52132"/>
    <w:rsid w:val="00A52DDB"/>
    <w:rsid w:val="00A63F41"/>
    <w:rsid w:val="00A743D1"/>
    <w:rsid w:val="00A7632F"/>
    <w:rsid w:val="00A919C7"/>
    <w:rsid w:val="00A93BE2"/>
    <w:rsid w:val="00AA05DC"/>
    <w:rsid w:val="00AB4F74"/>
    <w:rsid w:val="00AB790C"/>
    <w:rsid w:val="00AD72AE"/>
    <w:rsid w:val="00AF6F0C"/>
    <w:rsid w:val="00B041E7"/>
    <w:rsid w:val="00B04FB7"/>
    <w:rsid w:val="00B10E8A"/>
    <w:rsid w:val="00B11077"/>
    <w:rsid w:val="00B33D59"/>
    <w:rsid w:val="00B434B2"/>
    <w:rsid w:val="00B61FA5"/>
    <w:rsid w:val="00B70453"/>
    <w:rsid w:val="00B8531D"/>
    <w:rsid w:val="00B931C8"/>
    <w:rsid w:val="00B93485"/>
    <w:rsid w:val="00B953A5"/>
    <w:rsid w:val="00B954A9"/>
    <w:rsid w:val="00B964EE"/>
    <w:rsid w:val="00BA5402"/>
    <w:rsid w:val="00BB21D5"/>
    <w:rsid w:val="00BB41ED"/>
    <w:rsid w:val="00BC19BA"/>
    <w:rsid w:val="00BC4645"/>
    <w:rsid w:val="00BC6356"/>
    <w:rsid w:val="00BD391C"/>
    <w:rsid w:val="00BE2381"/>
    <w:rsid w:val="00BE4724"/>
    <w:rsid w:val="00BE55C9"/>
    <w:rsid w:val="00BE5B0B"/>
    <w:rsid w:val="00BF1E93"/>
    <w:rsid w:val="00C00BF7"/>
    <w:rsid w:val="00C00CD0"/>
    <w:rsid w:val="00C04F6E"/>
    <w:rsid w:val="00C138F3"/>
    <w:rsid w:val="00C2549F"/>
    <w:rsid w:val="00C2616C"/>
    <w:rsid w:val="00C4183D"/>
    <w:rsid w:val="00C42A96"/>
    <w:rsid w:val="00C43F1F"/>
    <w:rsid w:val="00C5119A"/>
    <w:rsid w:val="00C535CF"/>
    <w:rsid w:val="00C5622C"/>
    <w:rsid w:val="00C84D45"/>
    <w:rsid w:val="00C87205"/>
    <w:rsid w:val="00C904E0"/>
    <w:rsid w:val="00C93D7B"/>
    <w:rsid w:val="00CA0263"/>
    <w:rsid w:val="00CA74AF"/>
    <w:rsid w:val="00CC2B51"/>
    <w:rsid w:val="00CC52B3"/>
    <w:rsid w:val="00CD69A1"/>
    <w:rsid w:val="00CE7320"/>
    <w:rsid w:val="00CF68B9"/>
    <w:rsid w:val="00D05841"/>
    <w:rsid w:val="00D1780A"/>
    <w:rsid w:val="00D247F5"/>
    <w:rsid w:val="00D349FC"/>
    <w:rsid w:val="00D40C94"/>
    <w:rsid w:val="00D425F1"/>
    <w:rsid w:val="00D42CB8"/>
    <w:rsid w:val="00D46C0B"/>
    <w:rsid w:val="00D513AC"/>
    <w:rsid w:val="00D60A1B"/>
    <w:rsid w:val="00D65393"/>
    <w:rsid w:val="00D72BA1"/>
    <w:rsid w:val="00D74049"/>
    <w:rsid w:val="00D84307"/>
    <w:rsid w:val="00DA0286"/>
    <w:rsid w:val="00DA44BD"/>
    <w:rsid w:val="00DA60CB"/>
    <w:rsid w:val="00DB58A8"/>
    <w:rsid w:val="00DB73F9"/>
    <w:rsid w:val="00DD3721"/>
    <w:rsid w:val="00DD5199"/>
    <w:rsid w:val="00DE69F4"/>
    <w:rsid w:val="00DE71A8"/>
    <w:rsid w:val="00E01713"/>
    <w:rsid w:val="00E20423"/>
    <w:rsid w:val="00E20CE0"/>
    <w:rsid w:val="00E36F8E"/>
    <w:rsid w:val="00E42755"/>
    <w:rsid w:val="00E71407"/>
    <w:rsid w:val="00E735F7"/>
    <w:rsid w:val="00E752F5"/>
    <w:rsid w:val="00E834EC"/>
    <w:rsid w:val="00E86345"/>
    <w:rsid w:val="00E92CE6"/>
    <w:rsid w:val="00E96FE1"/>
    <w:rsid w:val="00EA7ACC"/>
    <w:rsid w:val="00EB04E2"/>
    <w:rsid w:val="00ED11B6"/>
    <w:rsid w:val="00ED275C"/>
    <w:rsid w:val="00ED67B3"/>
    <w:rsid w:val="00EE26E6"/>
    <w:rsid w:val="00EE328E"/>
    <w:rsid w:val="00EF058D"/>
    <w:rsid w:val="00EF1C41"/>
    <w:rsid w:val="00F10FD9"/>
    <w:rsid w:val="00F36838"/>
    <w:rsid w:val="00F42A91"/>
    <w:rsid w:val="00F52084"/>
    <w:rsid w:val="00F6593B"/>
    <w:rsid w:val="00F80A9A"/>
    <w:rsid w:val="00F83FB1"/>
    <w:rsid w:val="00FB7DF0"/>
    <w:rsid w:val="00FD0BFA"/>
    <w:rsid w:val="00FE2AB6"/>
    <w:rsid w:val="00FF24A0"/>
    <w:rsid w:val="00FF7E8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8C05D3"/>
  <w15:chartTrackingRefBased/>
  <w15:docId w15:val="{82B900A1-806A-4ACF-8B7C-60CAF1EDB4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0A32"/>
    <w:pPr>
      <w:spacing w:after="120" w:line="360" w:lineRule="atLeast"/>
      <w:ind w:firstLine="567"/>
      <w:jc w:val="both"/>
    </w:pPr>
    <w:rPr>
      <w:rFonts w:ascii="Arial" w:eastAsiaTheme="minorEastAsia" w:hAnsi="Arial"/>
      <w:kern w:val="0"/>
      <w:szCs w:val="24"/>
      <w:lang w:val="pt-PT"/>
      <w14:ligatures w14:val="none"/>
    </w:rPr>
  </w:style>
  <w:style w:type="paragraph" w:styleId="Ttulo1">
    <w:name w:val="heading 1"/>
    <w:aliases w:val="1. Títulos"/>
    <w:basedOn w:val="Normal"/>
    <w:next w:val="Normal"/>
    <w:link w:val="Ttulo1Carter"/>
    <w:autoRedefine/>
    <w:uiPriority w:val="9"/>
    <w:qFormat/>
    <w:rsid w:val="009F3232"/>
    <w:pPr>
      <w:keepNext/>
      <w:keepLines/>
      <w:spacing w:before="360"/>
      <w:ind w:firstLine="0"/>
      <w:outlineLvl w:val="0"/>
    </w:pPr>
    <w:rPr>
      <w:rFonts w:eastAsia="Times New Roman" w:cs="Arial"/>
      <w:b/>
      <w:bCs/>
      <w:caps/>
      <w:color w:val="000000" w:themeColor="text1"/>
      <w:sz w:val="32"/>
      <w:szCs w:val="32"/>
      <w:lang w:val="pt-BR"/>
    </w:rPr>
  </w:style>
  <w:style w:type="paragraph" w:styleId="Ttulo2">
    <w:name w:val="heading 2"/>
    <w:basedOn w:val="Normal"/>
    <w:next w:val="Normal"/>
    <w:link w:val="Ttulo2Carter"/>
    <w:uiPriority w:val="9"/>
    <w:semiHidden/>
    <w:unhideWhenUsed/>
    <w:qFormat/>
    <w:rsid w:val="009F09D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aliases w:val="1. Títulos Caráter"/>
    <w:basedOn w:val="Tipodeletrapredefinidodopargrafo"/>
    <w:link w:val="Ttulo1"/>
    <w:uiPriority w:val="9"/>
    <w:rsid w:val="009F3232"/>
    <w:rPr>
      <w:rFonts w:ascii="Arial" w:eastAsia="Times New Roman" w:hAnsi="Arial" w:cs="Arial"/>
      <w:b/>
      <w:bCs/>
      <w:caps/>
      <w:color w:val="000000" w:themeColor="text1"/>
      <w:kern w:val="0"/>
      <w:sz w:val="32"/>
      <w:szCs w:val="32"/>
      <w14:ligatures w14:val="none"/>
    </w:rPr>
  </w:style>
  <w:style w:type="paragraph" w:styleId="Textodenotaderodap">
    <w:name w:val="footnote text"/>
    <w:basedOn w:val="Normal"/>
    <w:link w:val="TextodenotaderodapCarter"/>
    <w:uiPriority w:val="99"/>
    <w:unhideWhenUsed/>
    <w:rsid w:val="00970D4A"/>
    <w:pPr>
      <w:spacing w:after="0" w:line="240" w:lineRule="auto"/>
    </w:pPr>
    <w:rPr>
      <w:sz w:val="20"/>
      <w:szCs w:val="20"/>
    </w:rPr>
  </w:style>
  <w:style w:type="character" w:customStyle="1" w:styleId="TextodenotaderodapCarter">
    <w:name w:val="Texto de nota de rodapé Caráter"/>
    <w:basedOn w:val="Tipodeletrapredefinidodopargrafo"/>
    <w:link w:val="Textodenotaderodap"/>
    <w:rsid w:val="00970D4A"/>
    <w:rPr>
      <w:rFonts w:ascii="Arial" w:eastAsiaTheme="minorEastAsia" w:hAnsi="Arial"/>
      <w:kern w:val="0"/>
      <w:sz w:val="20"/>
      <w:szCs w:val="20"/>
      <w:lang w:val="pt-PT"/>
      <w14:ligatures w14:val="none"/>
    </w:rPr>
  </w:style>
  <w:style w:type="character" w:styleId="Refdenotaderodap">
    <w:name w:val="footnote reference"/>
    <w:basedOn w:val="Tipodeletrapredefinidodopargrafo"/>
    <w:uiPriority w:val="99"/>
    <w:unhideWhenUsed/>
    <w:rsid w:val="00970D4A"/>
    <w:rPr>
      <w:vertAlign w:val="superscript"/>
    </w:rPr>
  </w:style>
  <w:style w:type="character" w:styleId="Hiperligao">
    <w:name w:val="Hyperlink"/>
    <w:basedOn w:val="Tipodeletrapredefinidodopargrafo"/>
    <w:uiPriority w:val="99"/>
    <w:unhideWhenUsed/>
    <w:qFormat/>
    <w:rsid w:val="000D11E8"/>
    <w:rPr>
      <w:color w:val="0563C1" w:themeColor="hyperlink"/>
      <w:u w:val="single"/>
    </w:rPr>
  </w:style>
  <w:style w:type="character" w:styleId="MenoNoResolvida">
    <w:name w:val="Unresolved Mention"/>
    <w:basedOn w:val="Tipodeletrapredefinidodopargrafo"/>
    <w:uiPriority w:val="99"/>
    <w:semiHidden/>
    <w:unhideWhenUsed/>
    <w:rsid w:val="000D11E8"/>
    <w:rPr>
      <w:color w:val="605E5C"/>
      <w:shd w:val="clear" w:color="auto" w:fill="E1DFDD"/>
    </w:rPr>
  </w:style>
  <w:style w:type="paragraph" w:customStyle="1" w:styleId="Default">
    <w:name w:val="Default"/>
    <w:rsid w:val="000D11E8"/>
    <w:pPr>
      <w:autoSpaceDE w:val="0"/>
      <w:autoSpaceDN w:val="0"/>
      <w:adjustRightInd w:val="0"/>
      <w:spacing w:after="0" w:line="240" w:lineRule="auto"/>
    </w:pPr>
    <w:rPr>
      <w:rFonts w:ascii="EUAlbertina" w:eastAsia="Times New Roman" w:hAnsi="EUAlbertina" w:cs="EUAlbertina"/>
      <w:color w:val="000000"/>
      <w:kern w:val="0"/>
      <w:sz w:val="24"/>
      <w:szCs w:val="24"/>
      <w:lang w:val="pt-PT" w:eastAsia="pt-PT"/>
      <w14:ligatures w14:val="none"/>
    </w:rPr>
  </w:style>
  <w:style w:type="character" w:styleId="Forte">
    <w:name w:val="Strong"/>
    <w:basedOn w:val="Tipodeletrapredefinidodopargrafo"/>
    <w:uiPriority w:val="22"/>
    <w:qFormat/>
    <w:rsid w:val="000F4B59"/>
    <w:rPr>
      <w:b/>
      <w:bCs/>
    </w:rPr>
  </w:style>
  <w:style w:type="character" w:customStyle="1" w:styleId="article-title">
    <w:name w:val="article-title"/>
    <w:basedOn w:val="Tipodeletrapredefinidodopargrafo"/>
    <w:rsid w:val="00DD3721"/>
  </w:style>
  <w:style w:type="paragraph" w:styleId="Ttulo">
    <w:name w:val="Title"/>
    <w:basedOn w:val="Normal"/>
    <w:next w:val="Normal"/>
    <w:link w:val="TtuloCarter"/>
    <w:uiPriority w:val="10"/>
    <w:qFormat/>
    <w:rsid w:val="006E3AD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ter">
    <w:name w:val="Título Caráter"/>
    <w:basedOn w:val="Tipodeletrapredefinidodopargrafo"/>
    <w:link w:val="Ttulo"/>
    <w:uiPriority w:val="10"/>
    <w:rsid w:val="006E3ADD"/>
    <w:rPr>
      <w:rFonts w:asciiTheme="majorHAnsi" w:eastAsiaTheme="majorEastAsia" w:hAnsiTheme="majorHAnsi" w:cstheme="majorBidi"/>
      <w:spacing w:val="-10"/>
      <w:kern w:val="28"/>
      <w:sz w:val="56"/>
      <w:szCs w:val="56"/>
      <w:lang w:val="pt-PT"/>
      <w14:ligatures w14:val="none"/>
    </w:rPr>
  </w:style>
  <w:style w:type="character" w:styleId="Hiperligaovisitada">
    <w:name w:val="FollowedHyperlink"/>
    <w:basedOn w:val="Tipodeletrapredefinidodopargrafo"/>
    <w:uiPriority w:val="99"/>
    <w:semiHidden/>
    <w:unhideWhenUsed/>
    <w:rsid w:val="00AA05DC"/>
    <w:rPr>
      <w:color w:val="954F72" w:themeColor="followedHyperlink"/>
      <w:u w:val="single"/>
    </w:rPr>
  </w:style>
  <w:style w:type="character" w:customStyle="1" w:styleId="Ttulo2Carter">
    <w:name w:val="Título 2 Caráter"/>
    <w:basedOn w:val="Tipodeletrapredefinidodopargrafo"/>
    <w:link w:val="Ttulo2"/>
    <w:uiPriority w:val="9"/>
    <w:semiHidden/>
    <w:rsid w:val="009F09D3"/>
    <w:rPr>
      <w:rFonts w:asciiTheme="majorHAnsi" w:eastAsiaTheme="majorEastAsia" w:hAnsiTheme="majorHAnsi" w:cstheme="majorBidi"/>
      <w:color w:val="2F5496" w:themeColor="accent1" w:themeShade="BF"/>
      <w:kern w:val="0"/>
      <w:sz w:val="26"/>
      <w:szCs w:val="26"/>
      <w:lang w:val="pt-PT"/>
      <w14:ligatures w14:val="none"/>
    </w:rPr>
  </w:style>
  <w:style w:type="paragraph" w:customStyle="1" w:styleId="Corpo">
    <w:name w:val="Corpo"/>
    <w:rsid w:val="001F6912"/>
    <w:pPr>
      <w:pBdr>
        <w:top w:val="nil"/>
        <w:left w:val="nil"/>
        <w:bottom w:val="nil"/>
        <w:right w:val="nil"/>
        <w:between w:val="nil"/>
        <w:bar w:val="nil"/>
      </w:pBdr>
    </w:pPr>
    <w:rPr>
      <w:rFonts w:ascii="Calibri" w:eastAsia="Arial Unicode MS" w:hAnsi="Calibri" w:cs="Arial Unicode MS"/>
      <w:color w:val="000000"/>
      <w:kern w:val="0"/>
      <w:u w:color="000000"/>
      <w:bdr w:val="nil"/>
      <w:lang w:val="pt-PT" w:eastAsia="pt-PT"/>
      <w14:textOutline w14:w="0" w14:cap="flat" w14:cmpd="sng" w14:algn="ctr">
        <w14:noFill/>
        <w14:prstDash w14:val="solid"/>
        <w14:bevel/>
      </w14:textOutline>
      <w14:ligatures w14:val="none"/>
    </w:rPr>
  </w:style>
  <w:style w:type="character" w:customStyle="1" w:styleId="Hyperlink2">
    <w:name w:val="Hyperlink.2"/>
    <w:basedOn w:val="Tipodeletrapredefinidodopargrafo"/>
    <w:rsid w:val="001F6912"/>
    <w:rPr>
      <w:outline w:val="0"/>
      <w:color w:val="0000FF"/>
      <w:sz w:val="16"/>
      <w:szCs w:val="16"/>
      <w:u w:val="single" w:color="0000FF"/>
    </w:rPr>
  </w:style>
  <w:style w:type="character" w:customStyle="1" w:styleId="Hyperlink7">
    <w:name w:val="Hyperlink.7"/>
    <w:basedOn w:val="Tipodeletrapredefinidodopargrafo"/>
    <w:rsid w:val="001F6912"/>
    <w:rPr>
      <w:outline w:val="0"/>
      <w:color w:val="0000FF"/>
      <w:sz w:val="16"/>
      <w:szCs w:val="16"/>
      <w:u w:val="single" w:color="0000FF"/>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17607">
      <w:bodyDiv w:val="1"/>
      <w:marLeft w:val="0"/>
      <w:marRight w:val="0"/>
      <w:marTop w:val="0"/>
      <w:marBottom w:val="0"/>
      <w:divBdr>
        <w:top w:val="none" w:sz="0" w:space="0" w:color="auto"/>
        <w:left w:val="none" w:sz="0" w:space="0" w:color="auto"/>
        <w:bottom w:val="none" w:sz="0" w:space="0" w:color="auto"/>
        <w:right w:val="none" w:sz="0" w:space="0" w:color="auto"/>
      </w:divBdr>
      <w:divsChild>
        <w:div w:id="837383524">
          <w:marLeft w:val="0"/>
          <w:marRight w:val="0"/>
          <w:marTop w:val="0"/>
          <w:marBottom w:val="375"/>
          <w:divBdr>
            <w:top w:val="none" w:sz="0" w:space="0" w:color="auto"/>
            <w:left w:val="none" w:sz="0" w:space="0" w:color="auto"/>
            <w:bottom w:val="none" w:sz="0" w:space="0" w:color="auto"/>
            <w:right w:val="none" w:sz="0" w:space="0" w:color="auto"/>
          </w:divBdr>
          <w:divsChild>
            <w:div w:id="1276058710">
              <w:marLeft w:val="0"/>
              <w:marRight w:val="0"/>
              <w:marTop w:val="0"/>
              <w:marBottom w:val="0"/>
              <w:divBdr>
                <w:top w:val="none" w:sz="0" w:space="0" w:color="auto"/>
                <w:left w:val="none" w:sz="0" w:space="0" w:color="auto"/>
                <w:bottom w:val="none" w:sz="0" w:space="0" w:color="auto"/>
                <w:right w:val="none" w:sz="0" w:space="0" w:color="auto"/>
              </w:divBdr>
              <w:divsChild>
                <w:div w:id="899097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7500027">
          <w:marLeft w:val="0"/>
          <w:marRight w:val="0"/>
          <w:marTop w:val="0"/>
          <w:marBottom w:val="0"/>
          <w:divBdr>
            <w:top w:val="none" w:sz="0" w:space="0" w:color="auto"/>
            <w:left w:val="none" w:sz="0" w:space="0" w:color="auto"/>
            <w:bottom w:val="none" w:sz="0" w:space="0" w:color="auto"/>
            <w:right w:val="none" w:sz="0" w:space="0" w:color="auto"/>
          </w:divBdr>
          <w:divsChild>
            <w:div w:id="1643459381">
              <w:marLeft w:val="0"/>
              <w:marRight w:val="0"/>
              <w:marTop w:val="0"/>
              <w:marBottom w:val="0"/>
              <w:divBdr>
                <w:top w:val="none" w:sz="0" w:space="0" w:color="auto"/>
                <w:left w:val="none" w:sz="0" w:space="0" w:color="auto"/>
                <w:bottom w:val="none" w:sz="0" w:space="0" w:color="auto"/>
                <w:right w:val="none" w:sz="0" w:space="0" w:color="auto"/>
              </w:divBdr>
              <w:divsChild>
                <w:div w:id="1128553094">
                  <w:marLeft w:val="0"/>
                  <w:marRight w:val="0"/>
                  <w:marTop w:val="0"/>
                  <w:marBottom w:val="0"/>
                  <w:divBdr>
                    <w:top w:val="none" w:sz="0" w:space="0" w:color="auto"/>
                    <w:left w:val="none" w:sz="0" w:space="0" w:color="auto"/>
                    <w:bottom w:val="none" w:sz="0" w:space="0" w:color="auto"/>
                    <w:right w:val="none" w:sz="0" w:space="0" w:color="auto"/>
                  </w:divBdr>
                  <w:divsChild>
                    <w:div w:id="2027172542">
                      <w:marLeft w:val="0"/>
                      <w:marRight w:val="0"/>
                      <w:marTop w:val="0"/>
                      <w:marBottom w:val="0"/>
                      <w:divBdr>
                        <w:top w:val="none" w:sz="0" w:space="0" w:color="auto"/>
                        <w:left w:val="none" w:sz="0" w:space="0" w:color="auto"/>
                        <w:bottom w:val="none" w:sz="0" w:space="0" w:color="auto"/>
                        <w:right w:val="none" w:sz="0" w:space="0" w:color="auto"/>
                      </w:divBdr>
                      <w:divsChild>
                        <w:div w:id="200482668">
                          <w:marLeft w:val="0"/>
                          <w:marRight w:val="0"/>
                          <w:marTop w:val="0"/>
                          <w:marBottom w:val="0"/>
                          <w:divBdr>
                            <w:top w:val="none" w:sz="0" w:space="0" w:color="auto"/>
                            <w:left w:val="none" w:sz="0" w:space="0" w:color="auto"/>
                            <w:bottom w:val="none" w:sz="0" w:space="0" w:color="auto"/>
                            <w:right w:val="none" w:sz="0" w:space="0" w:color="auto"/>
                          </w:divBdr>
                          <w:divsChild>
                            <w:div w:id="686103507">
                              <w:marLeft w:val="0"/>
                              <w:marRight w:val="0"/>
                              <w:marTop w:val="0"/>
                              <w:marBottom w:val="0"/>
                              <w:divBdr>
                                <w:top w:val="single" w:sz="2" w:space="0" w:color="auto"/>
                                <w:left w:val="single" w:sz="6" w:space="0" w:color="auto"/>
                                <w:bottom w:val="single" w:sz="6" w:space="0" w:color="auto"/>
                                <w:right w:val="single" w:sz="6" w:space="0" w:color="auto"/>
                              </w:divBdr>
                              <w:divsChild>
                                <w:div w:id="480462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9924196">
          <w:marLeft w:val="0"/>
          <w:marRight w:val="0"/>
          <w:marTop w:val="0"/>
          <w:marBottom w:val="375"/>
          <w:divBdr>
            <w:top w:val="none" w:sz="0" w:space="0" w:color="auto"/>
            <w:left w:val="none" w:sz="0" w:space="0" w:color="auto"/>
            <w:bottom w:val="none" w:sz="0" w:space="0" w:color="auto"/>
            <w:right w:val="none" w:sz="0" w:space="0" w:color="auto"/>
          </w:divBdr>
          <w:divsChild>
            <w:div w:id="1099446352">
              <w:marLeft w:val="0"/>
              <w:marRight w:val="0"/>
              <w:marTop w:val="0"/>
              <w:marBottom w:val="0"/>
              <w:divBdr>
                <w:top w:val="none" w:sz="0" w:space="0" w:color="auto"/>
                <w:left w:val="none" w:sz="0" w:space="0" w:color="auto"/>
                <w:bottom w:val="none" w:sz="0" w:space="0" w:color="auto"/>
                <w:right w:val="none" w:sz="0" w:space="0" w:color="auto"/>
              </w:divBdr>
              <w:divsChild>
                <w:div w:id="1004363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851872">
      <w:bodyDiv w:val="1"/>
      <w:marLeft w:val="0"/>
      <w:marRight w:val="0"/>
      <w:marTop w:val="0"/>
      <w:marBottom w:val="0"/>
      <w:divBdr>
        <w:top w:val="none" w:sz="0" w:space="0" w:color="auto"/>
        <w:left w:val="none" w:sz="0" w:space="0" w:color="auto"/>
        <w:bottom w:val="none" w:sz="0" w:space="0" w:color="auto"/>
        <w:right w:val="none" w:sz="0" w:space="0" w:color="auto"/>
      </w:divBdr>
      <w:divsChild>
        <w:div w:id="234511542">
          <w:marLeft w:val="0"/>
          <w:marRight w:val="0"/>
          <w:marTop w:val="0"/>
          <w:marBottom w:val="375"/>
          <w:divBdr>
            <w:top w:val="none" w:sz="0" w:space="0" w:color="auto"/>
            <w:left w:val="none" w:sz="0" w:space="0" w:color="auto"/>
            <w:bottom w:val="none" w:sz="0" w:space="0" w:color="auto"/>
            <w:right w:val="none" w:sz="0" w:space="0" w:color="auto"/>
          </w:divBdr>
          <w:divsChild>
            <w:div w:id="60760480">
              <w:marLeft w:val="0"/>
              <w:marRight w:val="0"/>
              <w:marTop w:val="0"/>
              <w:marBottom w:val="0"/>
              <w:divBdr>
                <w:top w:val="none" w:sz="0" w:space="0" w:color="auto"/>
                <w:left w:val="none" w:sz="0" w:space="0" w:color="auto"/>
                <w:bottom w:val="none" w:sz="0" w:space="0" w:color="auto"/>
                <w:right w:val="none" w:sz="0" w:space="0" w:color="auto"/>
              </w:divBdr>
              <w:divsChild>
                <w:div w:id="176426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472392">
          <w:marLeft w:val="0"/>
          <w:marRight w:val="0"/>
          <w:marTop w:val="0"/>
          <w:marBottom w:val="0"/>
          <w:divBdr>
            <w:top w:val="none" w:sz="0" w:space="0" w:color="auto"/>
            <w:left w:val="none" w:sz="0" w:space="0" w:color="auto"/>
            <w:bottom w:val="none" w:sz="0" w:space="0" w:color="auto"/>
            <w:right w:val="none" w:sz="0" w:space="0" w:color="auto"/>
          </w:divBdr>
          <w:divsChild>
            <w:div w:id="167867220">
              <w:marLeft w:val="0"/>
              <w:marRight w:val="0"/>
              <w:marTop w:val="0"/>
              <w:marBottom w:val="0"/>
              <w:divBdr>
                <w:top w:val="none" w:sz="0" w:space="0" w:color="auto"/>
                <w:left w:val="none" w:sz="0" w:space="0" w:color="auto"/>
                <w:bottom w:val="none" w:sz="0" w:space="0" w:color="auto"/>
                <w:right w:val="none" w:sz="0" w:space="0" w:color="auto"/>
              </w:divBdr>
              <w:divsChild>
                <w:div w:id="75518351">
                  <w:marLeft w:val="0"/>
                  <w:marRight w:val="0"/>
                  <w:marTop w:val="0"/>
                  <w:marBottom w:val="0"/>
                  <w:divBdr>
                    <w:top w:val="none" w:sz="0" w:space="0" w:color="auto"/>
                    <w:left w:val="none" w:sz="0" w:space="0" w:color="auto"/>
                    <w:bottom w:val="none" w:sz="0" w:space="0" w:color="auto"/>
                    <w:right w:val="none" w:sz="0" w:space="0" w:color="auto"/>
                  </w:divBdr>
                  <w:divsChild>
                    <w:div w:id="584723609">
                      <w:marLeft w:val="0"/>
                      <w:marRight w:val="0"/>
                      <w:marTop w:val="0"/>
                      <w:marBottom w:val="0"/>
                      <w:divBdr>
                        <w:top w:val="none" w:sz="0" w:space="0" w:color="auto"/>
                        <w:left w:val="none" w:sz="0" w:space="0" w:color="auto"/>
                        <w:bottom w:val="none" w:sz="0" w:space="0" w:color="auto"/>
                        <w:right w:val="none" w:sz="0" w:space="0" w:color="auto"/>
                      </w:divBdr>
                      <w:divsChild>
                        <w:div w:id="1727946723">
                          <w:marLeft w:val="0"/>
                          <w:marRight w:val="0"/>
                          <w:marTop w:val="0"/>
                          <w:marBottom w:val="0"/>
                          <w:divBdr>
                            <w:top w:val="none" w:sz="0" w:space="0" w:color="auto"/>
                            <w:left w:val="none" w:sz="0" w:space="0" w:color="auto"/>
                            <w:bottom w:val="none" w:sz="0" w:space="0" w:color="auto"/>
                            <w:right w:val="none" w:sz="0" w:space="0" w:color="auto"/>
                          </w:divBdr>
                          <w:divsChild>
                            <w:div w:id="1191602489">
                              <w:marLeft w:val="0"/>
                              <w:marRight w:val="0"/>
                              <w:marTop w:val="0"/>
                              <w:marBottom w:val="0"/>
                              <w:divBdr>
                                <w:top w:val="single" w:sz="2" w:space="0" w:color="auto"/>
                                <w:left w:val="single" w:sz="6" w:space="0" w:color="auto"/>
                                <w:bottom w:val="single" w:sz="6" w:space="0" w:color="auto"/>
                                <w:right w:val="single" w:sz="6" w:space="0" w:color="auto"/>
                              </w:divBdr>
                              <w:divsChild>
                                <w:div w:id="1700160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2979156">
          <w:marLeft w:val="0"/>
          <w:marRight w:val="0"/>
          <w:marTop w:val="0"/>
          <w:marBottom w:val="375"/>
          <w:divBdr>
            <w:top w:val="none" w:sz="0" w:space="0" w:color="auto"/>
            <w:left w:val="none" w:sz="0" w:space="0" w:color="auto"/>
            <w:bottom w:val="none" w:sz="0" w:space="0" w:color="auto"/>
            <w:right w:val="none" w:sz="0" w:space="0" w:color="auto"/>
          </w:divBdr>
          <w:divsChild>
            <w:div w:id="517618291">
              <w:marLeft w:val="0"/>
              <w:marRight w:val="0"/>
              <w:marTop w:val="0"/>
              <w:marBottom w:val="0"/>
              <w:divBdr>
                <w:top w:val="none" w:sz="0" w:space="0" w:color="auto"/>
                <w:left w:val="none" w:sz="0" w:space="0" w:color="auto"/>
                <w:bottom w:val="none" w:sz="0" w:space="0" w:color="auto"/>
                <w:right w:val="none" w:sz="0" w:space="0" w:color="auto"/>
              </w:divBdr>
              <w:divsChild>
                <w:div w:id="673344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022672">
      <w:bodyDiv w:val="1"/>
      <w:marLeft w:val="0"/>
      <w:marRight w:val="0"/>
      <w:marTop w:val="0"/>
      <w:marBottom w:val="0"/>
      <w:divBdr>
        <w:top w:val="none" w:sz="0" w:space="0" w:color="auto"/>
        <w:left w:val="none" w:sz="0" w:space="0" w:color="auto"/>
        <w:bottom w:val="none" w:sz="0" w:space="0" w:color="auto"/>
        <w:right w:val="none" w:sz="0" w:space="0" w:color="auto"/>
      </w:divBdr>
    </w:div>
    <w:div w:id="240212770">
      <w:bodyDiv w:val="1"/>
      <w:marLeft w:val="0"/>
      <w:marRight w:val="0"/>
      <w:marTop w:val="0"/>
      <w:marBottom w:val="0"/>
      <w:divBdr>
        <w:top w:val="none" w:sz="0" w:space="0" w:color="auto"/>
        <w:left w:val="none" w:sz="0" w:space="0" w:color="auto"/>
        <w:bottom w:val="none" w:sz="0" w:space="0" w:color="auto"/>
        <w:right w:val="none" w:sz="0" w:space="0" w:color="auto"/>
      </w:divBdr>
    </w:div>
    <w:div w:id="313727884">
      <w:bodyDiv w:val="1"/>
      <w:marLeft w:val="0"/>
      <w:marRight w:val="0"/>
      <w:marTop w:val="0"/>
      <w:marBottom w:val="0"/>
      <w:divBdr>
        <w:top w:val="none" w:sz="0" w:space="0" w:color="auto"/>
        <w:left w:val="none" w:sz="0" w:space="0" w:color="auto"/>
        <w:bottom w:val="none" w:sz="0" w:space="0" w:color="auto"/>
        <w:right w:val="none" w:sz="0" w:space="0" w:color="auto"/>
      </w:divBdr>
    </w:div>
    <w:div w:id="338850202">
      <w:bodyDiv w:val="1"/>
      <w:marLeft w:val="0"/>
      <w:marRight w:val="0"/>
      <w:marTop w:val="0"/>
      <w:marBottom w:val="0"/>
      <w:divBdr>
        <w:top w:val="none" w:sz="0" w:space="0" w:color="auto"/>
        <w:left w:val="none" w:sz="0" w:space="0" w:color="auto"/>
        <w:bottom w:val="none" w:sz="0" w:space="0" w:color="auto"/>
        <w:right w:val="none" w:sz="0" w:space="0" w:color="auto"/>
      </w:divBdr>
    </w:div>
    <w:div w:id="541744112">
      <w:bodyDiv w:val="1"/>
      <w:marLeft w:val="0"/>
      <w:marRight w:val="0"/>
      <w:marTop w:val="0"/>
      <w:marBottom w:val="0"/>
      <w:divBdr>
        <w:top w:val="none" w:sz="0" w:space="0" w:color="auto"/>
        <w:left w:val="none" w:sz="0" w:space="0" w:color="auto"/>
        <w:bottom w:val="none" w:sz="0" w:space="0" w:color="auto"/>
        <w:right w:val="none" w:sz="0" w:space="0" w:color="auto"/>
      </w:divBdr>
    </w:div>
    <w:div w:id="613296031">
      <w:bodyDiv w:val="1"/>
      <w:marLeft w:val="0"/>
      <w:marRight w:val="0"/>
      <w:marTop w:val="0"/>
      <w:marBottom w:val="0"/>
      <w:divBdr>
        <w:top w:val="none" w:sz="0" w:space="0" w:color="auto"/>
        <w:left w:val="none" w:sz="0" w:space="0" w:color="auto"/>
        <w:bottom w:val="none" w:sz="0" w:space="0" w:color="auto"/>
        <w:right w:val="none" w:sz="0" w:space="0" w:color="auto"/>
      </w:divBdr>
    </w:div>
    <w:div w:id="674843243">
      <w:bodyDiv w:val="1"/>
      <w:marLeft w:val="0"/>
      <w:marRight w:val="0"/>
      <w:marTop w:val="0"/>
      <w:marBottom w:val="0"/>
      <w:divBdr>
        <w:top w:val="none" w:sz="0" w:space="0" w:color="auto"/>
        <w:left w:val="none" w:sz="0" w:space="0" w:color="auto"/>
        <w:bottom w:val="none" w:sz="0" w:space="0" w:color="auto"/>
        <w:right w:val="none" w:sz="0" w:space="0" w:color="auto"/>
      </w:divBdr>
    </w:div>
    <w:div w:id="751390292">
      <w:bodyDiv w:val="1"/>
      <w:marLeft w:val="0"/>
      <w:marRight w:val="0"/>
      <w:marTop w:val="0"/>
      <w:marBottom w:val="0"/>
      <w:divBdr>
        <w:top w:val="none" w:sz="0" w:space="0" w:color="auto"/>
        <w:left w:val="none" w:sz="0" w:space="0" w:color="auto"/>
        <w:bottom w:val="none" w:sz="0" w:space="0" w:color="auto"/>
        <w:right w:val="none" w:sz="0" w:space="0" w:color="auto"/>
      </w:divBdr>
    </w:div>
    <w:div w:id="764112280">
      <w:bodyDiv w:val="1"/>
      <w:marLeft w:val="0"/>
      <w:marRight w:val="0"/>
      <w:marTop w:val="0"/>
      <w:marBottom w:val="0"/>
      <w:divBdr>
        <w:top w:val="none" w:sz="0" w:space="0" w:color="auto"/>
        <w:left w:val="none" w:sz="0" w:space="0" w:color="auto"/>
        <w:bottom w:val="none" w:sz="0" w:space="0" w:color="auto"/>
        <w:right w:val="none" w:sz="0" w:space="0" w:color="auto"/>
      </w:divBdr>
      <w:divsChild>
        <w:div w:id="355812458">
          <w:marLeft w:val="0"/>
          <w:marRight w:val="0"/>
          <w:marTop w:val="0"/>
          <w:marBottom w:val="150"/>
          <w:divBdr>
            <w:top w:val="none" w:sz="0" w:space="0" w:color="auto"/>
            <w:left w:val="none" w:sz="0" w:space="0" w:color="auto"/>
            <w:bottom w:val="none" w:sz="0" w:space="0" w:color="auto"/>
            <w:right w:val="none" w:sz="0" w:space="0" w:color="auto"/>
          </w:divBdr>
          <w:divsChild>
            <w:div w:id="443111477">
              <w:marLeft w:val="0"/>
              <w:marRight w:val="0"/>
              <w:marTop w:val="0"/>
              <w:marBottom w:val="0"/>
              <w:divBdr>
                <w:top w:val="none" w:sz="0" w:space="0" w:color="auto"/>
                <w:left w:val="none" w:sz="0" w:space="0" w:color="auto"/>
                <w:bottom w:val="none" w:sz="0" w:space="0" w:color="auto"/>
                <w:right w:val="none" w:sz="0" w:space="0" w:color="auto"/>
              </w:divBdr>
            </w:div>
          </w:divsChild>
        </w:div>
        <w:div w:id="796408654">
          <w:marLeft w:val="0"/>
          <w:marRight w:val="0"/>
          <w:marTop w:val="75"/>
          <w:marBottom w:val="450"/>
          <w:divBdr>
            <w:top w:val="none" w:sz="0" w:space="0" w:color="auto"/>
            <w:left w:val="none" w:sz="0" w:space="0" w:color="auto"/>
            <w:bottom w:val="none" w:sz="0" w:space="0" w:color="auto"/>
            <w:right w:val="none" w:sz="0" w:space="0" w:color="auto"/>
          </w:divBdr>
          <w:divsChild>
            <w:div w:id="552427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0901223">
      <w:bodyDiv w:val="1"/>
      <w:marLeft w:val="0"/>
      <w:marRight w:val="0"/>
      <w:marTop w:val="0"/>
      <w:marBottom w:val="0"/>
      <w:divBdr>
        <w:top w:val="none" w:sz="0" w:space="0" w:color="auto"/>
        <w:left w:val="none" w:sz="0" w:space="0" w:color="auto"/>
        <w:bottom w:val="none" w:sz="0" w:space="0" w:color="auto"/>
        <w:right w:val="none" w:sz="0" w:space="0" w:color="auto"/>
      </w:divBdr>
      <w:divsChild>
        <w:div w:id="392777378">
          <w:marLeft w:val="0"/>
          <w:marRight w:val="0"/>
          <w:marTop w:val="0"/>
          <w:marBottom w:val="150"/>
          <w:divBdr>
            <w:top w:val="none" w:sz="0" w:space="0" w:color="auto"/>
            <w:left w:val="none" w:sz="0" w:space="0" w:color="auto"/>
            <w:bottom w:val="none" w:sz="0" w:space="0" w:color="auto"/>
            <w:right w:val="none" w:sz="0" w:space="0" w:color="auto"/>
          </w:divBdr>
          <w:divsChild>
            <w:div w:id="2002125668">
              <w:marLeft w:val="0"/>
              <w:marRight w:val="0"/>
              <w:marTop w:val="0"/>
              <w:marBottom w:val="0"/>
              <w:divBdr>
                <w:top w:val="none" w:sz="0" w:space="0" w:color="auto"/>
                <w:left w:val="none" w:sz="0" w:space="0" w:color="auto"/>
                <w:bottom w:val="none" w:sz="0" w:space="0" w:color="auto"/>
                <w:right w:val="none" w:sz="0" w:space="0" w:color="auto"/>
              </w:divBdr>
            </w:div>
          </w:divsChild>
        </w:div>
        <w:div w:id="8916887">
          <w:marLeft w:val="0"/>
          <w:marRight w:val="0"/>
          <w:marTop w:val="0"/>
          <w:marBottom w:val="450"/>
          <w:divBdr>
            <w:top w:val="none" w:sz="0" w:space="0" w:color="auto"/>
            <w:left w:val="none" w:sz="0" w:space="0" w:color="auto"/>
            <w:bottom w:val="none" w:sz="0" w:space="0" w:color="auto"/>
            <w:right w:val="none" w:sz="0" w:space="0" w:color="auto"/>
          </w:divBdr>
          <w:divsChild>
            <w:div w:id="1057508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939828">
      <w:bodyDiv w:val="1"/>
      <w:marLeft w:val="0"/>
      <w:marRight w:val="0"/>
      <w:marTop w:val="0"/>
      <w:marBottom w:val="0"/>
      <w:divBdr>
        <w:top w:val="none" w:sz="0" w:space="0" w:color="auto"/>
        <w:left w:val="none" w:sz="0" w:space="0" w:color="auto"/>
        <w:bottom w:val="none" w:sz="0" w:space="0" w:color="auto"/>
        <w:right w:val="none" w:sz="0" w:space="0" w:color="auto"/>
      </w:divBdr>
    </w:div>
    <w:div w:id="1030645264">
      <w:bodyDiv w:val="1"/>
      <w:marLeft w:val="0"/>
      <w:marRight w:val="0"/>
      <w:marTop w:val="0"/>
      <w:marBottom w:val="0"/>
      <w:divBdr>
        <w:top w:val="none" w:sz="0" w:space="0" w:color="auto"/>
        <w:left w:val="none" w:sz="0" w:space="0" w:color="auto"/>
        <w:bottom w:val="none" w:sz="0" w:space="0" w:color="auto"/>
        <w:right w:val="none" w:sz="0" w:space="0" w:color="auto"/>
      </w:divBdr>
    </w:div>
    <w:div w:id="1251233012">
      <w:bodyDiv w:val="1"/>
      <w:marLeft w:val="0"/>
      <w:marRight w:val="0"/>
      <w:marTop w:val="0"/>
      <w:marBottom w:val="0"/>
      <w:divBdr>
        <w:top w:val="none" w:sz="0" w:space="0" w:color="auto"/>
        <w:left w:val="none" w:sz="0" w:space="0" w:color="auto"/>
        <w:bottom w:val="none" w:sz="0" w:space="0" w:color="auto"/>
        <w:right w:val="none" w:sz="0" w:space="0" w:color="auto"/>
      </w:divBdr>
    </w:div>
    <w:div w:id="1292591477">
      <w:bodyDiv w:val="1"/>
      <w:marLeft w:val="0"/>
      <w:marRight w:val="0"/>
      <w:marTop w:val="0"/>
      <w:marBottom w:val="0"/>
      <w:divBdr>
        <w:top w:val="none" w:sz="0" w:space="0" w:color="auto"/>
        <w:left w:val="none" w:sz="0" w:space="0" w:color="auto"/>
        <w:bottom w:val="none" w:sz="0" w:space="0" w:color="auto"/>
        <w:right w:val="none" w:sz="0" w:space="0" w:color="auto"/>
      </w:divBdr>
    </w:div>
    <w:div w:id="1421101576">
      <w:bodyDiv w:val="1"/>
      <w:marLeft w:val="0"/>
      <w:marRight w:val="0"/>
      <w:marTop w:val="0"/>
      <w:marBottom w:val="0"/>
      <w:divBdr>
        <w:top w:val="none" w:sz="0" w:space="0" w:color="auto"/>
        <w:left w:val="none" w:sz="0" w:space="0" w:color="auto"/>
        <w:bottom w:val="none" w:sz="0" w:space="0" w:color="auto"/>
        <w:right w:val="none" w:sz="0" w:space="0" w:color="auto"/>
      </w:divBdr>
    </w:div>
    <w:div w:id="1515341651">
      <w:bodyDiv w:val="1"/>
      <w:marLeft w:val="0"/>
      <w:marRight w:val="0"/>
      <w:marTop w:val="0"/>
      <w:marBottom w:val="0"/>
      <w:divBdr>
        <w:top w:val="none" w:sz="0" w:space="0" w:color="auto"/>
        <w:left w:val="none" w:sz="0" w:space="0" w:color="auto"/>
        <w:bottom w:val="none" w:sz="0" w:space="0" w:color="auto"/>
        <w:right w:val="none" w:sz="0" w:space="0" w:color="auto"/>
      </w:divBdr>
    </w:div>
    <w:div w:id="1539588933">
      <w:bodyDiv w:val="1"/>
      <w:marLeft w:val="0"/>
      <w:marRight w:val="0"/>
      <w:marTop w:val="0"/>
      <w:marBottom w:val="0"/>
      <w:divBdr>
        <w:top w:val="none" w:sz="0" w:space="0" w:color="auto"/>
        <w:left w:val="none" w:sz="0" w:space="0" w:color="auto"/>
        <w:bottom w:val="none" w:sz="0" w:space="0" w:color="auto"/>
        <w:right w:val="none" w:sz="0" w:space="0" w:color="auto"/>
      </w:divBdr>
    </w:div>
    <w:div w:id="1660159617">
      <w:bodyDiv w:val="1"/>
      <w:marLeft w:val="0"/>
      <w:marRight w:val="0"/>
      <w:marTop w:val="0"/>
      <w:marBottom w:val="0"/>
      <w:divBdr>
        <w:top w:val="none" w:sz="0" w:space="0" w:color="auto"/>
        <w:left w:val="none" w:sz="0" w:space="0" w:color="auto"/>
        <w:bottom w:val="none" w:sz="0" w:space="0" w:color="auto"/>
        <w:right w:val="none" w:sz="0" w:space="0" w:color="auto"/>
      </w:divBdr>
      <w:divsChild>
        <w:div w:id="579945042">
          <w:marLeft w:val="0"/>
          <w:marRight w:val="0"/>
          <w:marTop w:val="0"/>
          <w:marBottom w:val="150"/>
          <w:divBdr>
            <w:top w:val="none" w:sz="0" w:space="0" w:color="auto"/>
            <w:left w:val="none" w:sz="0" w:space="0" w:color="auto"/>
            <w:bottom w:val="none" w:sz="0" w:space="0" w:color="auto"/>
            <w:right w:val="none" w:sz="0" w:space="0" w:color="auto"/>
          </w:divBdr>
          <w:divsChild>
            <w:div w:id="2116361769">
              <w:marLeft w:val="0"/>
              <w:marRight w:val="0"/>
              <w:marTop w:val="0"/>
              <w:marBottom w:val="0"/>
              <w:divBdr>
                <w:top w:val="none" w:sz="0" w:space="0" w:color="auto"/>
                <w:left w:val="none" w:sz="0" w:space="0" w:color="auto"/>
                <w:bottom w:val="none" w:sz="0" w:space="0" w:color="auto"/>
                <w:right w:val="none" w:sz="0" w:space="0" w:color="auto"/>
              </w:divBdr>
            </w:div>
          </w:divsChild>
        </w:div>
        <w:div w:id="1619874607">
          <w:marLeft w:val="0"/>
          <w:marRight w:val="0"/>
          <w:marTop w:val="75"/>
          <w:marBottom w:val="450"/>
          <w:divBdr>
            <w:top w:val="none" w:sz="0" w:space="0" w:color="auto"/>
            <w:left w:val="none" w:sz="0" w:space="0" w:color="auto"/>
            <w:bottom w:val="none" w:sz="0" w:space="0" w:color="auto"/>
            <w:right w:val="none" w:sz="0" w:space="0" w:color="auto"/>
          </w:divBdr>
          <w:divsChild>
            <w:div w:id="1598951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970833">
      <w:bodyDiv w:val="1"/>
      <w:marLeft w:val="0"/>
      <w:marRight w:val="0"/>
      <w:marTop w:val="0"/>
      <w:marBottom w:val="0"/>
      <w:divBdr>
        <w:top w:val="none" w:sz="0" w:space="0" w:color="auto"/>
        <w:left w:val="none" w:sz="0" w:space="0" w:color="auto"/>
        <w:bottom w:val="none" w:sz="0" w:space="0" w:color="auto"/>
        <w:right w:val="none" w:sz="0" w:space="0" w:color="auto"/>
      </w:divBdr>
    </w:div>
    <w:div w:id="1938324867">
      <w:bodyDiv w:val="1"/>
      <w:marLeft w:val="0"/>
      <w:marRight w:val="0"/>
      <w:marTop w:val="0"/>
      <w:marBottom w:val="0"/>
      <w:divBdr>
        <w:top w:val="none" w:sz="0" w:space="0" w:color="auto"/>
        <w:left w:val="none" w:sz="0" w:space="0" w:color="auto"/>
        <w:bottom w:val="none" w:sz="0" w:space="0" w:color="auto"/>
        <w:right w:val="none" w:sz="0" w:space="0" w:color="auto"/>
      </w:divBdr>
    </w:div>
    <w:div w:id="1981961766">
      <w:bodyDiv w:val="1"/>
      <w:marLeft w:val="0"/>
      <w:marRight w:val="0"/>
      <w:marTop w:val="0"/>
      <w:marBottom w:val="0"/>
      <w:divBdr>
        <w:top w:val="none" w:sz="0" w:space="0" w:color="auto"/>
        <w:left w:val="none" w:sz="0" w:space="0" w:color="auto"/>
        <w:bottom w:val="none" w:sz="0" w:space="0" w:color="auto"/>
        <w:right w:val="none" w:sz="0" w:space="0" w:color="auto"/>
      </w:divBdr>
    </w:div>
    <w:div w:id="1991860482">
      <w:bodyDiv w:val="1"/>
      <w:marLeft w:val="0"/>
      <w:marRight w:val="0"/>
      <w:marTop w:val="0"/>
      <w:marBottom w:val="0"/>
      <w:divBdr>
        <w:top w:val="none" w:sz="0" w:space="0" w:color="auto"/>
        <w:left w:val="none" w:sz="0" w:space="0" w:color="auto"/>
        <w:bottom w:val="none" w:sz="0" w:space="0" w:color="auto"/>
        <w:right w:val="none" w:sz="0" w:space="0" w:color="auto"/>
      </w:divBdr>
    </w:div>
    <w:div w:id="2142648643">
      <w:bodyDiv w:val="1"/>
      <w:marLeft w:val="0"/>
      <w:marRight w:val="0"/>
      <w:marTop w:val="0"/>
      <w:marBottom w:val="0"/>
      <w:divBdr>
        <w:top w:val="none" w:sz="0" w:space="0" w:color="auto"/>
        <w:left w:val="none" w:sz="0" w:space="0" w:color="auto"/>
        <w:bottom w:val="none" w:sz="0" w:space="0" w:color="auto"/>
        <w:right w:val="none" w:sz="0" w:space="0" w:color="auto"/>
      </w:divBdr>
      <w:divsChild>
        <w:div w:id="290331733">
          <w:marLeft w:val="0"/>
          <w:marRight w:val="0"/>
          <w:marTop w:val="0"/>
          <w:marBottom w:val="150"/>
          <w:divBdr>
            <w:top w:val="none" w:sz="0" w:space="0" w:color="auto"/>
            <w:left w:val="none" w:sz="0" w:space="0" w:color="auto"/>
            <w:bottom w:val="none" w:sz="0" w:space="0" w:color="auto"/>
            <w:right w:val="none" w:sz="0" w:space="0" w:color="auto"/>
          </w:divBdr>
          <w:divsChild>
            <w:div w:id="1387216881">
              <w:marLeft w:val="0"/>
              <w:marRight w:val="0"/>
              <w:marTop w:val="0"/>
              <w:marBottom w:val="0"/>
              <w:divBdr>
                <w:top w:val="none" w:sz="0" w:space="0" w:color="auto"/>
                <w:left w:val="none" w:sz="0" w:space="0" w:color="auto"/>
                <w:bottom w:val="none" w:sz="0" w:space="0" w:color="auto"/>
                <w:right w:val="none" w:sz="0" w:space="0" w:color="auto"/>
              </w:divBdr>
            </w:div>
          </w:divsChild>
        </w:div>
        <w:div w:id="1266304595">
          <w:marLeft w:val="0"/>
          <w:marRight w:val="0"/>
          <w:marTop w:val="0"/>
          <w:marBottom w:val="450"/>
          <w:divBdr>
            <w:top w:val="none" w:sz="0" w:space="0" w:color="auto"/>
            <w:left w:val="none" w:sz="0" w:space="0" w:color="auto"/>
            <w:bottom w:val="none" w:sz="0" w:space="0" w:color="auto"/>
            <w:right w:val="none" w:sz="0" w:space="0" w:color="auto"/>
          </w:divBdr>
          <w:divsChild>
            <w:div w:id="2032754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ur-lex.europa.eu/legal-content/EN/AUTO/?uri=CELEX:02006R1922-20070119"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ur-lex.europa.eu/legal-content/PT/TXT/?uri=CELEX%3A52026DC0113&amp;qid=1772739852845" TargetMode="Externa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r-lex.europa.eu/legal-content/PT/TXT/?qid=1761126156157&amp;uri=CELEX%3A52025DC0870" TargetMode="External"/><Relationship Id="rId5" Type="http://schemas.openxmlformats.org/officeDocument/2006/relationships/webSettings" Target="webSettings.xml"/><Relationship Id="rId15" Type="http://schemas.openxmlformats.org/officeDocument/2006/relationships/hyperlink" Target="https://eige.europa.eu/publications-resources/publications/gender-equality-index-2025-sharper-data-changing-world?language_content_entity=en" TargetMode="External"/><Relationship Id="rId10" Type="http://schemas.openxmlformats.org/officeDocument/2006/relationships/hyperlink" Target="https://hdl.handle.net/11328/6207"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ijp.upt.pt/ii-conferencia-dia-internacional-das-mulheres/" TargetMode="External"/><Relationship Id="rId14" Type="http://schemas.openxmlformats.org/officeDocument/2006/relationships/hyperlink" Target="https://curia.europa.eu/site/jcms/qua1_5959/pt/igualdade-de-genero-no-trabalho"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mailto:DRA@UPT.PT" TargetMode="External"/><Relationship Id="rId7" Type="http://schemas.openxmlformats.org/officeDocument/2006/relationships/hyperlink" Target="https://eige.europa.eu/about/documents-registry/eiges-2026-2028-single-programming-document-amended" TargetMode="External"/><Relationship Id="rId2" Type="http://schemas.openxmlformats.org/officeDocument/2006/relationships/hyperlink" Target="https://www.upt.pt/agenda/ii-conferencia-dia-internacional-das-mulheres/" TargetMode="External"/><Relationship Id="rId1" Type="http://schemas.openxmlformats.org/officeDocument/2006/relationships/hyperlink" Target="https://ijp.upt.pt/estudos-sobre-mulheres-genero-e-interseccionalidade/" TargetMode="External"/><Relationship Id="rId6" Type="http://schemas.openxmlformats.org/officeDocument/2006/relationships/hyperlink" Target="https://ec.europa.eu/commission/presscorner/detail/pt/SPEECH_25_2053" TargetMode="External"/><Relationship Id="rId5" Type="http://schemas.openxmlformats.org/officeDocument/2006/relationships/hyperlink" Target="https://eige.europa.eu/publications-resources/publications/gender-equality-index-2025-sharper-data-changing-world?language_content_entity=en" TargetMode="External"/><Relationship Id="rId4" Type="http://schemas.openxmlformats.org/officeDocument/2006/relationships/hyperlink" Target="mailto:39598@alunos.upt.pt"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19BE45-EA6C-4B88-AD44-FD881A9ECC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4</Pages>
  <Words>1165</Words>
  <Characters>6295</Characters>
  <Application>Microsoft Office Word</Application>
  <DocSecurity>0</DocSecurity>
  <Lines>52</Lines>
  <Paragraphs>14</Paragraphs>
  <ScaleCrop>false</ScaleCrop>
  <HeadingPairs>
    <vt:vector size="4" baseType="variant">
      <vt:variant>
        <vt:lpstr>Título</vt:lpstr>
      </vt:variant>
      <vt:variant>
        <vt:i4>1</vt:i4>
      </vt:variant>
      <vt:variant>
        <vt:lpstr>Cabeçalhos</vt:lpstr>
      </vt:variant>
      <vt:variant>
        <vt:i4>2</vt:i4>
      </vt:variant>
    </vt:vector>
  </HeadingPairs>
  <TitlesOfParts>
    <vt:vector size="3" baseType="lpstr">
      <vt:lpstr/>
      <vt:lpstr>EIXO: Área Temática 1 - Transformação digital e desigualdades de género</vt:lpstr>
      <vt:lpstr>Resumo:   </vt:lpstr>
    </vt:vector>
  </TitlesOfParts>
  <Company/>
  <LinksUpToDate>false</LinksUpToDate>
  <CharactersWithSpaces>7446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natan souza</dc:creator>
  <cp:keywords/>
  <dc:description/>
  <cp:lastModifiedBy>Filipa Maria Sousa Marinho da Silva</cp:lastModifiedBy>
  <cp:revision>2</cp:revision>
  <dcterms:created xsi:type="dcterms:W3CDTF">2026-03-19T12:31:00Z</dcterms:created>
  <dcterms:modified xsi:type="dcterms:W3CDTF">2026-03-19T12:31:00Z</dcterms:modified>
</cp:coreProperties>
</file>