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B432DB" w14:textId="3D5412CB" w:rsidR="00060240" w:rsidRDefault="00060240" w:rsidP="006B2323">
      <w:pPr>
        <w:jc w:val="center"/>
        <w:rPr>
          <w:rFonts w:ascii="Garamond" w:hAnsi="Garamond"/>
          <w:b/>
          <w:bCs/>
        </w:rPr>
      </w:pPr>
      <w:bookmarkStart w:id="0" w:name="_Hlk195207005"/>
      <w:r w:rsidRPr="00060240">
        <w:rPr>
          <w:rFonts w:ascii="Garamond" w:hAnsi="Garamond"/>
          <w:b/>
          <w:bCs/>
        </w:rPr>
        <w:t xml:space="preserve">Reenvio Prejudicial e Conflito Armado em Gaza: </w:t>
      </w:r>
      <w:r w:rsidRPr="00CA26C1">
        <w:rPr>
          <w:rFonts w:ascii="Garamond" w:hAnsi="Garamond"/>
          <w:b/>
          <w:bCs/>
        </w:rPr>
        <w:t>Entre a Lógica Jurídica e a Proteção Humanitária no Direito Internacional</w:t>
      </w:r>
      <w:r w:rsidR="00917DDD" w:rsidRPr="00CA26C1">
        <w:rPr>
          <w:rFonts w:ascii="Garamond" w:hAnsi="Garamond"/>
          <w:b/>
          <w:bCs/>
        </w:rPr>
        <w:t xml:space="preserve"> – o processo C-563/22</w:t>
      </w:r>
      <w:r w:rsidR="00EC6EC2" w:rsidRPr="00CA26C1">
        <w:rPr>
          <w:rFonts w:ascii="Garamond" w:hAnsi="Garamond"/>
          <w:b/>
          <w:bCs/>
        </w:rPr>
        <w:t xml:space="preserve"> do TJUE</w:t>
      </w:r>
    </w:p>
    <w:p w14:paraId="605BD246" w14:textId="77777777" w:rsidR="00060240" w:rsidRDefault="00060240" w:rsidP="006B2323">
      <w:pPr>
        <w:jc w:val="center"/>
        <w:rPr>
          <w:rFonts w:ascii="Garamond" w:hAnsi="Garamond"/>
          <w:b/>
          <w:bCs/>
        </w:rPr>
      </w:pPr>
    </w:p>
    <w:bookmarkEnd w:id="0"/>
    <w:p w14:paraId="23A37247" w14:textId="1FDF44B6" w:rsidR="006B2323" w:rsidRDefault="00935B24" w:rsidP="006B2323">
      <w:pPr>
        <w:jc w:val="right"/>
        <w:rPr>
          <w:rFonts w:ascii="Garamond" w:hAnsi="Garamond"/>
          <w:b/>
          <w:bCs/>
        </w:rPr>
      </w:pPr>
      <w:r>
        <w:rPr>
          <w:rFonts w:ascii="Garamond" w:hAnsi="Garamond"/>
          <w:b/>
          <w:bCs/>
        </w:rPr>
        <w:t>Dora</w:t>
      </w:r>
      <w:r w:rsidR="004A7318">
        <w:rPr>
          <w:rFonts w:ascii="Garamond" w:hAnsi="Garamond"/>
          <w:b/>
          <w:bCs/>
        </w:rPr>
        <w:t xml:space="preserve"> Resende Alves</w:t>
      </w:r>
      <w:r>
        <w:rPr>
          <w:rFonts w:ascii="Garamond" w:hAnsi="Garamond"/>
          <w:b/>
          <w:bCs/>
        </w:rPr>
        <w:t xml:space="preserve"> </w:t>
      </w:r>
      <w:r w:rsidR="006B2323" w:rsidRPr="004F5663">
        <w:rPr>
          <w:rStyle w:val="Refdenotaderodap"/>
          <w:rFonts w:ascii="Garamond" w:hAnsi="Garamond"/>
          <w:b/>
          <w:bCs/>
        </w:rPr>
        <w:footnoteReference w:id="1"/>
      </w:r>
    </w:p>
    <w:p w14:paraId="04D8F5B6" w14:textId="77279D4D" w:rsidR="00935B24" w:rsidRPr="00091E88" w:rsidRDefault="00935B24" w:rsidP="006B2323">
      <w:pPr>
        <w:jc w:val="right"/>
        <w:rPr>
          <w:rFonts w:ascii="Garamond" w:hAnsi="Garamond"/>
          <w:b/>
          <w:bCs/>
        </w:rPr>
      </w:pPr>
      <w:r>
        <w:rPr>
          <w:rFonts w:ascii="Garamond" w:hAnsi="Garamond"/>
          <w:b/>
          <w:bCs/>
        </w:rPr>
        <w:t>Angélica Lima</w:t>
      </w:r>
      <w:r w:rsidR="00381C83">
        <w:rPr>
          <w:rStyle w:val="Refdenotaderodap"/>
          <w:rFonts w:ascii="Garamond" w:hAnsi="Garamond"/>
          <w:b/>
          <w:bCs/>
        </w:rPr>
        <w:footnoteReference w:id="2"/>
      </w:r>
    </w:p>
    <w:p w14:paraId="1DFA45BE" w14:textId="5194CDC0" w:rsidR="006B2323" w:rsidRPr="00EA58A7" w:rsidRDefault="00935B24" w:rsidP="00EA58A7">
      <w:pPr>
        <w:jc w:val="right"/>
        <w:rPr>
          <w:rFonts w:ascii="Garamond" w:hAnsi="Garamond"/>
          <w:lang w:val="pt-PT"/>
        </w:rPr>
      </w:pPr>
      <w:r>
        <w:rPr>
          <w:rFonts w:ascii="Garamond" w:hAnsi="Garamond"/>
          <w:lang w:val="pt-PT"/>
        </w:rPr>
        <w:t>Universidade Portucalense</w:t>
      </w:r>
    </w:p>
    <w:p w14:paraId="2CCD9C6D" w14:textId="175721C5" w:rsidR="004A042D" w:rsidRPr="004A042D" w:rsidRDefault="004A042D" w:rsidP="004A042D">
      <w:pPr>
        <w:ind w:firstLine="709"/>
        <w:jc w:val="both"/>
        <w:rPr>
          <w:rFonts w:ascii="Garamond" w:hAnsi="Garamond"/>
        </w:rPr>
      </w:pPr>
      <w:r w:rsidRPr="004A042D">
        <w:rPr>
          <w:rFonts w:ascii="Garamond" w:hAnsi="Garamond"/>
        </w:rPr>
        <w:t xml:space="preserve">Este artigo propõe uma análise crítica do </w:t>
      </w:r>
      <w:r w:rsidRPr="00CA26C1">
        <w:rPr>
          <w:rFonts w:ascii="Garamond" w:hAnsi="Garamond"/>
        </w:rPr>
        <w:t>reenvio prejudicial à luz do Acórdão</w:t>
      </w:r>
      <w:r w:rsidR="00EC6EC2" w:rsidRPr="00CA26C1">
        <w:rPr>
          <w:rFonts w:ascii="Garamond" w:hAnsi="Garamond"/>
        </w:rPr>
        <w:t xml:space="preserve"> do Tribunal de Justiça da União Europeia de</w:t>
      </w:r>
      <w:r w:rsidR="00CA26C1" w:rsidRPr="00CA26C1">
        <w:rPr>
          <w:rFonts w:ascii="Garamond" w:hAnsi="Garamond"/>
        </w:rPr>
        <w:t xml:space="preserve"> 13 de junho de 2024 </w:t>
      </w:r>
      <w:r w:rsidR="00917DDD" w:rsidRPr="00CA26C1">
        <w:rPr>
          <w:rFonts w:ascii="Garamond" w:hAnsi="Garamond"/>
        </w:rPr>
        <w:t xml:space="preserve"> no</w:t>
      </w:r>
      <w:r w:rsidRPr="00CA26C1">
        <w:rPr>
          <w:rFonts w:ascii="Garamond" w:hAnsi="Garamond"/>
        </w:rPr>
        <w:t xml:space="preserve"> PROCESSO C</w:t>
      </w:r>
      <w:r w:rsidRPr="00CA26C1">
        <w:rPr>
          <w:rFonts w:ascii="Times New Roman" w:hAnsi="Times New Roman" w:cs="Times New Roman"/>
        </w:rPr>
        <w:t>‑</w:t>
      </w:r>
      <w:r w:rsidRPr="00CA26C1">
        <w:rPr>
          <w:rFonts w:ascii="Garamond" w:hAnsi="Garamond"/>
        </w:rPr>
        <w:t xml:space="preserve">563/22 </w:t>
      </w:r>
      <w:r w:rsidRPr="00CA26C1">
        <w:rPr>
          <w:rFonts w:ascii="Garamond" w:hAnsi="Garamond" w:cs="Garamond"/>
        </w:rPr>
        <w:t>–</w:t>
      </w:r>
      <w:r w:rsidRPr="00CA26C1">
        <w:rPr>
          <w:rFonts w:ascii="Garamond" w:hAnsi="Garamond"/>
        </w:rPr>
        <w:t xml:space="preserve"> PEDIDO DE DECIS</w:t>
      </w:r>
      <w:r w:rsidRPr="00CA26C1">
        <w:rPr>
          <w:rFonts w:ascii="Garamond" w:hAnsi="Garamond" w:cs="Garamond"/>
        </w:rPr>
        <w:t>Ã</w:t>
      </w:r>
      <w:r w:rsidRPr="00CA26C1">
        <w:rPr>
          <w:rFonts w:ascii="Garamond" w:hAnsi="Garamond"/>
        </w:rPr>
        <w:t>O PREJUDICIAL, em aplica</w:t>
      </w:r>
      <w:r w:rsidRPr="00CA26C1">
        <w:rPr>
          <w:rFonts w:ascii="Garamond" w:hAnsi="Garamond" w:cs="Garamond"/>
        </w:rPr>
        <w:t>çã</w:t>
      </w:r>
      <w:r w:rsidRPr="00CA26C1">
        <w:rPr>
          <w:rFonts w:ascii="Garamond" w:hAnsi="Garamond"/>
        </w:rPr>
        <w:t>o do artigo 98.</w:t>
      </w:r>
      <w:r w:rsidRPr="00CA26C1">
        <w:rPr>
          <w:rFonts w:ascii="Garamond" w:hAnsi="Garamond" w:cs="Garamond"/>
        </w:rPr>
        <w:t>º</w:t>
      </w:r>
      <w:r w:rsidRPr="00CA26C1">
        <w:rPr>
          <w:rFonts w:ascii="Garamond" w:hAnsi="Garamond"/>
        </w:rPr>
        <w:t>, n</w:t>
      </w:r>
      <w:r w:rsidR="00917DDD" w:rsidRPr="00CA26C1">
        <w:rPr>
          <w:rFonts w:ascii="Garamond" w:hAnsi="Garamond"/>
        </w:rPr>
        <w:t>.</w:t>
      </w:r>
      <w:r w:rsidRPr="00CA26C1">
        <w:rPr>
          <w:rFonts w:ascii="Garamond" w:hAnsi="Garamond" w:cs="Garamond"/>
        </w:rPr>
        <w:t>º</w:t>
      </w:r>
      <w:r w:rsidRPr="00CA26C1">
        <w:rPr>
          <w:rFonts w:ascii="Garamond" w:hAnsi="Garamond"/>
        </w:rPr>
        <w:t xml:space="preserve"> 1</w:t>
      </w:r>
      <w:r w:rsidR="00917DDD" w:rsidRPr="00CA26C1">
        <w:rPr>
          <w:rFonts w:ascii="Garamond" w:hAnsi="Garamond"/>
        </w:rPr>
        <w:t>,</w:t>
      </w:r>
      <w:r w:rsidRPr="00CA26C1">
        <w:rPr>
          <w:rFonts w:ascii="Garamond" w:hAnsi="Garamond"/>
        </w:rPr>
        <w:t xml:space="preserve"> do Regulamento de Processo do Tribunal de Justi</w:t>
      </w:r>
      <w:r w:rsidRPr="00CA26C1">
        <w:rPr>
          <w:rFonts w:ascii="Garamond" w:hAnsi="Garamond" w:cs="Garamond"/>
        </w:rPr>
        <w:t>ç</w:t>
      </w:r>
      <w:r w:rsidRPr="00CA26C1">
        <w:rPr>
          <w:rFonts w:ascii="Garamond" w:hAnsi="Garamond"/>
        </w:rPr>
        <w:t xml:space="preserve">a </w:t>
      </w:r>
      <w:r w:rsidRPr="00CA26C1">
        <w:rPr>
          <w:rFonts w:ascii="Garamond" w:hAnsi="Garamond" w:cs="Garamond"/>
        </w:rPr>
        <w:t>–</w:t>
      </w:r>
      <w:r w:rsidRPr="00CA26C1">
        <w:rPr>
          <w:rFonts w:ascii="Garamond" w:hAnsi="Garamond"/>
        </w:rPr>
        <w:t xml:space="preserve"> e a sua rela</w:t>
      </w:r>
      <w:r w:rsidRPr="00CA26C1">
        <w:rPr>
          <w:rFonts w:ascii="Garamond" w:hAnsi="Garamond" w:cs="Garamond"/>
        </w:rPr>
        <w:t>çã</w:t>
      </w:r>
      <w:r w:rsidRPr="00CA26C1">
        <w:rPr>
          <w:rFonts w:ascii="Garamond" w:hAnsi="Garamond"/>
        </w:rPr>
        <w:t>o com a realidade do conflito armado em Gaza. A pesquisa explora os desafios que o Direito Internacional enfrenta perante contextos de instabilidade e de priva</w:t>
      </w:r>
      <w:r w:rsidRPr="00CA26C1">
        <w:rPr>
          <w:rFonts w:ascii="Garamond" w:hAnsi="Garamond" w:cs="Garamond"/>
        </w:rPr>
        <w:t>çã</w:t>
      </w:r>
      <w:r w:rsidRPr="00CA26C1">
        <w:rPr>
          <w:rFonts w:ascii="Garamond" w:hAnsi="Garamond"/>
        </w:rPr>
        <w:t>o material extrema, destacando</w:t>
      </w:r>
      <w:r w:rsidRPr="004A042D">
        <w:rPr>
          <w:rFonts w:ascii="Garamond" w:hAnsi="Garamond"/>
        </w:rPr>
        <w:t xml:space="preserve"> a tens</w:t>
      </w:r>
      <w:r w:rsidRPr="004A042D">
        <w:rPr>
          <w:rFonts w:ascii="Garamond" w:hAnsi="Garamond" w:cs="Garamond"/>
        </w:rPr>
        <w:t>ã</w:t>
      </w:r>
      <w:r w:rsidRPr="004A042D">
        <w:rPr>
          <w:rFonts w:ascii="Garamond" w:hAnsi="Garamond"/>
        </w:rPr>
        <w:t>o existente entre a l</w:t>
      </w:r>
      <w:r w:rsidRPr="004A042D">
        <w:rPr>
          <w:rFonts w:ascii="Garamond" w:hAnsi="Garamond" w:cs="Garamond"/>
        </w:rPr>
        <w:t>ó</w:t>
      </w:r>
      <w:r w:rsidRPr="004A042D">
        <w:rPr>
          <w:rFonts w:ascii="Garamond" w:hAnsi="Garamond"/>
        </w:rPr>
        <w:t>gica do reenvio prejudicial e o imperativo da prote</w:t>
      </w:r>
      <w:r w:rsidRPr="004A042D">
        <w:rPr>
          <w:rFonts w:ascii="Garamond" w:hAnsi="Garamond" w:cs="Garamond"/>
        </w:rPr>
        <w:t>çã</w:t>
      </w:r>
      <w:r w:rsidRPr="004A042D">
        <w:rPr>
          <w:rFonts w:ascii="Garamond" w:hAnsi="Garamond"/>
        </w:rPr>
        <w:t>o humanitária em zonas de conflito. Em especial, o estudo assinala como os argumentos jurídicos que fundamentam a decisão podem ser transpostos para a avaliação da proteção internacional em ambientes marcados pela violência, pelo bloqueio e pela deterioração dos serviços essenciais. A investigação aproxima o reenvio prejudicial do cenário de Gaza, propondo uma reflexão que articula o Direito Internacional Humanitário e as normas internacionais de proteção dos refugiados, bem como o princípio da não repulsão e da proibição de tratamentos desumanos.</w:t>
      </w:r>
    </w:p>
    <w:p w14:paraId="2B751395" w14:textId="27CFD2F9" w:rsidR="00DB41D6" w:rsidRDefault="004A042D" w:rsidP="004A042D">
      <w:pPr>
        <w:ind w:firstLine="709"/>
        <w:jc w:val="both"/>
        <w:rPr>
          <w:rFonts w:ascii="Garamond" w:hAnsi="Garamond"/>
        </w:rPr>
      </w:pPr>
      <w:r w:rsidRPr="004A042D">
        <w:rPr>
          <w:rFonts w:ascii="Garamond" w:hAnsi="Garamond"/>
        </w:rPr>
        <w:t xml:space="preserve">A análise comparativa deste trabalho será sustentada por uma revisão exaustiva da literatura especializada e do </w:t>
      </w:r>
      <w:r w:rsidRPr="00CA26C1">
        <w:rPr>
          <w:rFonts w:ascii="Garamond" w:hAnsi="Garamond"/>
          <w:i/>
          <w:iCs/>
        </w:rPr>
        <w:t>corpus</w:t>
      </w:r>
      <w:r w:rsidRPr="00CA26C1">
        <w:rPr>
          <w:rFonts w:ascii="Garamond" w:hAnsi="Garamond"/>
        </w:rPr>
        <w:t xml:space="preserve"> jurídico</w:t>
      </w:r>
      <w:r w:rsidRPr="004A042D">
        <w:rPr>
          <w:rFonts w:ascii="Garamond" w:hAnsi="Garamond"/>
        </w:rPr>
        <w:t xml:space="preserve"> pertinente, possibilitando uma reflexão crítica sobre os elementos comuns e as particularidades dos contextos do reenvio prejudicial e do conflito armado em Gaza. Pretende-se contribuir para o debate acerca da eficácia das decisões judiciais internacionais na proteção das populações vulneráveis e na promoção de uma paz duradoura, ampliando o entendimento sobre a aplicabilidade das normas internacionais em cenários de insegurança e intensa deterioração humanitária. Este enfoque metodológico delimita o estudo na interseção entre o Direito Internacional dos Refugiados e o Direito Internacional </w:t>
      </w:r>
      <w:r w:rsidRPr="00CA26C1">
        <w:rPr>
          <w:rFonts w:ascii="Garamond" w:hAnsi="Garamond"/>
        </w:rPr>
        <w:t>Humanitário, evidenciando a urgência de repensar os mecanismos de proteção face aos desafios globais contemporâneos.</w:t>
      </w:r>
      <w:r w:rsidR="00917DDD" w:rsidRPr="00CA26C1">
        <w:rPr>
          <w:rFonts w:ascii="Garamond" w:hAnsi="Garamond"/>
        </w:rPr>
        <w:t xml:space="preserve"> Bem como o papel de relevo do Tribunal de Justiça da União Europeia no processo de integração europeu.</w:t>
      </w:r>
    </w:p>
    <w:p w14:paraId="0E1519D1" w14:textId="77777777" w:rsidR="00FE2203" w:rsidRDefault="006B2323" w:rsidP="00E00044">
      <w:pPr>
        <w:jc w:val="both"/>
        <w:rPr>
          <w:rFonts w:ascii="Garamond" w:hAnsi="Garamond"/>
        </w:rPr>
      </w:pPr>
      <w:r w:rsidRPr="00622DCE">
        <w:rPr>
          <w:rFonts w:ascii="Garamond" w:hAnsi="Garamond"/>
          <w:b/>
          <w:bCs/>
        </w:rPr>
        <w:t>Palavras-chave</w:t>
      </w:r>
      <w:r w:rsidRPr="00622DCE">
        <w:rPr>
          <w:rFonts w:ascii="Garamond" w:hAnsi="Garamond"/>
        </w:rPr>
        <w:t>: Direito Internacional P</w:t>
      </w:r>
      <w:r w:rsidR="00381C83">
        <w:rPr>
          <w:rFonts w:ascii="Garamond" w:hAnsi="Garamond"/>
        </w:rPr>
        <w:t>úblico</w:t>
      </w:r>
      <w:r w:rsidRPr="00622DCE">
        <w:rPr>
          <w:rFonts w:ascii="Garamond" w:hAnsi="Garamond"/>
        </w:rPr>
        <w:t xml:space="preserve">; </w:t>
      </w:r>
      <w:r w:rsidR="00060240" w:rsidRPr="00060240">
        <w:rPr>
          <w:rFonts w:ascii="Garamond" w:hAnsi="Garamond"/>
          <w:lang w:val="pt-PT"/>
        </w:rPr>
        <w:t>Reenvio prejudicial</w:t>
      </w:r>
      <w:r w:rsidR="00060240">
        <w:rPr>
          <w:rFonts w:ascii="Garamond" w:hAnsi="Garamond"/>
          <w:lang w:val="pt-PT"/>
        </w:rPr>
        <w:t xml:space="preserve">; </w:t>
      </w:r>
      <w:r w:rsidR="00060240" w:rsidRPr="00060240">
        <w:rPr>
          <w:rFonts w:ascii="Garamond" w:hAnsi="Garamond"/>
          <w:lang w:val="pt-PT"/>
        </w:rPr>
        <w:t>Conflito armado</w:t>
      </w:r>
      <w:r w:rsidR="00060240">
        <w:rPr>
          <w:rFonts w:ascii="Garamond" w:hAnsi="Garamond"/>
          <w:lang w:val="pt-PT"/>
        </w:rPr>
        <w:t>; Gaza;</w:t>
      </w:r>
      <w:r w:rsidR="00060240" w:rsidRPr="00060240">
        <w:rPr>
          <w:rFonts w:ascii="Garamond" w:hAnsi="Garamond"/>
          <w:lang w:val="pt-PT"/>
        </w:rPr>
        <w:t xml:space="preserve"> Direito Internacional Humanitário</w:t>
      </w:r>
    </w:p>
    <w:p w14:paraId="4F41CC08" w14:textId="77777777" w:rsidR="00FE2203" w:rsidRDefault="00FE2203" w:rsidP="00FE2203">
      <w:pPr>
        <w:ind w:firstLine="708"/>
        <w:jc w:val="both"/>
        <w:rPr>
          <w:rFonts w:ascii="Garamond" w:hAnsi="Garamond"/>
        </w:rPr>
      </w:pPr>
    </w:p>
    <w:p w14:paraId="0A75D4DA" w14:textId="77777777" w:rsidR="00FE2203" w:rsidRDefault="00FE2203" w:rsidP="00FE2203">
      <w:pPr>
        <w:ind w:firstLine="708"/>
        <w:jc w:val="both"/>
        <w:rPr>
          <w:rFonts w:ascii="Garamond" w:hAnsi="Garamond"/>
        </w:rPr>
      </w:pPr>
    </w:p>
    <w:p w14:paraId="56F2FAF3" w14:textId="77777777" w:rsidR="00FE2203" w:rsidRPr="006E5E87" w:rsidRDefault="00E00044" w:rsidP="00FE2203">
      <w:pPr>
        <w:ind w:firstLine="708"/>
        <w:jc w:val="both"/>
        <w:rPr>
          <w:rFonts w:ascii="Garamond" w:hAnsi="Garamond"/>
          <w:lang w:val="en-US"/>
        </w:rPr>
      </w:pPr>
      <w:r w:rsidRPr="006E5E87">
        <w:rPr>
          <w:rFonts w:ascii="Garamond" w:hAnsi="Garamond"/>
          <w:lang w:val="en-US"/>
        </w:rPr>
        <w:lastRenderedPageBreak/>
        <w:t>This article proposes a critical analysis of the prejudicial referral in light of the Court of Justice of the European Union’s judgment of 13 June 2024 in CASE C</w:t>
      </w:r>
      <w:r w:rsidRPr="006E5E87">
        <w:rPr>
          <w:rFonts w:ascii="Times New Roman" w:hAnsi="Times New Roman" w:cs="Times New Roman"/>
          <w:lang w:val="en-US"/>
        </w:rPr>
        <w:t>‑</w:t>
      </w:r>
      <w:r w:rsidRPr="006E5E87">
        <w:rPr>
          <w:rFonts w:ascii="Garamond" w:hAnsi="Garamond"/>
          <w:lang w:val="en-US"/>
        </w:rPr>
        <w:t xml:space="preserve">563/22 </w:t>
      </w:r>
      <w:r w:rsidRPr="006E5E87">
        <w:rPr>
          <w:rFonts w:ascii="Garamond" w:hAnsi="Garamond" w:cs="Garamond"/>
          <w:lang w:val="en-US"/>
        </w:rPr>
        <w:t>–</w:t>
      </w:r>
      <w:r w:rsidRPr="006E5E87">
        <w:rPr>
          <w:rFonts w:ascii="Garamond" w:hAnsi="Garamond"/>
          <w:lang w:val="en-US"/>
        </w:rPr>
        <w:t xml:space="preserve"> REQUEST FOR A PREJUDICIAL RENDERING, pursuant to Article 98(1) of the Rules of Procedure of the Court of Justice </w:t>
      </w:r>
      <w:r w:rsidRPr="006E5E87">
        <w:rPr>
          <w:rFonts w:ascii="Garamond" w:hAnsi="Garamond" w:cs="Garamond"/>
          <w:lang w:val="en-US"/>
        </w:rPr>
        <w:t>–</w:t>
      </w:r>
      <w:r w:rsidRPr="006E5E87">
        <w:rPr>
          <w:rFonts w:ascii="Garamond" w:hAnsi="Garamond"/>
          <w:lang w:val="en-US"/>
        </w:rPr>
        <w:t xml:space="preserve"> and its relationship with the reality of the armed conflict in Gaza. The research explores the challenges that International Law faces in contexts </w:t>
      </w:r>
      <w:proofErr w:type="spellStart"/>
      <w:r w:rsidRPr="006E5E87">
        <w:rPr>
          <w:rFonts w:ascii="Garamond" w:hAnsi="Garamond"/>
          <w:lang w:val="en-US"/>
        </w:rPr>
        <w:t>characterised</w:t>
      </w:r>
      <w:proofErr w:type="spellEnd"/>
      <w:r w:rsidRPr="006E5E87">
        <w:rPr>
          <w:rFonts w:ascii="Garamond" w:hAnsi="Garamond"/>
          <w:lang w:val="en-US"/>
        </w:rPr>
        <w:t xml:space="preserve"> by instability and extreme material deprivation, highlighting the tension between the logic of the prejudicial referral and the imperative of humanitarian protection in conflict zones. In particular, the study underlines how the legal arguments supporting the decision can be transferred to the assessment of international protection in environments marked by violence, blockade, and the deterioration of essential services. The investigation draws the prejudicial referral closer to the situation in Gaza, proposing a reflection that articulates International Humanitarian Law and international standards for the protection of refugees, as well as the principle of non-refoulement and the prohibition of inhuman treatment.</w:t>
      </w:r>
    </w:p>
    <w:p w14:paraId="14FDCDAE" w14:textId="1618F81C" w:rsidR="00601320" w:rsidRPr="006E5E87" w:rsidRDefault="00E00044" w:rsidP="00FE2203">
      <w:pPr>
        <w:ind w:firstLine="708"/>
        <w:jc w:val="both"/>
        <w:rPr>
          <w:rFonts w:ascii="Garamond" w:hAnsi="Garamond"/>
          <w:lang w:val="en-US"/>
        </w:rPr>
      </w:pPr>
      <w:r w:rsidRPr="006E5E87">
        <w:rPr>
          <w:rFonts w:ascii="Garamond" w:hAnsi="Garamond"/>
          <w:lang w:val="en-US"/>
        </w:rPr>
        <w:t xml:space="preserve">The comparative analysis in this work will be underpinned by an exhaustive review of the </w:t>
      </w:r>
      <w:proofErr w:type="spellStart"/>
      <w:r w:rsidRPr="006E5E87">
        <w:rPr>
          <w:rFonts w:ascii="Garamond" w:hAnsi="Garamond"/>
          <w:lang w:val="en-US"/>
        </w:rPr>
        <w:t>specialised</w:t>
      </w:r>
      <w:proofErr w:type="spellEnd"/>
      <w:r w:rsidRPr="006E5E87">
        <w:rPr>
          <w:rFonts w:ascii="Garamond" w:hAnsi="Garamond"/>
          <w:lang w:val="en-US"/>
        </w:rPr>
        <w:t xml:space="preserve"> literature and the pertinent legal corpus, enabling a critical reflection on the common elements and the particularities of the contexts of prejudicial referral and the armed conflict in Gaza. It aims to contribute to the debate concerning the effectiveness of international judicial decisions in protecting vulnerable populations and in promoting enduring peace, thus broadening the understanding of the applicability of international norms in scenarios of insecurity and pronounced humanitarian deterioration. This methodological approach confines the study to the intersection between Refugee International Law and International Humanitarian Law, </w:t>
      </w:r>
      <w:proofErr w:type="spellStart"/>
      <w:r w:rsidRPr="006E5E87">
        <w:rPr>
          <w:rFonts w:ascii="Garamond" w:hAnsi="Garamond"/>
          <w:lang w:val="en-US"/>
        </w:rPr>
        <w:t>emphasising</w:t>
      </w:r>
      <w:proofErr w:type="spellEnd"/>
      <w:r w:rsidRPr="006E5E87">
        <w:rPr>
          <w:rFonts w:ascii="Garamond" w:hAnsi="Garamond"/>
          <w:lang w:val="en-US"/>
        </w:rPr>
        <w:t xml:space="preserve"> the urgency of rethinking protection mechanisms in the face of contemporary global challenges, as well as the significant role of the Court of Justice of the European Union in the process of European integration.</w:t>
      </w:r>
    </w:p>
    <w:p w14:paraId="624A043D" w14:textId="77777777" w:rsidR="00C520D4" w:rsidRPr="00917DDD" w:rsidRDefault="00C520D4" w:rsidP="00C520D4">
      <w:pPr>
        <w:tabs>
          <w:tab w:val="left" w:pos="5871"/>
        </w:tabs>
        <w:jc w:val="both"/>
        <w:rPr>
          <w:rFonts w:ascii="Garamond" w:hAnsi="Garamond"/>
          <w:lang w:val="en-US"/>
        </w:rPr>
      </w:pPr>
      <w:r w:rsidRPr="00917DDD">
        <w:rPr>
          <w:rFonts w:ascii="Garamond" w:hAnsi="Garamond"/>
          <w:b/>
          <w:bCs/>
          <w:lang w:val="en-US"/>
        </w:rPr>
        <w:t>Keywords</w:t>
      </w:r>
      <w:r w:rsidRPr="00917DDD">
        <w:rPr>
          <w:rFonts w:ascii="Garamond" w:hAnsi="Garamond"/>
          <w:lang w:val="en-US"/>
        </w:rPr>
        <w:t xml:space="preserve">: </w:t>
      </w:r>
      <w:r w:rsidRPr="006B2323">
        <w:rPr>
          <w:rFonts w:ascii="Garamond" w:hAnsi="Garamond"/>
          <w:lang w:val="en"/>
        </w:rPr>
        <w:t xml:space="preserve">Private International Law; </w:t>
      </w:r>
      <w:r w:rsidRPr="00917DDD">
        <w:rPr>
          <w:rFonts w:ascii="Garamond" w:hAnsi="Garamond"/>
          <w:lang w:val="en-US"/>
        </w:rPr>
        <w:t>Prejudicial referral; Armed conflict; Gaza; International Humanitarian Law</w:t>
      </w:r>
    </w:p>
    <w:p w14:paraId="466315D9" w14:textId="77777777" w:rsidR="00C520D4" w:rsidRPr="006E5E87" w:rsidRDefault="00C520D4" w:rsidP="00E00044">
      <w:pPr>
        <w:jc w:val="both"/>
        <w:rPr>
          <w:rFonts w:ascii="Garamond" w:hAnsi="Garamond"/>
          <w:lang w:val="en-US"/>
        </w:rPr>
      </w:pPr>
    </w:p>
    <w:sectPr w:rsidR="00C520D4" w:rsidRPr="006E5E8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E94032" w14:textId="77777777" w:rsidR="00D1011A" w:rsidRDefault="00D1011A" w:rsidP="00091E88">
      <w:pPr>
        <w:spacing w:after="0" w:line="240" w:lineRule="auto"/>
      </w:pPr>
      <w:r>
        <w:separator/>
      </w:r>
    </w:p>
  </w:endnote>
  <w:endnote w:type="continuationSeparator" w:id="0">
    <w:p w14:paraId="088EA1F5" w14:textId="77777777" w:rsidR="00D1011A" w:rsidRDefault="00D1011A" w:rsidP="00091E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Aptos Display">
    <w:altName w:val="Calibri"/>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719C1B" w14:textId="77777777" w:rsidR="00D1011A" w:rsidRDefault="00D1011A" w:rsidP="00091E88">
      <w:pPr>
        <w:spacing w:after="0" w:line="240" w:lineRule="auto"/>
      </w:pPr>
      <w:r>
        <w:separator/>
      </w:r>
    </w:p>
  </w:footnote>
  <w:footnote w:type="continuationSeparator" w:id="0">
    <w:p w14:paraId="5F97B411" w14:textId="77777777" w:rsidR="00D1011A" w:rsidRDefault="00D1011A" w:rsidP="00091E88">
      <w:pPr>
        <w:spacing w:after="0" w:line="240" w:lineRule="auto"/>
      </w:pPr>
      <w:r>
        <w:continuationSeparator/>
      </w:r>
    </w:p>
  </w:footnote>
  <w:footnote w:id="1">
    <w:p w14:paraId="33D968C4" w14:textId="2359DDCA" w:rsidR="006B2323" w:rsidRPr="004F5663" w:rsidRDefault="006B2323" w:rsidP="006B2323">
      <w:pPr>
        <w:pStyle w:val="Textodenotaderodap"/>
        <w:rPr>
          <w:rFonts w:ascii="Garamond" w:hAnsi="Garamond"/>
        </w:rPr>
      </w:pPr>
      <w:r>
        <w:rPr>
          <w:rStyle w:val="Refdenotaderodap"/>
        </w:rPr>
        <w:footnoteRef/>
      </w:r>
      <w:r>
        <w:t xml:space="preserve"> </w:t>
      </w:r>
      <w:r w:rsidR="00CA26C1" w:rsidRPr="00CA26C1">
        <w:rPr>
          <w:rFonts w:ascii="Garamond" w:hAnsi="Garamond"/>
        </w:rPr>
        <w:t xml:space="preserve">Docente da Universidade Portucalense Infante D. Henrique. Investigadora integrada do Instituto Jurídico Portucalense. E-mail: dra@upt.pt ORCID – 0000-0003-4720-1400  </w:t>
      </w:r>
    </w:p>
  </w:footnote>
  <w:footnote w:id="2">
    <w:p w14:paraId="45CA9AD1" w14:textId="59FCF7D9" w:rsidR="00381C83" w:rsidRPr="00381C83" w:rsidRDefault="00381C83">
      <w:pPr>
        <w:pStyle w:val="Textodenotaderodap"/>
        <w:rPr>
          <w:lang w:val="pt-PT"/>
        </w:rPr>
      </w:pPr>
      <w:r>
        <w:rPr>
          <w:rStyle w:val="Refdenotaderodap"/>
        </w:rPr>
        <w:footnoteRef/>
      </w:r>
      <w:r>
        <w:t xml:space="preserve"> </w:t>
      </w:r>
      <w:r w:rsidR="00E00044" w:rsidRPr="00E00044">
        <w:rPr>
          <w:rFonts w:ascii="Garamond" w:hAnsi="Garamond"/>
        </w:rPr>
        <w:t xml:space="preserve">Discente da Universidade Portucalense Infante D. Henrique. Investigadora </w:t>
      </w:r>
      <w:r w:rsidR="00E00044">
        <w:rPr>
          <w:rFonts w:ascii="Garamond" w:hAnsi="Garamond"/>
        </w:rPr>
        <w:t>da Cátedra Jean Monnet – Universidade Federal Uberlândia</w:t>
      </w:r>
      <w:r w:rsidR="00E00044" w:rsidRPr="00E00044">
        <w:rPr>
          <w:rFonts w:ascii="Garamond" w:hAnsi="Garamond"/>
        </w:rPr>
        <w:t>. E-mail: angelikalima@gmail.com ORCID: 0009-0001-7781-2846</w:t>
      </w:r>
      <w:r w:rsidR="00E00044" w:rsidRPr="00E00044">
        <w:rPr>
          <w:lang w:val="pt-PT"/>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8242F"/>
    <w:multiLevelType w:val="multilevel"/>
    <w:tmpl w:val="93CA1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55F1082"/>
    <w:multiLevelType w:val="multilevel"/>
    <w:tmpl w:val="E54897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E88"/>
    <w:rsid w:val="00060240"/>
    <w:rsid w:val="00064D80"/>
    <w:rsid w:val="00091E88"/>
    <w:rsid w:val="000D1083"/>
    <w:rsid w:val="00176E68"/>
    <w:rsid w:val="002173F4"/>
    <w:rsid w:val="002245F5"/>
    <w:rsid w:val="0025311B"/>
    <w:rsid w:val="0029494C"/>
    <w:rsid w:val="00381C83"/>
    <w:rsid w:val="003C1AC9"/>
    <w:rsid w:val="004A042D"/>
    <w:rsid w:val="004A7318"/>
    <w:rsid w:val="004F5663"/>
    <w:rsid w:val="00601320"/>
    <w:rsid w:val="00622DCE"/>
    <w:rsid w:val="006B2323"/>
    <w:rsid w:val="006E5E87"/>
    <w:rsid w:val="007763D8"/>
    <w:rsid w:val="007D7361"/>
    <w:rsid w:val="007E603A"/>
    <w:rsid w:val="00894704"/>
    <w:rsid w:val="00917DDD"/>
    <w:rsid w:val="00932864"/>
    <w:rsid w:val="00935B24"/>
    <w:rsid w:val="009A2EAB"/>
    <w:rsid w:val="00A74691"/>
    <w:rsid w:val="00A93E84"/>
    <w:rsid w:val="00AB1D04"/>
    <w:rsid w:val="00BB3798"/>
    <w:rsid w:val="00C520D4"/>
    <w:rsid w:val="00C83085"/>
    <w:rsid w:val="00CA26C1"/>
    <w:rsid w:val="00D1011A"/>
    <w:rsid w:val="00D644F4"/>
    <w:rsid w:val="00D669D4"/>
    <w:rsid w:val="00DB41D6"/>
    <w:rsid w:val="00E00044"/>
    <w:rsid w:val="00E2275B"/>
    <w:rsid w:val="00E37F81"/>
    <w:rsid w:val="00EA58A7"/>
    <w:rsid w:val="00EC6EC2"/>
    <w:rsid w:val="00EF3792"/>
    <w:rsid w:val="00FE2203"/>
    <w:rsid w:val="00FF5DE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62B30"/>
  <w15:chartTrackingRefBased/>
  <w15:docId w15:val="{B7AF2AEA-FD3D-4F64-87EF-51564B963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pt-B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ter"/>
    <w:autoRedefine/>
    <w:uiPriority w:val="9"/>
    <w:qFormat/>
    <w:rsid w:val="000D1083"/>
    <w:pPr>
      <w:keepNext/>
      <w:keepLines/>
      <w:spacing w:before="360" w:after="80"/>
      <w:outlineLvl w:val="0"/>
    </w:pPr>
    <w:rPr>
      <w:rFonts w:ascii="Garamond" w:eastAsiaTheme="majorEastAsia" w:hAnsi="Garamond" w:cstheme="majorBidi"/>
      <w:b/>
      <w:color w:val="0F4761" w:themeColor="accent1" w:themeShade="BF"/>
      <w:szCs w:val="40"/>
    </w:rPr>
  </w:style>
  <w:style w:type="paragraph" w:styleId="Ttulo2">
    <w:name w:val="heading 2"/>
    <w:basedOn w:val="Normal"/>
    <w:next w:val="Normal"/>
    <w:link w:val="Ttulo2Carter"/>
    <w:uiPriority w:val="9"/>
    <w:semiHidden/>
    <w:unhideWhenUsed/>
    <w:qFormat/>
    <w:rsid w:val="00091E8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ter"/>
    <w:uiPriority w:val="9"/>
    <w:semiHidden/>
    <w:unhideWhenUsed/>
    <w:qFormat/>
    <w:rsid w:val="00091E8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ter"/>
    <w:uiPriority w:val="9"/>
    <w:semiHidden/>
    <w:unhideWhenUsed/>
    <w:qFormat/>
    <w:rsid w:val="00091E8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ter"/>
    <w:uiPriority w:val="9"/>
    <w:semiHidden/>
    <w:unhideWhenUsed/>
    <w:qFormat/>
    <w:rsid w:val="00091E8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ter"/>
    <w:uiPriority w:val="9"/>
    <w:semiHidden/>
    <w:unhideWhenUsed/>
    <w:qFormat/>
    <w:rsid w:val="00091E8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ter"/>
    <w:uiPriority w:val="9"/>
    <w:semiHidden/>
    <w:unhideWhenUsed/>
    <w:qFormat/>
    <w:rsid w:val="00091E8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ter"/>
    <w:uiPriority w:val="9"/>
    <w:semiHidden/>
    <w:unhideWhenUsed/>
    <w:qFormat/>
    <w:rsid w:val="00091E8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ter"/>
    <w:uiPriority w:val="9"/>
    <w:semiHidden/>
    <w:unhideWhenUsed/>
    <w:qFormat/>
    <w:rsid w:val="00091E88"/>
    <w:pPr>
      <w:keepNext/>
      <w:keepLines/>
      <w:spacing w:after="0"/>
      <w:outlineLvl w:val="8"/>
    </w:pPr>
    <w:rPr>
      <w:rFonts w:eastAsiaTheme="majorEastAsia" w:cstheme="majorBidi"/>
      <w:color w:val="272727" w:themeColor="text1" w:themeTint="D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0D1083"/>
    <w:rPr>
      <w:rFonts w:ascii="Garamond" w:eastAsiaTheme="majorEastAsia" w:hAnsi="Garamond" w:cstheme="majorBidi"/>
      <w:b/>
      <w:color w:val="0F4761" w:themeColor="accent1" w:themeShade="BF"/>
      <w:szCs w:val="40"/>
    </w:rPr>
  </w:style>
  <w:style w:type="character" w:customStyle="1" w:styleId="Ttulo2Carter">
    <w:name w:val="Título 2 Caráter"/>
    <w:basedOn w:val="Tipodeletrapredefinidodopargrafo"/>
    <w:link w:val="Ttulo2"/>
    <w:uiPriority w:val="9"/>
    <w:semiHidden/>
    <w:rsid w:val="00091E88"/>
    <w:rPr>
      <w:rFonts w:asciiTheme="majorHAnsi" w:eastAsiaTheme="majorEastAsia" w:hAnsiTheme="majorHAnsi" w:cstheme="majorBidi"/>
      <w:color w:val="0F4761" w:themeColor="accent1" w:themeShade="BF"/>
      <w:sz w:val="32"/>
      <w:szCs w:val="32"/>
    </w:rPr>
  </w:style>
  <w:style w:type="character" w:customStyle="1" w:styleId="Ttulo3Carter">
    <w:name w:val="Título 3 Caráter"/>
    <w:basedOn w:val="Tipodeletrapredefinidodopargrafo"/>
    <w:link w:val="Ttulo3"/>
    <w:uiPriority w:val="9"/>
    <w:semiHidden/>
    <w:rsid w:val="00091E88"/>
    <w:rPr>
      <w:rFonts w:eastAsiaTheme="majorEastAsia" w:cstheme="majorBidi"/>
      <w:color w:val="0F4761" w:themeColor="accent1" w:themeShade="BF"/>
      <w:sz w:val="28"/>
      <w:szCs w:val="28"/>
    </w:rPr>
  </w:style>
  <w:style w:type="character" w:customStyle="1" w:styleId="Ttulo4Carter">
    <w:name w:val="Título 4 Caráter"/>
    <w:basedOn w:val="Tipodeletrapredefinidodopargrafo"/>
    <w:link w:val="Ttulo4"/>
    <w:uiPriority w:val="9"/>
    <w:semiHidden/>
    <w:rsid w:val="00091E88"/>
    <w:rPr>
      <w:rFonts w:eastAsiaTheme="majorEastAsia" w:cstheme="majorBidi"/>
      <w:i/>
      <w:iCs/>
      <w:color w:val="0F4761" w:themeColor="accent1" w:themeShade="BF"/>
    </w:rPr>
  </w:style>
  <w:style w:type="character" w:customStyle="1" w:styleId="Ttulo5Carter">
    <w:name w:val="Título 5 Caráter"/>
    <w:basedOn w:val="Tipodeletrapredefinidodopargrafo"/>
    <w:link w:val="Ttulo5"/>
    <w:uiPriority w:val="9"/>
    <w:semiHidden/>
    <w:rsid w:val="00091E88"/>
    <w:rPr>
      <w:rFonts w:eastAsiaTheme="majorEastAsia" w:cstheme="majorBidi"/>
      <w:color w:val="0F4761" w:themeColor="accent1" w:themeShade="BF"/>
    </w:rPr>
  </w:style>
  <w:style w:type="character" w:customStyle="1" w:styleId="Ttulo6Carter">
    <w:name w:val="Título 6 Caráter"/>
    <w:basedOn w:val="Tipodeletrapredefinidodopargrafo"/>
    <w:link w:val="Ttulo6"/>
    <w:uiPriority w:val="9"/>
    <w:semiHidden/>
    <w:rsid w:val="00091E88"/>
    <w:rPr>
      <w:rFonts w:eastAsiaTheme="majorEastAsia" w:cstheme="majorBidi"/>
      <w:i/>
      <w:iCs/>
      <w:color w:val="595959" w:themeColor="text1" w:themeTint="A6"/>
    </w:rPr>
  </w:style>
  <w:style w:type="character" w:customStyle="1" w:styleId="Ttulo7Carter">
    <w:name w:val="Título 7 Caráter"/>
    <w:basedOn w:val="Tipodeletrapredefinidodopargrafo"/>
    <w:link w:val="Ttulo7"/>
    <w:uiPriority w:val="9"/>
    <w:semiHidden/>
    <w:rsid w:val="00091E88"/>
    <w:rPr>
      <w:rFonts w:eastAsiaTheme="majorEastAsia" w:cstheme="majorBidi"/>
      <w:color w:val="595959" w:themeColor="text1" w:themeTint="A6"/>
    </w:rPr>
  </w:style>
  <w:style w:type="character" w:customStyle="1" w:styleId="Ttulo8Carter">
    <w:name w:val="Título 8 Caráter"/>
    <w:basedOn w:val="Tipodeletrapredefinidodopargrafo"/>
    <w:link w:val="Ttulo8"/>
    <w:uiPriority w:val="9"/>
    <w:semiHidden/>
    <w:rsid w:val="00091E88"/>
    <w:rPr>
      <w:rFonts w:eastAsiaTheme="majorEastAsia" w:cstheme="majorBidi"/>
      <w:i/>
      <w:iCs/>
      <w:color w:val="272727" w:themeColor="text1" w:themeTint="D8"/>
    </w:rPr>
  </w:style>
  <w:style w:type="character" w:customStyle="1" w:styleId="Ttulo9Carter">
    <w:name w:val="Título 9 Caráter"/>
    <w:basedOn w:val="Tipodeletrapredefinidodopargrafo"/>
    <w:link w:val="Ttulo9"/>
    <w:uiPriority w:val="9"/>
    <w:semiHidden/>
    <w:rsid w:val="00091E88"/>
    <w:rPr>
      <w:rFonts w:eastAsiaTheme="majorEastAsia" w:cstheme="majorBidi"/>
      <w:color w:val="272727" w:themeColor="text1" w:themeTint="D8"/>
    </w:rPr>
  </w:style>
  <w:style w:type="paragraph" w:styleId="Ttulo">
    <w:name w:val="Title"/>
    <w:basedOn w:val="Normal"/>
    <w:next w:val="Normal"/>
    <w:link w:val="TtuloCarter"/>
    <w:uiPriority w:val="10"/>
    <w:qFormat/>
    <w:rsid w:val="00091E8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ter">
    <w:name w:val="Título Caráter"/>
    <w:basedOn w:val="Tipodeletrapredefinidodopargrafo"/>
    <w:link w:val="Ttulo"/>
    <w:uiPriority w:val="10"/>
    <w:rsid w:val="00091E8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ter"/>
    <w:uiPriority w:val="11"/>
    <w:qFormat/>
    <w:rsid w:val="00091E88"/>
    <w:pPr>
      <w:numPr>
        <w:ilvl w:val="1"/>
      </w:numPr>
    </w:pPr>
    <w:rPr>
      <w:rFonts w:eastAsiaTheme="majorEastAsia" w:cstheme="majorBidi"/>
      <w:color w:val="595959" w:themeColor="text1" w:themeTint="A6"/>
      <w:spacing w:val="15"/>
      <w:sz w:val="28"/>
      <w:szCs w:val="28"/>
    </w:rPr>
  </w:style>
  <w:style w:type="character" w:customStyle="1" w:styleId="SubttuloCarter">
    <w:name w:val="Subtítulo Caráter"/>
    <w:basedOn w:val="Tipodeletrapredefinidodopargrafo"/>
    <w:link w:val="Subttulo"/>
    <w:uiPriority w:val="11"/>
    <w:rsid w:val="00091E88"/>
    <w:rPr>
      <w:rFonts w:eastAsiaTheme="majorEastAsia" w:cstheme="majorBidi"/>
      <w:color w:val="595959" w:themeColor="text1" w:themeTint="A6"/>
      <w:spacing w:val="15"/>
      <w:sz w:val="28"/>
      <w:szCs w:val="28"/>
    </w:rPr>
  </w:style>
  <w:style w:type="paragraph" w:styleId="Citao">
    <w:name w:val="Quote"/>
    <w:basedOn w:val="Normal"/>
    <w:next w:val="Normal"/>
    <w:link w:val="CitaoCarter"/>
    <w:uiPriority w:val="29"/>
    <w:qFormat/>
    <w:rsid w:val="00091E88"/>
    <w:pPr>
      <w:spacing w:before="160"/>
      <w:jc w:val="center"/>
    </w:pPr>
    <w:rPr>
      <w:i/>
      <w:iCs/>
      <w:color w:val="404040" w:themeColor="text1" w:themeTint="BF"/>
    </w:rPr>
  </w:style>
  <w:style w:type="character" w:customStyle="1" w:styleId="CitaoCarter">
    <w:name w:val="Citação Caráter"/>
    <w:basedOn w:val="Tipodeletrapredefinidodopargrafo"/>
    <w:link w:val="Citao"/>
    <w:uiPriority w:val="29"/>
    <w:rsid w:val="00091E88"/>
    <w:rPr>
      <w:i/>
      <w:iCs/>
      <w:color w:val="404040" w:themeColor="text1" w:themeTint="BF"/>
    </w:rPr>
  </w:style>
  <w:style w:type="paragraph" w:styleId="PargrafodaLista">
    <w:name w:val="List Paragraph"/>
    <w:basedOn w:val="Normal"/>
    <w:uiPriority w:val="34"/>
    <w:qFormat/>
    <w:rsid w:val="00091E88"/>
    <w:pPr>
      <w:ind w:left="720"/>
      <w:contextualSpacing/>
    </w:pPr>
  </w:style>
  <w:style w:type="character" w:styleId="nfaseIntensa">
    <w:name w:val="Intense Emphasis"/>
    <w:basedOn w:val="Tipodeletrapredefinidodopargrafo"/>
    <w:uiPriority w:val="21"/>
    <w:qFormat/>
    <w:rsid w:val="00091E88"/>
    <w:rPr>
      <w:i/>
      <w:iCs/>
      <w:color w:val="0F4761" w:themeColor="accent1" w:themeShade="BF"/>
    </w:rPr>
  </w:style>
  <w:style w:type="paragraph" w:styleId="CitaoIntensa">
    <w:name w:val="Intense Quote"/>
    <w:basedOn w:val="Normal"/>
    <w:next w:val="Normal"/>
    <w:link w:val="CitaoIntensaCarter"/>
    <w:uiPriority w:val="30"/>
    <w:qFormat/>
    <w:rsid w:val="00091E8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arter">
    <w:name w:val="Citação Intensa Caráter"/>
    <w:basedOn w:val="Tipodeletrapredefinidodopargrafo"/>
    <w:link w:val="CitaoIntensa"/>
    <w:uiPriority w:val="30"/>
    <w:rsid w:val="00091E88"/>
    <w:rPr>
      <w:i/>
      <w:iCs/>
      <w:color w:val="0F4761" w:themeColor="accent1" w:themeShade="BF"/>
    </w:rPr>
  </w:style>
  <w:style w:type="character" w:styleId="RefernciaIntensa">
    <w:name w:val="Intense Reference"/>
    <w:basedOn w:val="Tipodeletrapredefinidodopargrafo"/>
    <w:uiPriority w:val="32"/>
    <w:qFormat/>
    <w:rsid w:val="00091E88"/>
    <w:rPr>
      <w:b/>
      <w:bCs/>
      <w:smallCaps/>
      <w:color w:val="0F4761" w:themeColor="accent1" w:themeShade="BF"/>
      <w:spacing w:val="5"/>
    </w:rPr>
  </w:style>
  <w:style w:type="paragraph" w:styleId="Textodenotaderodap">
    <w:name w:val="footnote text"/>
    <w:basedOn w:val="Normal"/>
    <w:link w:val="TextodenotaderodapCarter"/>
    <w:uiPriority w:val="99"/>
    <w:semiHidden/>
    <w:unhideWhenUsed/>
    <w:rsid w:val="00091E88"/>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semiHidden/>
    <w:rsid w:val="00091E88"/>
    <w:rPr>
      <w:sz w:val="20"/>
      <w:szCs w:val="20"/>
    </w:rPr>
  </w:style>
  <w:style w:type="character" w:styleId="Refdenotaderodap">
    <w:name w:val="footnote reference"/>
    <w:basedOn w:val="Tipodeletrapredefinidodopargrafo"/>
    <w:uiPriority w:val="99"/>
    <w:semiHidden/>
    <w:unhideWhenUsed/>
    <w:rsid w:val="00091E88"/>
    <w:rPr>
      <w:vertAlign w:val="superscript"/>
    </w:rPr>
  </w:style>
  <w:style w:type="paragraph" w:styleId="HTMLpr-formatado">
    <w:name w:val="HTML Preformatted"/>
    <w:basedOn w:val="Normal"/>
    <w:link w:val="HTMLpr-formatadoCarter"/>
    <w:uiPriority w:val="99"/>
    <w:semiHidden/>
    <w:unhideWhenUsed/>
    <w:rsid w:val="006B2323"/>
    <w:pPr>
      <w:spacing w:after="0" w:line="240" w:lineRule="auto"/>
    </w:pPr>
    <w:rPr>
      <w:rFonts w:ascii="Consolas" w:hAnsi="Consolas"/>
      <w:sz w:val="20"/>
      <w:szCs w:val="20"/>
    </w:rPr>
  </w:style>
  <w:style w:type="character" w:customStyle="1" w:styleId="HTMLpr-formatadoCarter">
    <w:name w:val="HTML pré-formatado Caráter"/>
    <w:basedOn w:val="Tipodeletrapredefinidodopargrafo"/>
    <w:link w:val="HTMLpr-formatado"/>
    <w:uiPriority w:val="99"/>
    <w:semiHidden/>
    <w:rsid w:val="006B2323"/>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447784">
      <w:bodyDiv w:val="1"/>
      <w:marLeft w:val="0"/>
      <w:marRight w:val="0"/>
      <w:marTop w:val="0"/>
      <w:marBottom w:val="0"/>
      <w:divBdr>
        <w:top w:val="none" w:sz="0" w:space="0" w:color="auto"/>
        <w:left w:val="none" w:sz="0" w:space="0" w:color="auto"/>
        <w:bottom w:val="none" w:sz="0" w:space="0" w:color="auto"/>
        <w:right w:val="none" w:sz="0" w:space="0" w:color="auto"/>
      </w:divBdr>
    </w:div>
    <w:div w:id="526941514">
      <w:bodyDiv w:val="1"/>
      <w:marLeft w:val="0"/>
      <w:marRight w:val="0"/>
      <w:marTop w:val="0"/>
      <w:marBottom w:val="0"/>
      <w:divBdr>
        <w:top w:val="none" w:sz="0" w:space="0" w:color="auto"/>
        <w:left w:val="none" w:sz="0" w:space="0" w:color="auto"/>
        <w:bottom w:val="none" w:sz="0" w:space="0" w:color="auto"/>
        <w:right w:val="none" w:sz="0" w:space="0" w:color="auto"/>
      </w:divBdr>
      <w:divsChild>
        <w:div w:id="2050950252">
          <w:marLeft w:val="0"/>
          <w:marRight w:val="0"/>
          <w:marTop w:val="0"/>
          <w:marBottom w:val="0"/>
          <w:divBdr>
            <w:top w:val="none" w:sz="0" w:space="0" w:color="auto"/>
            <w:left w:val="none" w:sz="0" w:space="0" w:color="auto"/>
            <w:bottom w:val="none" w:sz="0" w:space="0" w:color="auto"/>
            <w:right w:val="none" w:sz="0" w:space="0" w:color="auto"/>
          </w:divBdr>
        </w:div>
      </w:divsChild>
    </w:div>
    <w:div w:id="629634914">
      <w:bodyDiv w:val="1"/>
      <w:marLeft w:val="0"/>
      <w:marRight w:val="0"/>
      <w:marTop w:val="0"/>
      <w:marBottom w:val="0"/>
      <w:divBdr>
        <w:top w:val="none" w:sz="0" w:space="0" w:color="auto"/>
        <w:left w:val="none" w:sz="0" w:space="0" w:color="auto"/>
        <w:bottom w:val="none" w:sz="0" w:space="0" w:color="auto"/>
        <w:right w:val="none" w:sz="0" w:space="0" w:color="auto"/>
      </w:divBdr>
    </w:div>
    <w:div w:id="657613065">
      <w:bodyDiv w:val="1"/>
      <w:marLeft w:val="0"/>
      <w:marRight w:val="0"/>
      <w:marTop w:val="0"/>
      <w:marBottom w:val="0"/>
      <w:divBdr>
        <w:top w:val="none" w:sz="0" w:space="0" w:color="auto"/>
        <w:left w:val="none" w:sz="0" w:space="0" w:color="auto"/>
        <w:bottom w:val="none" w:sz="0" w:space="0" w:color="auto"/>
        <w:right w:val="none" w:sz="0" w:space="0" w:color="auto"/>
      </w:divBdr>
    </w:div>
    <w:div w:id="731852455">
      <w:bodyDiv w:val="1"/>
      <w:marLeft w:val="0"/>
      <w:marRight w:val="0"/>
      <w:marTop w:val="0"/>
      <w:marBottom w:val="0"/>
      <w:divBdr>
        <w:top w:val="none" w:sz="0" w:space="0" w:color="auto"/>
        <w:left w:val="none" w:sz="0" w:space="0" w:color="auto"/>
        <w:bottom w:val="none" w:sz="0" w:space="0" w:color="auto"/>
        <w:right w:val="none" w:sz="0" w:space="0" w:color="auto"/>
      </w:divBdr>
    </w:div>
    <w:div w:id="854809569">
      <w:bodyDiv w:val="1"/>
      <w:marLeft w:val="0"/>
      <w:marRight w:val="0"/>
      <w:marTop w:val="0"/>
      <w:marBottom w:val="0"/>
      <w:divBdr>
        <w:top w:val="none" w:sz="0" w:space="0" w:color="auto"/>
        <w:left w:val="none" w:sz="0" w:space="0" w:color="auto"/>
        <w:bottom w:val="none" w:sz="0" w:space="0" w:color="auto"/>
        <w:right w:val="none" w:sz="0" w:space="0" w:color="auto"/>
      </w:divBdr>
    </w:div>
    <w:div w:id="994652309">
      <w:bodyDiv w:val="1"/>
      <w:marLeft w:val="0"/>
      <w:marRight w:val="0"/>
      <w:marTop w:val="0"/>
      <w:marBottom w:val="0"/>
      <w:divBdr>
        <w:top w:val="none" w:sz="0" w:space="0" w:color="auto"/>
        <w:left w:val="none" w:sz="0" w:space="0" w:color="auto"/>
        <w:bottom w:val="none" w:sz="0" w:space="0" w:color="auto"/>
        <w:right w:val="none" w:sz="0" w:space="0" w:color="auto"/>
      </w:divBdr>
    </w:div>
    <w:div w:id="1103648439">
      <w:bodyDiv w:val="1"/>
      <w:marLeft w:val="0"/>
      <w:marRight w:val="0"/>
      <w:marTop w:val="0"/>
      <w:marBottom w:val="0"/>
      <w:divBdr>
        <w:top w:val="none" w:sz="0" w:space="0" w:color="auto"/>
        <w:left w:val="none" w:sz="0" w:space="0" w:color="auto"/>
        <w:bottom w:val="none" w:sz="0" w:space="0" w:color="auto"/>
        <w:right w:val="none" w:sz="0" w:space="0" w:color="auto"/>
      </w:divBdr>
    </w:div>
    <w:div w:id="1106851426">
      <w:bodyDiv w:val="1"/>
      <w:marLeft w:val="0"/>
      <w:marRight w:val="0"/>
      <w:marTop w:val="0"/>
      <w:marBottom w:val="0"/>
      <w:divBdr>
        <w:top w:val="none" w:sz="0" w:space="0" w:color="auto"/>
        <w:left w:val="none" w:sz="0" w:space="0" w:color="auto"/>
        <w:bottom w:val="none" w:sz="0" w:space="0" w:color="auto"/>
        <w:right w:val="none" w:sz="0" w:space="0" w:color="auto"/>
      </w:divBdr>
    </w:div>
    <w:div w:id="1110590285">
      <w:bodyDiv w:val="1"/>
      <w:marLeft w:val="0"/>
      <w:marRight w:val="0"/>
      <w:marTop w:val="0"/>
      <w:marBottom w:val="0"/>
      <w:divBdr>
        <w:top w:val="none" w:sz="0" w:space="0" w:color="auto"/>
        <w:left w:val="none" w:sz="0" w:space="0" w:color="auto"/>
        <w:bottom w:val="none" w:sz="0" w:space="0" w:color="auto"/>
        <w:right w:val="none" w:sz="0" w:space="0" w:color="auto"/>
      </w:divBdr>
      <w:divsChild>
        <w:div w:id="1866479581">
          <w:marLeft w:val="0"/>
          <w:marRight w:val="0"/>
          <w:marTop w:val="0"/>
          <w:marBottom w:val="0"/>
          <w:divBdr>
            <w:top w:val="none" w:sz="0" w:space="0" w:color="auto"/>
            <w:left w:val="none" w:sz="0" w:space="0" w:color="auto"/>
            <w:bottom w:val="none" w:sz="0" w:space="0" w:color="auto"/>
            <w:right w:val="none" w:sz="0" w:space="0" w:color="auto"/>
          </w:divBdr>
          <w:divsChild>
            <w:div w:id="912399535">
              <w:marLeft w:val="0"/>
              <w:marRight w:val="0"/>
              <w:marTop w:val="0"/>
              <w:marBottom w:val="0"/>
              <w:divBdr>
                <w:top w:val="none" w:sz="0" w:space="0" w:color="auto"/>
                <w:left w:val="none" w:sz="0" w:space="0" w:color="auto"/>
                <w:bottom w:val="none" w:sz="0" w:space="0" w:color="auto"/>
                <w:right w:val="none" w:sz="0" w:space="0" w:color="auto"/>
              </w:divBdr>
              <w:divsChild>
                <w:div w:id="1758134373">
                  <w:marLeft w:val="0"/>
                  <w:marRight w:val="0"/>
                  <w:marTop w:val="0"/>
                  <w:marBottom w:val="0"/>
                  <w:divBdr>
                    <w:top w:val="none" w:sz="0" w:space="0" w:color="auto"/>
                    <w:left w:val="none" w:sz="0" w:space="0" w:color="auto"/>
                    <w:bottom w:val="none" w:sz="0" w:space="0" w:color="auto"/>
                    <w:right w:val="none" w:sz="0" w:space="0" w:color="auto"/>
                  </w:divBdr>
                  <w:divsChild>
                    <w:div w:id="143721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397412">
          <w:marLeft w:val="0"/>
          <w:marRight w:val="0"/>
          <w:marTop w:val="0"/>
          <w:marBottom w:val="0"/>
          <w:divBdr>
            <w:top w:val="none" w:sz="0" w:space="0" w:color="auto"/>
            <w:left w:val="none" w:sz="0" w:space="0" w:color="auto"/>
            <w:bottom w:val="none" w:sz="0" w:space="0" w:color="auto"/>
            <w:right w:val="none" w:sz="0" w:space="0" w:color="auto"/>
          </w:divBdr>
          <w:divsChild>
            <w:div w:id="947930595">
              <w:marLeft w:val="0"/>
              <w:marRight w:val="0"/>
              <w:marTop w:val="0"/>
              <w:marBottom w:val="0"/>
              <w:divBdr>
                <w:top w:val="none" w:sz="0" w:space="0" w:color="auto"/>
                <w:left w:val="none" w:sz="0" w:space="0" w:color="auto"/>
                <w:bottom w:val="none" w:sz="0" w:space="0" w:color="auto"/>
                <w:right w:val="none" w:sz="0" w:space="0" w:color="auto"/>
              </w:divBdr>
              <w:divsChild>
                <w:div w:id="75913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175673">
      <w:bodyDiv w:val="1"/>
      <w:marLeft w:val="0"/>
      <w:marRight w:val="0"/>
      <w:marTop w:val="0"/>
      <w:marBottom w:val="0"/>
      <w:divBdr>
        <w:top w:val="none" w:sz="0" w:space="0" w:color="auto"/>
        <w:left w:val="none" w:sz="0" w:space="0" w:color="auto"/>
        <w:bottom w:val="none" w:sz="0" w:space="0" w:color="auto"/>
        <w:right w:val="none" w:sz="0" w:space="0" w:color="auto"/>
      </w:divBdr>
    </w:div>
    <w:div w:id="1352879171">
      <w:bodyDiv w:val="1"/>
      <w:marLeft w:val="0"/>
      <w:marRight w:val="0"/>
      <w:marTop w:val="0"/>
      <w:marBottom w:val="0"/>
      <w:divBdr>
        <w:top w:val="none" w:sz="0" w:space="0" w:color="auto"/>
        <w:left w:val="none" w:sz="0" w:space="0" w:color="auto"/>
        <w:bottom w:val="none" w:sz="0" w:space="0" w:color="auto"/>
        <w:right w:val="none" w:sz="0" w:space="0" w:color="auto"/>
      </w:divBdr>
    </w:div>
    <w:div w:id="1353337033">
      <w:bodyDiv w:val="1"/>
      <w:marLeft w:val="0"/>
      <w:marRight w:val="0"/>
      <w:marTop w:val="0"/>
      <w:marBottom w:val="0"/>
      <w:divBdr>
        <w:top w:val="none" w:sz="0" w:space="0" w:color="auto"/>
        <w:left w:val="none" w:sz="0" w:space="0" w:color="auto"/>
        <w:bottom w:val="none" w:sz="0" w:space="0" w:color="auto"/>
        <w:right w:val="none" w:sz="0" w:space="0" w:color="auto"/>
      </w:divBdr>
    </w:div>
    <w:div w:id="1654870358">
      <w:bodyDiv w:val="1"/>
      <w:marLeft w:val="0"/>
      <w:marRight w:val="0"/>
      <w:marTop w:val="0"/>
      <w:marBottom w:val="0"/>
      <w:divBdr>
        <w:top w:val="none" w:sz="0" w:space="0" w:color="auto"/>
        <w:left w:val="none" w:sz="0" w:space="0" w:color="auto"/>
        <w:bottom w:val="none" w:sz="0" w:space="0" w:color="auto"/>
        <w:right w:val="none" w:sz="0" w:space="0" w:color="auto"/>
      </w:divBdr>
    </w:div>
    <w:div w:id="1800610035">
      <w:bodyDiv w:val="1"/>
      <w:marLeft w:val="0"/>
      <w:marRight w:val="0"/>
      <w:marTop w:val="0"/>
      <w:marBottom w:val="0"/>
      <w:divBdr>
        <w:top w:val="none" w:sz="0" w:space="0" w:color="auto"/>
        <w:left w:val="none" w:sz="0" w:space="0" w:color="auto"/>
        <w:bottom w:val="none" w:sz="0" w:space="0" w:color="auto"/>
        <w:right w:val="none" w:sz="0" w:space="0" w:color="auto"/>
      </w:divBdr>
    </w:div>
    <w:div w:id="1930120069">
      <w:bodyDiv w:val="1"/>
      <w:marLeft w:val="0"/>
      <w:marRight w:val="0"/>
      <w:marTop w:val="0"/>
      <w:marBottom w:val="0"/>
      <w:divBdr>
        <w:top w:val="none" w:sz="0" w:space="0" w:color="auto"/>
        <w:left w:val="none" w:sz="0" w:space="0" w:color="auto"/>
        <w:bottom w:val="none" w:sz="0" w:space="0" w:color="auto"/>
        <w:right w:val="none" w:sz="0" w:space="0" w:color="auto"/>
      </w:divBdr>
      <w:divsChild>
        <w:div w:id="777680687">
          <w:marLeft w:val="0"/>
          <w:marRight w:val="0"/>
          <w:marTop w:val="0"/>
          <w:marBottom w:val="0"/>
          <w:divBdr>
            <w:top w:val="none" w:sz="0" w:space="0" w:color="auto"/>
            <w:left w:val="none" w:sz="0" w:space="0" w:color="auto"/>
            <w:bottom w:val="none" w:sz="0" w:space="0" w:color="auto"/>
            <w:right w:val="none" w:sz="0" w:space="0" w:color="auto"/>
          </w:divBdr>
          <w:divsChild>
            <w:div w:id="569080461">
              <w:marLeft w:val="0"/>
              <w:marRight w:val="0"/>
              <w:marTop w:val="0"/>
              <w:marBottom w:val="0"/>
              <w:divBdr>
                <w:top w:val="none" w:sz="0" w:space="0" w:color="auto"/>
                <w:left w:val="none" w:sz="0" w:space="0" w:color="auto"/>
                <w:bottom w:val="none" w:sz="0" w:space="0" w:color="auto"/>
                <w:right w:val="none" w:sz="0" w:space="0" w:color="auto"/>
              </w:divBdr>
              <w:divsChild>
                <w:div w:id="2004043161">
                  <w:marLeft w:val="0"/>
                  <w:marRight w:val="0"/>
                  <w:marTop w:val="0"/>
                  <w:marBottom w:val="0"/>
                  <w:divBdr>
                    <w:top w:val="none" w:sz="0" w:space="0" w:color="auto"/>
                    <w:left w:val="none" w:sz="0" w:space="0" w:color="auto"/>
                    <w:bottom w:val="none" w:sz="0" w:space="0" w:color="auto"/>
                    <w:right w:val="none" w:sz="0" w:space="0" w:color="auto"/>
                  </w:divBdr>
                  <w:divsChild>
                    <w:div w:id="45236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037794">
          <w:marLeft w:val="0"/>
          <w:marRight w:val="0"/>
          <w:marTop w:val="0"/>
          <w:marBottom w:val="0"/>
          <w:divBdr>
            <w:top w:val="none" w:sz="0" w:space="0" w:color="auto"/>
            <w:left w:val="none" w:sz="0" w:space="0" w:color="auto"/>
            <w:bottom w:val="none" w:sz="0" w:space="0" w:color="auto"/>
            <w:right w:val="none" w:sz="0" w:space="0" w:color="auto"/>
          </w:divBdr>
          <w:divsChild>
            <w:div w:id="1057050849">
              <w:marLeft w:val="0"/>
              <w:marRight w:val="0"/>
              <w:marTop w:val="0"/>
              <w:marBottom w:val="0"/>
              <w:divBdr>
                <w:top w:val="none" w:sz="0" w:space="0" w:color="auto"/>
                <w:left w:val="none" w:sz="0" w:space="0" w:color="auto"/>
                <w:bottom w:val="none" w:sz="0" w:space="0" w:color="auto"/>
                <w:right w:val="none" w:sz="0" w:space="0" w:color="auto"/>
              </w:divBdr>
              <w:divsChild>
                <w:div w:id="203183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332487">
      <w:bodyDiv w:val="1"/>
      <w:marLeft w:val="0"/>
      <w:marRight w:val="0"/>
      <w:marTop w:val="0"/>
      <w:marBottom w:val="0"/>
      <w:divBdr>
        <w:top w:val="none" w:sz="0" w:space="0" w:color="auto"/>
        <w:left w:val="none" w:sz="0" w:space="0" w:color="auto"/>
        <w:bottom w:val="none" w:sz="0" w:space="0" w:color="auto"/>
        <w:right w:val="none" w:sz="0" w:space="0" w:color="auto"/>
      </w:divBdr>
    </w:div>
    <w:div w:id="2055107703">
      <w:bodyDiv w:val="1"/>
      <w:marLeft w:val="0"/>
      <w:marRight w:val="0"/>
      <w:marTop w:val="0"/>
      <w:marBottom w:val="0"/>
      <w:divBdr>
        <w:top w:val="none" w:sz="0" w:space="0" w:color="auto"/>
        <w:left w:val="none" w:sz="0" w:space="0" w:color="auto"/>
        <w:bottom w:val="none" w:sz="0" w:space="0" w:color="auto"/>
        <w:right w:val="none" w:sz="0" w:space="0" w:color="auto"/>
      </w:divBdr>
      <w:divsChild>
        <w:div w:id="518582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A0854D-B9F0-472D-BA74-D5952EAAE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730</Words>
  <Characters>3945</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Mariana Dares</dc:creator>
  <cp:keywords/>
  <dc:description/>
  <cp:lastModifiedBy>Filipa Maria Sousa Marinho da Silva</cp:lastModifiedBy>
  <cp:revision>2</cp:revision>
  <dcterms:created xsi:type="dcterms:W3CDTF">2025-05-27T14:37:00Z</dcterms:created>
  <dcterms:modified xsi:type="dcterms:W3CDTF">2025-05-27T14:37:00Z</dcterms:modified>
</cp:coreProperties>
</file>