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6C6E30" w14:textId="1D7FB899" w:rsidR="006F1ECA" w:rsidRDefault="00721202" w:rsidP="00721202">
      <w:pPr>
        <w:ind w:left="-1701"/>
        <w:jc w:val="center"/>
      </w:pPr>
      <w:r>
        <w:rPr>
          <w:noProof/>
        </w:rPr>
        <w:drawing>
          <wp:inline distT="0" distB="0" distL="0" distR="0" wp14:anchorId="47D9875E" wp14:editId="1EA8C91A">
            <wp:extent cx="7702396" cy="2838450"/>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t="7276" r="1400" b="47302"/>
                    <a:stretch/>
                  </pic:blipFill>
                  <pic:spPr bwMode="auto">
                    <a:xfrm>
                      <a:off x="0" y="0"/>
                      <a:ext cx="7704370" cy="2839177"/>
                    </a:xfrm>
                    <a:prstGeom prst="rect">
                      <a:avLst/>
                    </a:prstGeom>
                    <a:ln>
                      <a:noFill/>
                    </a:ln>
                    <a:extLst>
                      <a:ext uri="{53640926-AAD7-44D8-BBD7-CCE9431645EC}">
                        <a14:shadowObscured xmlns:a14="http://schemas.microsoft.com/office/drawing/2010/main"/>
                      </a:ext>
                    </a:extLst>
                  </pic:spPr>
                </pic:pic>
              </a:graphicData>
            </a:graphic>
          </wp:inline>
        </w:drawing>
      </w:r>
    </w:p>
    <w:p w14:paraId="708A8299" w14:textId="77777777" w:rsidR="00B91617" w:rsidRDefault="00C23967" w:rsidP="00B91617">
      <w:pPr>
        <w:pStyle w:val="Ttulo3"/>
        <w:shd w:val="clear" w:color="auto" w:fill="F8F9FA"/>
        <w:rPr>
          <w:rFonts w:ascii="Ubuntu" w:eastAsia="Times New Roman" w:hAnsi="Ubuntu" w:cs="Times New Roman"/>
          <w:b/>
          <w:bCs/>
          <w:color w:val="000000"/>
          <w:sz w:val="27"/>
          <w:szCs w:val="27"/>
          <w:lang w:eastAsia="pt-PT"/>
        </w:rPr>
      </w:pPr>
      <w:r w:rsidRPr="00C23967">
        <w:rPr>
          <w:rFonts w:ascii="Ubuntu" w:eastAsia="Times New Roman" w:hAnsi="Ubuntu" w:cs="Times New Roman"/>
          <w:b/>
          <w:bCs/>
          <w:color w:val="000000"/>
          <w:sz w:val="27"/>
          <w:szCs w:val="27"/>
          <w:lang w:eastAsia="pt-PT"/>
        </w:rPr>
        <w:t>Sobre o Ciclo de Seminários da EGEA</w:t>
      </w:r>
    </w:p>
    <w:p w14:paraId="199710C9" w14:textId="35148DA3" w:rsidR="00C23967" w:rsidRPr="00B91617" w:rsidRDefault="00C23967" w:rsidP="00B91617">
      <w:pPr>
        <w:pStyle w:val="Ttulo3"/>
        <w:shd w:val="clear" w:color="auto" w:fill="F8F9FA"/>
        <w:rPr>
          <w:rFonts w:ascii="Ubuntu" w:eastAsia="Times New Roman" w:hAnsi="Ubuntu" w:cs="Times New Roman"/>
          <w:b/>
          <w:bCs/>
          <w:color w:val="BF8F00" w:themeColor="accent4" w:themeShade="BF"/>
          <w:sz w:val="48"/>
          <w:szCs w:val="48"/>
          <w:lang w:eastAsia="pt-PT"/>
        </w:rPr>
      </w:pPr>
      <w:r w:rsidRPr="00C23967">
        <w:rPr>
          <w:rFonts w:ascii="Ubuntu" w:eastAsia="Times New Roman" w:hAnsi="Ubuntu" w:cs="Times New Roman"/>
          <w:b/>
          <w:bCs/>
          <w:color w:val="000000"/>
          <w:sz w:val="27"/>
          <w:szCs w:val="27"/>
          <w:lang w:eastAsia="pt-PT"/>
        </w:rPr>
        <w:br/>
      </w:r>
      <w:r w:rsidRPr="00B91617">
        <w:rPr>
          <w:rFonts w:ascii="Ubuntu" w:eastAsia="Times New Roman" w:hAnsi="Ubuntu" w:cs="Times New Roman"/>
          <w:b/>
          <w:bCs/>
          <w:color w:val="BF8F00" w:themeColor="accent4" w:themeShade="BF"/>
          <w:sz w:val="48"/>
          <w:szCs w:val="48"/>
          <w:lang w:eastAsia="pt-PT"/>
        </w:rPr>
        <w:t>VALORES E CIDADANIA EUROPEIA</w:t>
      </w:r>
    </w:p>
    <w:p w14:paraId="002EE095" w14:textId="77777777" w:rsidR="00F44414" w:rsidRDefault="00F44414" w:rsidP="00C23967">
      <w:pPr>
        <w:jc w:val="center"/>
      </w:pPr>
    </w:p>
    <w:p w14:paraId="7DF102F4" w14:textId="10CA5346" w:rsidR="006F1ECA" w:rsidRDefault="00265CD6" w:rsidP="00A10663">
      <w:pPr>
        <w:spacing w:line="360" w:lineRule="auto"/>
        <w:jc w:val="center"/>
        <w:rPr>
          <w:rStyle w:val="Hiperligao"/>
          <w:rFonts w:ascii="Verdana" w:hAnsi="Verdana"/>
          <w:sz w:val="20"/>
          <w:szCs w:val="20"/>
        </w:rPr>
      </w:pPr>
      <w:hyperlink r:id="rId8" w:history="1">
        <w:r w:rsidR="00DF4214" w:rsidRPr="00420F5F">
          <w:rPr>
            <w:rStyle w:val="Hiperligao"/>
          </w:rPr>
          <w:t>https://www.iseclisboa.pt/valorescidadaniaeuropeia/</w:t>
        </w:r>
      </w:hyperlink>
      <w:r w:rsidR="00DF4214">
        <w:t xml:space="preserve"> </w:t>
      </w:r>
    </w:p>
    <w:p w14:paraId="41B9F0CD" w14:textId="77777777" w:rsidR="00D9730A" w:rsidRDefault="00D9730A" w:rsidP="00A10663">
      <w:pPr>
        <w:spacing w:line="360" w:lineRule="auto"/>
        <w:jc w:val="center"/>
        <w:rPr>
          <w:rFonts w:ascii="Arial" w:hAnsi="Arial" w:cs="Arial"/>
          <w:bCs/>
          <w:u w:val="single"/>
        </w:rPr>
      </w:pPr>
    </w:p>
    <w:p w14:paraId="28364790" w14:textId="4AF0F4B9" w:rsidR="00207533" w:rsidRDefault="00F44414" w:rsidP="00D9730A">
      <w:pPr>
        <w:pStyle w:val="Default"/>
        <w:spacing w:line="360" w:lineRule="auto"/>
        <w:jc w:val="center"/>
        <w:rPr>
          <w:rFonts w:ascii="Times New Roman" w:hAnsi="Times New Roman" w:cs="Times New Roman"/>
          <w:color w:val="auto"/>
          <w:sz w:val="20"/>
          <w:szCs w:val="20"/>
        </w:rPr>
      </w:pPr>
      <w:r w:rsidRPr="00B60F7C">
        <w:rPr>
          <w:rFonts w:ascii="Arial" w:eastAsiaTheme="minorHAnsi" w:hAnsi="Arial" w:cs="Arial"/>
          <w:b/>
          <w:bCs/>
          <w:color w:val="auto"/>
          <w:sz w:val="22"/>
          <w:szCs w:val="22"/>
          <w:u w:val="single"/>
          <w:lang w:eastAsia="en-US"/>
        </w:rPr>
        <w:t>Actualizações sobre a Iniciativa de Cidadania Europeia – um mecanismo de participação democrática do cidadão</w:t>
      </w:r>
    </w:p>
    <w:p w14:paraId="1D9A2E3D" w14:textId="37CBD0E3" w:rsidR="00207533" w:rsidRDefault="00207533" w:rsidP="00F44414">
      <w:pPr>
        <w:spacing w:line="360" w:lineRule="auto"/>
        <w:jc w:val="both"/>
      </w:pPr>
    </w:p>
    <w:p w14:paraId="4E969992" w14:textId="54BAC3F5" w:rsidR="001F5CA4" w:rsidRDefault="001F5CA4" w:rsidP="00207533">
      <w:pPr>
        <w:spacing w:line="360" w:lineRule="auto"/>
        <w:ind w:firstLine="708"/>
        <w:jc w:val="both"/>
        <w:rPr>
          <w:rStyle w:val="Hiperligao"/>
          <w:sz w:val="20"/>
          <w:szCs w:val="20"/>
        </w:rPr>
      </w:pPr>
      <w:r w:rsidRPr="006623EA">
        <w:rPr>
          <w:rFonts w:ascii="Times New Roman" w:hAnsi="Times New Roman" w:cs="Times New Roman"/>
          <w:i/>
          <w:iCs/>
        </w:rPr>
        <w:t>Mário Simões Barata</w:t>
      </w:r>
      <w:r w:rsidRPr="006623EA">
        <w:rPr>
          <w:rFonts w:ascii="Times New Roman" w:hAnsi="Times New Roman" w:cs="Times New Roman"/>
        </w:rPr>
        <w:t>, PhD</w:t>
      </w:r>
      <w:r w:rsidRPr="006623EA">
        <w:rPr>
          <w:i/>
          <w:iCs/>
        </w:rPr>
        <w:t xml:space="preserve">   </w:t>
      </w:r>
      <w:r w:rsidRPr="006623EA">
        <w:tab/>
      </w:r>
      <w:r w:rsidRPr="006623EA">
        <w:tab/>
      </w:r>
      <w:r w:rsidRPr="006623EA">
        <w:tab/>
      </w:r>
      <w:hyperlink r:id="rId9" w:history="1">
        <w:r w:rsidRPr="006623EA">
          <w:rPr>
            <w:rStyle w:val="Hiperligao"/>
            <w:sz w:val="20"/>
            <w:szCs w:val="20"/>
          </w:rPr>
          <w:t>mario.barata@ipleiria.pt</w:t>
        </w:r>
      </w:hyperlink>
    </w:p>
    <w:p w14:paraId="1BFC7E2D" w14:textId="4081349A" w:rsidR="00F44414" w:rsidRPr="006623EA" w:rsidRDefault="00F44414" w:rsidP="00207533">
      <w:pPr>
        <w:spacing w:line="360" w:lineRule="auto"/>
        <w:ind w:firstLine="708"/>
        <w:jc w:val="both"/>
        <w:rPr>
          <w:sz w:val="20"/>
          <w:szCs w:val="20"/>
        </w:rPr>
      </w:pPr>
      <w:r w:rsidRPr="009D7094">
        <w:rPr>
          <w:rFonts w:ascii="Times New Roman" w:eastAsia="Times New Roman" w:hAnsi="Times New Roman" w:cs="Times New Roman"/>
          <w:i/>
          <w:iCs/>
          <w:sz w:val="24"/>
          <w:szCs w:val="24"/>
          <w:lang w:eastAsia="pt-PT"/>
        </w:rPr>
        <w:t>Dora Resende Alves, PhD</w:t>
      </w:r>
      <w:r w:rsidRPr="004E0BFA">
        <w:rPr>
          <w:i/>
          <w:iCs/>
        </w:rPr>
        <w:t xml:space="preserve">   </w:t>
      </w:r>
      <w:r w:rsidRPr="004E0BFA">
        <w:rPr>
          <w:i/>
          <w:iCs/>
        </w:rPr>
        <w:tab/>
      </w:r>
      <w:r>
        <w:rPr>
          <w:i/>
          <w:iCs/>
        </w:rPr>
        <w:tab/>
      </w:r>
      <w:r>
        <w:rPr>
          <w:i/>
          <w:iCs/>
        </w:rPr>
        <w:tab/>
      </w:r>
      <w:hyperlink r:id="rId10" w:history="1">
        <w:r w:rsidRPr="007C0A8C">
          <w:rPr>
            <w:rStyle w:val="Hiperligao"/>
            <w:sz w:val="20"/>
            <w:szCs w:val="20"/>
          </w:rPr>
          <w:t>dra@upt.pt</w:t>
        </w:r>
      </w:hyperlink>
      <w:r w:rsidRPr="004E0BFA">
        <w:t xml:space="preserve">       </w:t>
      </w:r>
    </w:p>
    <w:p w14:paraId="3EECA730" w14:textId="77777777" w:rsidR="00207533" w:rsidRPr="006B0A59" w:rsidRDefault="00207533" w:rsidP="00207533">
      <w:pPr>
        <w:spacing w:line="360" w:lineRule="auto"/>
        <w:ind w:firstLine="708"/>
        <w:jc w:val="both"/>
      </w:pPr>
    </w:p>
    <w:p w14:paraId="6567B200" w14:textId="77777777" w:rsidR="00F44414" w:rsidRDefault="00F44414" w:rsidP="00207533">
      <w:pPr>
        <w:pStyle w:val="Default"/>
        <w:jc w:val="both"/>
        <w:rPr>
          <w:rFonts w:ascii="Times New Roman" w:hAnsi="Times New Roman" w:cs="Times New Roman"/>
          <w:b/>
          <w:bCs/>
          <w:sz w:val="20"/>
          <w:szCs w:val="20"/>
        </w:rPr>
      </w:pPr>
    </w:p>
    <w:p w14:paraId="17D6ABCA" w14:textId="21195F3F" w:rsidR="00207533" w:rsidRDefault="00207533" w:rsidP="00207533">
      <w:pPr>
        <w:pStyle w:val="Default"/>
        <w:jc w:val="both"/>
        <w:rPr>
          <w:rFonts w:ascii="Times New Roman" w:hAnsi="Times New Roman" w:cs="Times New Roman"/>
          <w:color w:val="auto"/>
          <w:sz w:val="22"/>
          <w:szCs w:val="22"/>
        </w:rPr>
      </w:pPr>
      <w:r w:rsidRPr="00DF1FA9">
        <w:rPr>
          <w:rFonts w:ascii="Times New Roman" w:hAnsi="Times New Roman" w:cs="Times New Roman"/>
          <w:b/>
          <w:bCs/>
          <w:sz w:val="20"/>
          <w:szCs w:val="20"/>
        </w:rPr>
        <w:t>FILIA</w:t>
      </w:r>
      <w:r>
        <w:rPr>
          <w:rFonts w:ascii="Times New Roman" w:hAnsi="Times New Roman" w:cs="Times New Roman"/>
          <w:b/>
          <w:bCs/>
          <w:sz w:val="20"/>
          <w:szCs w:val="20"/>
        </w:rPr>
        <w:t>ÇÃO</w:t>
      </w:r>
      <w:r w:rsidRPr="00DF1FA9">
        <w:rPr>
          <w:rFonts w:ascii="Times New Roman" w:hAnsi="Times New Roman" w:cs="Times New Roman"/>
          <w:b/>
          <w:bCs/>
          <w:color w:val="auto"/>
          <w:sz w:val="20"/>
          <w:szCs w:val="20"/>
        </w:rPr>
        <w:t>:</w:t>
      </w:r>
      <w:r w:rsidRPr="008D2A9C">
        <w:rPr>
          <w:rFonts w:ascii="Times New Roman" w:hAnsi="Times New Roman" w:cs="Times New Roman"/>
          <w:color w:val="auto"/>
          <w:sz w:val="22"/>
          <w:szCs w:val="22"/>
        </w:rPr>
        <w:t xml:space="preserve"> </w:t>
      </w:r>
    </w:p>
    <w:p w14:paraId="25732CEE" w14:textId="77777777" w:rsidR="00207533" w:rsidRDefault="00207533" w:rsidP="00207533">
      <w:pPr>
        <w:pStyle w:val="Default"/>
        <w:jc w:val="both"/>
        <w:rPr>
          <w:rFonts w:ascii="Times New Roman" w:hAnsi="Times New Roman" w:cs="Times New Roman"/>
          <w:color w:val="auto"/>
          <w:sz w:val="22"/>
          <w:szCs w:val="22"/>
        </w:rPr>
      </w:pPr>
    </w:p>
    <w:p w14:paraId="6E5FE800" w14:textId="6B03C381" w:rsidR="00207533" w:rsidRDefault="00207533" w:rsidP="00207533">
      <w:pPr>
        <w:pStyle w:val="Default"/>
        <w:jc w:val="both"/>
        <w:rPr>
          <w:rFonts w:ascii="Times New Roman" w:hAnsi="Times New Roman" w:cs="Times New Roman"/>
          <w:sz w:val="20"/>
          <w:szCs w:val="20"/>
        </w:rPr>
      </w:pPr>
      <w:r w:rsidRPr="008D2A9C">
        <w:rPr>
          <w:rFonts w:ascii="Times New Roman" w:hAnsi="Times New Roman" w:cs="Times New Roman"/>
          <w:sz w:val="20"/>
          <w:szCs w:val="20"/>
        </w:rPr>
        <w:t>Universidade Por</w:t>
      </w:r>
      <w:r>
        <w:rPr>
          <w:rFonts w:ascii="Times New Roman" w:hAnsi="Times New Roman" w:cs="Times New Roman"/>
          <w:sz w:val="20"/>
          <w:szCs w:val="20"/>
        </w:rPr>
        <w:t>tucalense Infante D. Henrique, Departamento de Direito, P</w:t>
      </w:r>
      <w:r w:rsidRPr="008D2A9C">
        <w:rPr>
          <w:rFonts w:ascii="Times New Roman" w:hAnsi="Times New Roman" w:cs="Times New Roman"/>
          <w:sz w:val="20"/>
          <w:szCs w:val="20"/>
        </w:rPr>
        <w:t>orto, Portugal</w:t>
      </w:r>
      <w:r>
        <w:rPr>
          <w:rFonts w:ascii="Times New Roman" w:hAnsi="Times New Roman" w:cs="Times New Roman"/>
          <w:sz w:val="20"/>
          <w:szCs w:val="20"/>
        </w:rPr>
        <w:t>, +351225572474.</w:t>
      </w:r>
    </w:p>
    <w:p w14:paraId="0A701C56" w14:textId="77777777" w:rsidR="006623EA" w:rsidRDefault="006623EA" w:rsidP="00207533">
      <w:pPr>
        <w:pStyle w:val="Default"/>
        <w:jc w:val="both"/>
        <w:rPr>
          <w:rFonts w:ascii="Times New Roman" w:hAnsi="Times New Roman" w:cs="Times New Roman"/>
          <w:sz w:val="20"/>
          <w:szCs w:val="20"/>
        </w:rPr>
      </w:pPr>
    </w:p>
    <w:p w14:paraId="6B6E6FB4" w14:textId="7F49A152" w:rsidR="00207533" w:rsidRDefault="00207533" w:rsidP="006623EA">
      <w:pPr>
        <w:pStyle w:val="Default"/>
        <w:jc w:val="both"/>
        <w:rPr>
          <w:rFonts w:ascii="Times New Roman" w:hAnsi="Times New Roman" w:cs="Times New Roman"/>
          <w:sz w:val="20"/>
          <w:szCs w:val="20"/>
        </w:rPr>
      </w:pPr>
      <w:r>
        <w:rPr>
          <w:rFonts w:ascii="Times New Roman" w:hAnsi="Times New Roman" w:cs="Times New Roman"/>
          <w:sz w:val="20"/>
          <w:szCs w:val="20"/>
        </w:rPr>
        <w:t xml:space="preserve">Instituto Jurídico Portucalense, </w:t>
      </w:r>
      <w:r w:rsidRPr="008D2A9C">
        <w:rPr>
          <w:rFonts w:ascii="Times New Roman" w:hAnsi="Times New Roman" w:cs="Times New Roman"/>
          <w:sz w:val="20"/>
          <w:szCs w:val="20"/>
        </w:rPr>
        <w:t>Universidade Por</w:t>
      </w:r>
      <w:r>
        <w:rPr>
          <w:rFonts w:ascii="Times New Roman" w:hAnsi="Times New Roman" w:cs="Times New Roman"/>
          <w:sz w:val="20"/>
          <w:szCs w:val="20"/>
        </w:rPr>
        <w:t>tucalense Infante D. Henrique, P</w:t>
      </w:r>
      <w:r w:rsidRPr="008D2A9C">
        <w:rPr>
          <w:rFonts w:ascii="Times New Roman" w:hAnsi="Times New Roman" w:cs="Times New Roman"/>
          <w:sz w:val="20"/>
          <w:szCs w:val="20"/>
        </w:rPr>
        <w:t>orto, Portugal</w:t>
      </w:r>
    </w:p>
    <w:p w14:paraId="46BEC62B" w14:textId="77777777" w:rsidR="006623EA" w:rsidRPr="006623EA" w:rsidRDefault="006623EA" w:rsidP="006623EA">
      <w:pPr>
        <w:pStyle w:val="Default"/>
        <w:jc w:val="both"/>
        <w:rPr>
          <w:rFonts w:ascii="Times New Roman" w:hAnsi="Times New Roman" w:cs="Times New Roman"/>
          <w:color w:val="auto"/>
          <w:sz w:val="20"/>
          <w:szCs w:val="20"/>
        </w:rPr>
      </w:pPr>
    </w:p>
    <w:p w14:paraId="40ED04A4" w14:textId="09FBB516" w:rsidR="00163401" w:rsidRPr="006623EA" w:rsidRDefault="00163401" w:rsidP="00207533">
      <w:pPr>
        <w:rPr>
          <w:rFonts w:ascii="Times New Roman" w:eastAsia="Times New Roman" w:hAnsi="Times New Roman" w:cs="Times New Roman"/>
          <w:color w:val="000000"/>
          <w:sz w:val="20"/>
          <w:szCs w:val="20"/>
          <w:lang w:eastAsia="pt-PT"/>
        </w:rPr>
      </w:pPr>
      <w:r w:rsidRPr="006623EA">
        <w:rPr>
          <w:rFonts w:ascii="Times New Roman" w:eastAsia="Times New Roman" w:hAnsi="Times New Roman" w:cs="Times New Roman"/>
          <w:color w:val="000000"/>
          <w:sz w:val="20"/>
          <w:szCs w:val="20"/>
          <w:lang w:eastAsia="pt-PT"/>
        </w:rPr>
        <w:t>Politécnico de Leiria. Instituto Jurídico Portucalense - Pólo de Leiria, Portugal</w:t>
      </w:r>
    </w:p>
    <w:p w14:paraId="780F361E" w14:textId="77777777" w:rsidR="00163401" w:rsidRPr="006B0A59" w:rsidRDefault="00163401" w:rsidP="00207533">
      <w:pPr>
        <w:rPr>
          <w:b/>
          <w:bCs/>
        </w:rPr>
      </w:pPr>
    </w:p>
    <w:p w14:paraId="06C038D1" w14:textId="4C25F6B5" w:rsidR="00207533" w:rsidRDefault="00A10663" w:rsidP="00207533">
      <w:pPr>
        <w:jc w:val="both"/>
        <w:rPr>
          <w:b/>
          <w:bCs/>
          <w:lang w:val="es-ES"/>
        </w:rPr>
      </w:pPr>
      <w:proofErr w:type="spellStart"/>
      <w:r>
        <w:rPr>
          <w:b/>
          <w:bCs/>
          <w:lang w:val="es-ES"/>
        </w:rPr>
        <w:t>Eixo</w:t>
      </w:r>
      <w:proofErr w:type="spellEnd"/>
      <w:r w:rsidR="00207533">
        <w:rPr>
          <w:b/>
          <w:bCs/>
          <w:lang w:val="es-ES"/>
        </w:rPr>
        <w:t xml:space="preserve"> temátic</w:t>
      </w:r>
      <w:r>
        <w:rPr>
          <w:b/>
          <w:bCs/>
          <w:lang w:val="es-ES"/>
        </w:rPr>
        <w:t>o</w:t>
      </w:r>
      <w:r w:rsidR="00207533" w:rsidRPr="00ED6672">
        <w:rPr>
          <w:b/>
          <w:bCs/>
          <w:lang w:val="es-ES"/>
        </w:rPr>
        <w:t>:</w:t>
      </w:r>
      <w:r w:rsidR="00207533">
        <w:rPr>
          <w:b/>
          <w:bCs/>
          <w:lang w:val="es-ES"/>
        </w:rPr>
        <w:t xml:space="preserve">  </w:t>
      </w:r>
    </w:p>
    <w:p w14:paraId="2CAD75DD" w14:textId="42F66841" w:rsidR="00B17BD0" w:rsidRPr="00F44414" w:rsidRDefault="00B17BD0" w:rsidP="00F44414">
      <w:pPr>
        <w:shd w:val="clear" w:color="auto" w:fill="EFEFEF"/>
        <w:rPr>
          <w:rFonts w:ascii="Open Sans" w:eastAsia="Times New Roman" w:hAnsi="Open Sans" w:cs="Open Sans"/>
          <w:color w:val="5E5E5E"/>
          <w:sz w:val="24"/>
          <w:szCs w:val="24"/>
        </w:rPr>
      </w:pPr>
      <w:r w:rsidRPr="00F44414">
        <w:rPr>
          <w:rFonts w:ascii="Open Sans" w:eastAsia="Times New Roman" w:hAnsi="Open Sans" w:cs="Open Sans"/>
          <w:color w:val="5E5E5E"/>
          <w:sz w:val="24"/>
          <w:szCs w:val="24"/>
        </w:rPr>
        <w:lastRenderedPageBreak/>
        <w:t xml:space="preserve">Democracia e </w:t>
      </w:r>
      <w:r w:rsidR="00F44414">
        <w:rPr>
          <w:rFonts w:ascii="Open Sans" w:eastAsia="Times New Roman" w:hAnsi="Open Sans" w:cs="Open Sans"/>
          <w:color w:val="5E5E5E"/>
          <w:sz w:val="24"/>
          <w:szCs w:val="24"/>
        </w:rPr>
        <w:t>Valores da União Europeia</w:t>
      </w:r>
    </w:p>
    <w:p w14:paraId="4FD091FF" w14:textId="77777777" w:rsidR="002A7133" w:rsidRDefault="002A7133" w:rsidP="007F351B">
      <w:pPr>
        <w:rPr>
          <w:b/>
          <w:bCs/>
        </w:rPr>
      </w:pPr>
    </w:p>
    <w:p w14:paraId="5AF60463" w14:textId="7518B47A" w:rsidR="00207533" w:rsidRPr="007F351B" w:rsidRDefault="00207533" w:rsidP="007F351B">
      <w:pPr>
        <w:rPr>
          <w:b/>
          <w:bCs/>
        </w:rPr>
      </w:pPr>
      <w:r w:rsidRPr="00843F90">
        <w:rPr>
          <w:b/>
          <w:bCs/>
        </w:rPr>
        <w:t>Resumo:</w:t>
      </w:r>
      <w:r>
        <w:rPr>
          <w:b/>
          <w:bCs/>
        </w:rPr>
        <w:t xml:space="preserve">    </w:t>
      </w:r>
    </w:p>
    <w:p w14:paraId="156D063A" w14:textId="1F62843D" w:rsidR="00D9730A" w:rsidRDefault="00F44414" w:rsidP="00D9730A">
      <w:pPr>
        <w:ind w:firstLine="708"/>
        <w:jc w:val="both"/>
        <w:rPr>
          <w:rFonts w:ascii="Garamond" w:hAnsi="Garamond"/>
          <w:sz w:val="24"/>
          <w:szCs w:val="24"/>
        </w:rPr>
      </w:pPr>
      <w:bookmarkStart w:id="0" w:name="_GoBack"/>
      <w:r>
        <w:rPr>
          <w:rFonts w:ascii="Garamond" w:hAnsi="Garamond"/>
          <w:sz w:val="24"/>
          <w:szCs w:val="24"/>
        </w:rPr>
        <w:t xml:space="preserve">O trajeto comunitário europeu foi pensado para os povos da Europa num sentido de colaboração em contexto de </w:t>
      </w:r>
      <w:proofErr w:type="gramStart"/>
      <w:r>
        <w:rPr>
          <w:rFonts w:ascii="Garamond" w:hAnsi="Garamond"/>
          <w:sz w:val="24"/>
          <w:szCs w:val="24"/>
        </w:rPr>
        <w:t>pós-guerra</w:t>
      </w:r>
      <w:proofErr w:type="gramEnd"/>
      <w:r>
        <w:rPr>
          <w:rFonts w:ascii="Garamond" w:hAnsi="Garamond"/>
          <w:sz w:val="24"/>
          <w:szCs w:val="24"/>
        </w:rPr>
        <w:t xml:space="preserve"> mas sempre considerou o cidadão. Primeiro de uma forma voltada para o clima de recuperação </w:t>
      </w:r>
      <w:proofErr w:type="gramStart"/>
      <w:r>
        <w:rPr>
          <w:rFonts w:ascii="Garamond" w:hAnsi="Garamond"/>
          <w:sz w:val="24"/>
          <w:szCs w:val="24"/>
        </w:rPr>
        <w:t>económica</w:t>
      </w:r>
      <w:proofErr w:type="gramEnd"/>
      <w:r>
        <w:rPr>
          <w:rFonts w:ascii="Garamond" w:hAnsi="Garamond"/>
          <w:sz w:val="24"/>
          <w:szCs w:val="24"/>
        </w:rPr>
        <w:t xml:space="preserve"> mas, logo que possível, pelo próprio cidadão como conquistas como alcançar uma Carta de Di</w:t>
      </w:r>
      <w:r w:rsidR="004064CC">
        <w:rPr>
          <w:rFonts w:ascii="Garamond" w:hAnsi="Garamond"/>
          <w:sz w:val="24"/>
          <w:szCs w:val="24"/>
        </w:rPr>
        <w:t>reitos Fundamentais da União Europeia.</w:t>
      </w:r>
    </w:p>
    <w:bookmarkEnd w:id="0"/>
    <w:p w14:paraId="26CA36ED" w14:textId="1E873B23" w:rsidR="004064CC" w:rsidRPr="004064CC" w:rsidRDefault="004064CC" w:rsidP="004064CC">
      <w:pPr>
        <w:ind w:firstLine="708"/>
        <w:jc w:val="both"/>
        <w:rPr>
          <w:rFonts w:ascii="Garamond" w:hAnsi="Garamond"/>
          <w:bCs/>
          <w:sz w:val="24"/>
          <w:szCs w:val="24"/>
        </w:rPr>
      </w:pPr>
      <w:r w:rsidRPr="004064CC">
        <w:rPr>
          <w:rFonts w:ascii="Garamond" w:hAnsi="Garamond"/>
          <w:bCs/>
          <w:sz w:val="24"/>
          <w:szCs w:val="24"/>
        </w:rPr>
        <w:t>A democracia está presente nos valores da União Europeia enunciados no artigo 2</w:t>
      </w:r>
      <w:r w:rsidR="00C30B33">
        <w:rPr>
          <w:rFonts w:ascii="Garamond" w:hAnsi="Garamond"/>
          <w:bCs/>
          <w:sz w:val="24"/>
          <w:szCs w:val="24"/>
        </w:rPr>
        <w:t>.</w:t>
      </w:r>
      <w:r w:rsidRPr="004064CC">
        <w:rPr>
          <w:rFonts w:ascii="Garamond" w:hAnsi="Garamond"/>
          <w:bCs/>
          <w:sz w:val="24"/>
          <w:szCs w:val="24"/>
        </w:rPr>
        <w:t xml:space="preserve">º do Tratado da União Europeia (TUE) na construção do Tratado de Lisboa. A criação da iniciativa de cidadania europeia (ICE) surge como um dos instrumentos de democracia participativa da União Europeia. Em concreto, o artigo 11º, n.º 4, do TUE visa reforçar a democracia da União. </w:t>
      </w:r>
      <w:r w:rsidR="00E2460B">
        <w:rPr>
          <w:rFonts w:ascii="Garamond" w:hAnsi="Garamond"/>
          <w:bCs/>
          <w:sz w:val="24"/>
          <w:szCs w:val="24"/>
        </w:rPr>
        <w:t>Dando todo o relevo ao valor do Estado de direito.</w:t>
      </w:r>
    </w:p>
    <w:p w14:paraId="36A9F33F" w14:textId="2CFFF282" w:rsidR="004064CC" w:rsidRPr="004064CC" w:rsidRDefault="004064CC" w:rsidP="004064CC">
      <w:pPr>
        <w:ind w:firstLine="708"/>
        <w:jc w:val="both"/>
        <w:rPr>
          <w:rFonts w:ascii="Garamond" w:hAnsi="Garamond"/>
          <w:bCs/>
          <w:sz w:val="24"/>
          <w:szCs w:val="24"/>
        </w:rPr>
      </w:pPr>
      <w:r w:rsidRPr="004064CC">
        <w:rPr>
          <w:rFonts w:ascii="Garamond" w:hAnsi="Garamond"/>
          <w:bCs/>
          <w:sz w:val="24"/>
          <w:szCs w:val="24"/>
        </w:rPr>
        <w:t>A democracia participativa convoca a participação dos cidadãos no processo político no sentido de conformar a agenda política e oferece um complemento à democracia representativa na União Europeia. Assim, a ICE institui um procedimento que visa oferecer um instrumento capaz de mobilizar cidadãos oriundos de diversos Estados</w:t>
      </w:r>
      <w:r w:rsidR="00C30B33">
        <w:rPr>
          <w:rFonts w:ascii="Garamond" w:hAnsi="Garamond"/>
          <w:bCs/>
          <w:sz w:val="24"/>
          <w:szCs w:val="24"/>
        </w:rPr>
        <w:t>-M</w:t>
      </w:r>
      <w:r w:rsidRPr="004064CC">
        <w:rPr>
          <w:rFonts w:ascii="Garamond" w:hAnsi="Garamond"/>
          <w:bCs/>
          <w:sz w:val="24"/>
          <w:szCs w:val="24"/>
        </w:rPr>
        <w:t>embros em torno de soluções comuns e abrangentes com vista a influenciar a eventual adoção de atos normativos pelas instâncias da União responsáveis pelo processo legislativo, de modo a resolver os problemas substanciais que os afetam.</w:t>
      </w:r>
    </w:p>
    <w:p w14:paraId="30E586DD" w14:textId="77777777" w:rsidR="004064CC" w:rsidRPr="004064CC" w:rsidRDefault="004064CC" w:rsidP="004064CC">
      <w:pPr>
        <w:ind w:firstLine="708"/>
        <w:jc w:val="both"/>
        <w:rPr>
          <w:rFonts w:ascii="Garamond" w:hAnsi="Garamond"/>
          <w:bCs/>
          <w:sz w:val="24"/>
          <w:szCs w:val="24"/>
        </w:rPr>
      </w:pPr>
      <w:r w:rsidRPr="004064CC">
        <w:rPr>
          <w:rFonts w:ascii="Garamond" w:hAnsi="Garamond"/>
          <w:bCs/>
          <w:sz w:val="24"/>
          <w:szCs w:val="24"/>
        </w:rPr>
        <w:t>Por este mecanismo criado tardiamente se bem que no sentido da integração europeia que considera o cidadão que participa ativamente, os cidadãos europeus têm a possibilidade de apresentar sugestões junto da Comissão Europeia, ainda que sem efeito vinculativo. Dessa forma, entendem os autores ser uma forma de participação dos cidadãos em democracia, um instrumento de exercício da cidadania europeia e participação na formação da vontade coletiva.</w:t>
      </w:r>
    </w:p>
    <w:p w14:paraId="707390FE" w14:textId="693C7D0C" w:rsidR="004064CC" w:rsidRPr="004064CC" w:rsidRDefault="004064CC" w:rsidP="004064CC">
      <w:pPr>
        <w:ind w:firstLine="708"/>
        <w:jc w:val="both"/>
        <w:rPr>
          <w:rFonts w:ascii="Garamond" w:hAnsi="Garamond"/>
          <w:bCs/>
          <w:sz w:val="24"/>
          <w:szCs w:val="24"/>
        </w:rPr>
      </w:pPr>
      <w:r w:rsidRPr="004064CC">
        <w:rPr>
          <w:rFonts w:ascii="Garamond" w:hAnsi="Garamond"/>
          <w:bCs/>
          <w:sz w:val="24"/>
          <w:szCs w:val="24"/>
        </w:rPr>
        <w:t xml:space="preserve">Destina-se a ICE a sugerir um processo legislativo segundo os trâmites previstos nos tratados </w:t>
      </w:r>
      <w:proofErr w:type="spellStart"/>
      <w:r w:rsidRPr="004064CC">
        <w:rPr>
          <w:rFonts w:ascii="Garamond" w:hAnsi="Garamond"/>
          <w:bCs/>
          <w:sz w:val="24"/>
          <w:szCs w:val="24"/>
        </w:rPr>
        <w:t>institutivos</w:t>
      </w:r>
      <w:proofErr w:type="spellEnd"/>
      <w:r w:rsidRPr="004064CC">
        <w:rPr>
          <w:rFonts w:ascii="Garamond" w:hAnsi="Garamond"/>
          <w:bCs/>
          <w:sz w:val="24"/>
          <w:szCs w:val="24"/>
        </w:rPr>
        <w:t xml:space="preserve"> e de modo previsto em regulamento próprio para este fim. Foi regulamentada em 2011 </w:t>
      </w:r>
      <w:r w:rsidR="00C129DB">
        <w:rPr>
          <w:rFonts w:ascii="Garamond" w:hAnsi="Garamond"/>
          <w:bCs/>
          <w:sz w:val="24"/>
          <w:szCs w:val="24"/>
        </w:rPr>
        <w:t>com substituição</w:t>
      </w:r>
      <w:r w:rsidRPr="004064CC">
        <w:rPr>
          <w:rFonts w:ascii="Garamond" w:hAnsi="Garamond"/>
          <w:bCs/>
          <w:sz w:val="24"/>
          <w:szCs w:val="24"/>
        </w:rPr>
        <w:t xml:space="preserve"> em 2019. Reunindo dois requisitos mínimos em número expressivo de cidadãos da União (um milhão) e de Estados-Membros (sete). De tímido crescimento, viu uma grande evolução ao longo de poucos anos. Ao todo </w:t>
      </w:r>
      <w:r w:rsidR="00C129DB" w:rsidRPr="00C129DB">
        <w:rPr>
          <w:rFonts w:ascii="Garamond" w:hAnsi="Garamond"/>
          <w:bCs/>
          <w:sz w:val="24"/>
          <w:szCs w:val="24"/>
          <w:highlight w:val="yellow"/>
        </w:rPr>
        <w:t>9</w:t>
      </w:r>
      <w:r w:rsidRPr="004064CC">
        <w:rPr>
          <w:rFonts w:ascii="Garamond" w:hAnsi="Garamond"/>
          <w:bCs/>
          <w:sz w:val="24"/>
          <w:szCs w:val="24"/>
          <w:highlight w:val="yellow"/>
        </w:rPr>
        <w:t>9</w:t>
      </w:r>
      <w:r w:rsidRPr="004064CC">
        <w:rPr>
          <w:rFonts w:ascii="Garamond" w:hAnsi="Garamond"/>
          <w:bCs/>
          <w:sz w:val="24"/>
          <w:szCs w:val="24"/>
        </w:rPr>
        <w:t xml:space="preserve"> foram registadas até </w:t>
      </w:r>
      <w:r w:rsidR="00C129DB">
        <w:rPr>
          <w:rFonts w:ascii="Garamond" w:hAnsi="Garamond"/>
          <w:bCs/>
          <w:sz w:val="24"/>
          <w:szCs w:val="24"/>
        </w:rPr>
        <w:t>abril</w:t>
      </w:r>
      <w:r w:rsidRPr="004064CC">
        <w:rPr>
          <w:rFonts w:ascii="Garamond" w:hAnsi="Garamond"/>
          <w:bCs/>
          <w:sz w:val="24"/>
          <w:szCs w:val="24"/>
        </w:rPr>
        <w:t xml:space="preserve"> de 202</w:t>
      </w:r>
      <w:r w:rsidR="00C129DB">
        <w:rPr>
          <w:rFonts w:ascii="Garamond" w:hAnsi="Garamond"/>
          <w:bCs/>
          <w:sz w:val="24"/>
          <w:szCs w:val="24"/>
        </w:rPr>
        <w:t>3</w:t>
      </w:r>
      <w:r w:rsidRPr="004064CC">
        <w:rPr>
          <w:rFonts w:ascii="Garamond" w:hAnsi="Garamond"/>
          <w:bCs/>
          <w:sz w:val="24"/>
          <w:szCs w:val="24"/>
        </w:rPr>
        <w:t xml:space="preserve">, das quais </w:t>
      </w:r>
      <w:r w:rsidR="00C129DB" w:rsidRPr="00C129DB">
        <w:rPr>
          <w:rFonts w:ascii="Garamond" w:hAnsi="Garamond"/>
          <w:bCs/>
          <w:sz w:val="24"/>
          <w:szCs w:val="24"/>
          <w:highlight w:val="yellow"/>
        </w:rPr>
        <w:t>9</w:t>
      </w:r>
      <w:r w:rsidRPr="004064CC">
        <w:rPr>
          <w:rFonts w:ascii="Garamond" w:hAnsi="Garamond"/>
          <w:bCs/>
          <w:sz w:val="24"/>
          <w:szCs w:val="24"/>
        </w:rPr>
        <w:t xml:space="preserve"> foram </w:t>
      </w:r>
      <w:proofErr w:type="gramStart"/>
      <w:r w:rsidRPr="004064CC">
        <w:rPr>
          <w:rFonts w:ascii="Garamond" w:hAnsi="Garamond"/>
          <w:bCs/>
          <w:sz w:val="24"/>
          <w:szCs w:val="24"/>
        </w:rPr>
        <w:t>bem sucedidas</w:t>
      </w:r>
      <w:proofErr w:type="gramEnd"/>
      <w:r w:rsidRPr="004064CC">
        <w:rPr>
          <w:rFonts w:ascii="Garamond" w:hAnsi="Garamond"/>
          <w:bCs/>
          <w:sz w:val="24"/>
          <w:szCs w:val="24"/>
        </w:rPr>
        <w:t>, entendendo-se como recebidas e examinadas pela Comissão Europeia.</w:t>
      </w:r>
    </w:p>
    <w:p w14:paraId="1C8E4FC5" w14:textId="77777777" w:rsidR="004064CC" w:rsidRPr="004064CC" w:rsidRDefault="004064CC" w:rsidP="004064CC">
      <w:pPr>
        <w:ind w:firstLine="708"/>
        <w:jc w:val="both"/>
        <w:rPr>
          <w:rFonts w:ascii="Garamond" w:hAnsi="Garamond"/>
          <w:bCs/>
          <w:sz w:val="24"/>
          <w:szCs w:val="24"/>
        </w:rPr>
      </w:pPr>
      <w:r w:rsidRPr="004064CC">
        <w:rPr>
          <w:rFonts w:ascii="Garamond" w:hAnsi="Garamond"/>
          <w:bCs/>
          <w:sz w:val="24"/>
          <w:szCs w:val="24"/>
        </w:rPr>
        <w:t>Tendo motivado poucas situações de recurso ao Tribunal de Justiça da União Europeia, a jurisprudência sublinha que a ICE contribui, assim, para melhorar o funcionamento democrático da União através da participação dos cidadãos na sua vida democrática e política.</w:t>
      </w:r>
    </w:p>
    <w:p w14:paraId="1A96F6D6" w14:textId="7CFAB880" w:rsidR="004064CC" w:rsidRPr="004064CC" w:rsidRDefault="004064CC" w:rsidP="004064CC">
      <w:pPr>
        <w:ind w:firstLine="708"/>
        <w:jc w:val="both"/>
        <w:rPr>
          <w:rFonts w:ascii="Garamond" w:hAnsi="Garamond"/>
          <w:bCs/>
          <w:sz w:val="24"/>
          <w:szCs w:val="24"/>
        </w:rPr>
      </w:pPr>
      <w:r w:rsidRPr="004064CC">
        <w:rPr>
          <w:rFonts w:ascii="Garamond" w:hAnsi="Garamond"/>
          <w:bCs/>
          <w:sz w:val="24"/>
          <w:szCs w:val="24"/>
        </w:rPr>
        <w:t>Em suma, a ICE é um direito político conexo com a cidadania europeia que resulta da evolução e transformação da Comunidade numa União</w:t>
      </w:r>
      <w:r w:rsidR="00C129DB">
        <w:rPr>
          <w:rFonts w:ascii="Garamond" w:hAnsi="Garamond"/>
          <w:bCs/>
          <w:sz w:val="24"/>
          <w:szCs w:val="24"/>
        </w:rPr>
        <w:t xml:space="preserve"> em democracia e com foco no cidadão</w:t>
      </w:r>
      <w:r w:rsidRPr="004064CC">
        <w:rPr>
          <w:rFonts w:ascii="Garamond" w:hAnsi="Garamond"/>
          <w:bCs/>
          <w:sz w:val="24"/>
          <w:szCs w:val="24"/>
        </w:rPr>
        <w:t xml:space="preserve">. </w:t>
      </w:r>
    </w:p>
    <w:p w14:paraId="220C4BB6" w14:textId="77777777" w:rsidR="004064CC" w:rsidRPr="00A8197D" w:rsidRDefault="004064CC" w:rsidP="00D9730A">
      <w:pPr>
        <w:ind w:firstLine="708"/>
        <w:jc w:val="both"/>
        <w:rPr>
          <w:rFonts w:ascii="Garamond" w:hAnsi="Garamond"/>
          <w:sz w:val="24"/>
          <w:szCs w:val="24"/>
        </w:rPr>
      </w:pPr>
    </w:p>
    <w:p w14:paraId="5564B433" w14:textId="6AEBDDD4" w:rsidR="00806E2E" w:rsidRDefault="00806E2E" w:rsidP="00D9730A">
      <w:pPr>
        <w:spacing w:line="360" w:lineRule="auto"/>
        <w:jc w:val="both"/>
        <w:rPr>
          <w:b/>
          <w:bCs/>
        </w:rPr>
      </w:pPr>
    </w:p>
    <w:p w14:paraId="4BE2BF4F" w14:textId="20D38317" w:rsidR="00207533" w:rsidRDefault="00207533" w:rsidP="00207533">
      <w:pPr>
        <w:spacing w:line="360" w:lineRule="auto"/>
        <w:jc w:val="both"/>
      </w:pPr>
      <w:r w:rsidRPr="00773CF6">
        <w:rPr>
          <w:b/>
          <w:bCs/>
        </w:rPr>
        <w:t xml:space="preserve">Palavras-chave: </w:t>
      </w:r>
      <w:r w:rsidR="00F44414" w:rsidRPr="00F44414">
        <w:t>Democracia;</w:t>
      </w:r>
      <w:r w:rsidR="00F44414">
        <w:rPr>
          <w:b/>
          <w:bCs/>
        </w:rPr>
        <w:t xml:space="preserve"> </w:t>
      </w:r>
      <w:r w:rsidR="00C9780B" w:rsidRPr="00C9780B">
        <w:t>Estado de direito;</w:t>
      </w:r>
      <w:r w:rsidR="00F44414">
        <w:t xml:space="preserve"> </w:t>
      </w:r>
      <w:r w:rsidR="00F44414" w:rsidRPr="00B60F7C">
        <w:t>Iniciativa de Cidadania Europeia</w:t>
      </w:r>
      <w:r w:rsidR="00C9780B" w:rsidRPr="00C9780B">
        <w:t>; União Europeia</w:t>
      </w:r>
      <w:r>
        <w:t xml:space="preserve">  </w:t>
      </w:r>
    </w:p>
    <w:p w14:paraId="54D225AC" w14:textId="06E8B17B" w:rsidR="00207533" w:rsidRDefault="00207533" w:rsidP="00140350">
      <w:pPr>
        <w:spacing w:line="360" w:lineRule="auto"/>
        <w:jc w:val="right"/>
      </w:pPr>
    </w:p>
    <w:p w14:paraId="1CFC0783" w14:textId="77777777" w:rsidR="00207533" w:rsidRDefault="00207533" w:rsidP="00207533">
      <w:pPr>
        <w:spacing w:line="360" w:lineRule="auto"/>
        <w:jc w:val="both"/>
      </w:pPr>
    </w:p>
    <w:p w14:paraId="75116BBB" w14:textId="385EDC25" w:rsidR="00E4192F" w:rsidRPr="00E4192F" w:rsidRDefault="00207533" w:rsidP="00E4192F">
      <w:pPr>
        <w:spacing w:line="360" w:lineRule="auto"/>
        <w:jc w:val="both"/>
        <w:rPr>
          <w:b/>
          <w:bCs/>
        </w:rPr>
      </w:pPr>
      <w:r w:rsidRPr="00F252BB">
        <w:rPr>
          <w:b/>
          <w:bCs/>
        </w:rPr>
        <w:t>Referências breves</w:t>
      </w:r>
    </w:p>
    <w:p w14:paraId="38D8EAF5" w14:textId="2A3050FB" w:rsidR="00E4192F" w:rsidRDefault="00E4192F" w:rsidP="00E4192F">
      <w:pPr>
        <w:spacing w:after="0" w:line="240" w:lineRule="auto"/>
        <w:jc w:val="both"/>
        <w:rPr>
          <w:rStyle w:val="Hiperligao"/>
          <w:sz w:val="20"/>
          <w:szCs w:val="20"/>
        </w:rPr>
      </w:pPr>
      <w:r w:rsidRPr="006623EA">
        <w:rPr>
          <w:sz w:val="20"/>
          <w:szCs w:val="20"/>
        </w:rPr>
        <w:t>Alves, D. R., &amp; Barata, M. S. (2022). A iniciativa de cidadania europeia na jurisprudência do Tribunal de Justiça da União Europeia. In F. S. Veiga, R. V. S. Alves, &amp; M. H. Fonseca (</w:t>
      </w:r>
      <w:proofErr w:type="spellStart"/>
      <w:r w:rsidRPr="006623EA">
        <w:rPr>
          <w:sz w:val="20"/>
          <w:szCs w:val="20"/>
        </w:rPr>
        <w:t>Coords</w:t>
      </w:r>
      <w:proofErr w:type="spellEnd"/>
      <w:r w:rsidRPr="006623EA">
        <w:rPr>
          <w:sz w:val="20"/>
          <w:szCs w:val="20"/>
        </w:rPr>
        <w:t xml:space="preserve">.), </w:t>
      </w:r>
      <w:r w:rsidRPr="006623EA">
        <w:rPr>
          <w:i/>
          <w:iCs/>
          <w:sz w:val="20"/>
          <w:szCs w:val="20"/>
        </w:rPr>
        <w:t>Diálogos dos Direitos Humanos</w:t>
      </w:r>
      <w:r w:rsidRPr="006623EA">
        <w:rPr>
          <w:sz w:val="20"/>
          <w:szCs w:val="20"/>
        </w:rPr>
        <w:t xml:space="preserve"> (pp. 563-577). Repositório Institucional UPT, </w:t>
      </w:r>
      <w:hyperlink r:id="rId11" w:tgtFrame="_blank" w:history="1">
        <w:r w:rsidRPr="006623EA">
          <w:rPr>
            <w:rStyle w:val="Hiperligao"/>
            <w:sz w:val="20"/>
            <w:szCs w:val="20"/>
          </w:rPr>
          <w:t>http://hdl.handle.net/11328/4019</w:t>
        </w:r>
      </w:hyperlink>
    </w:p>
    <w:p w14:paraId="1A9F8959" w14:textId="7564DED7" w:rsidR="00E4192F" w:rsidRDefault="00E4192F" w:rsidP="00E4192F">
      <w:pPr>
        <w:spacing w:after="0" w:line="240" w:lineRule="auto"/>
        <w:jc w:val="both"/>
        <w:rPr>
          <w:rStyle w:val="Hiperligao"/>
          <w:sz w:val="20"/>
          <w:szCs w:val="20"/>
        </w:rPr>
      </w:pPr>
    </w:p>
    <w:p w14:paraId="39C5D132" w14:textId="038ED4EB" w:rsidR="00E4192F" w:rsidRPr="008C76B3" w:rsidRDefault="008C76B3" w:rsidP="008C76B3">
      <w:pPr>
        <w:jc w:val="both"/>
        <w:rPr>
          <w:rStyle w:val="Hiperligao"/>
          <w:rFonts w:cstheme="minorHAnsi"/>
          <w:color w:val="auto"/>
          <w:sz w:val="20"/>
          <w:szCs w:val="20"/>
          <w:u w:val="none"/>
        </w:rPr>
      </w:pPr>
      <w:r w:rsidRPr="008C76B3">
        <w:rPr>
          <w:rFonts w:eastAsia="Times New Roman" w:cstheme="minorHAnsi"/>
          <w:sz w:val="20"/>
          <w:szCs w:val="20"/>
        </w:rPr>
        <w:t xml:space="preserve">Alves, D. R., &amp; Barata, M. S. (2023). A democracia participativa e a iniciativa de cidadania europeia. </w:t>
      </w:r>
      <w:r w:rsidRPr="008C76B3">
        <w:rPr>
          <w:rFonts w:eastAsia="Times New Roman" w:cstheme="minorHAnsi"/>
          <w:i/>
          <w:iCs/>
          <w:sz w:val="20"/>
          <w:szCs w:val="20"/>
        </w:rPr>
        <w:t>Revista Minerva Universitária</w:t>
      </w:r>
      <w:r w:rsidRPr="008C76B3">
        <w:rPr>
          <w:rFonts w:eastAsia="Times New Roman" w:cstheme="minorHAnsi"/>
          <w:sz w:val="20"/>
          <w:szCs w:val="20"/>
        </w:rPr>
        <w:t xml:space="preserve">, (publicado online: 29 março 2023), 1-13. Repositório Institucional UPT. </w:t>
      </w:r>
      <w:hyperlink r:id="rId12" w:tgtFrame="_blank" w:history="1">
        <w:r w:rsidRPr="008C76B3">
          <w:rPr>
            <w:rStyle w:val="Hiperligao"/>
            <w:rFonts w:cstheme="minorHAnsi"/>
            <w:sz w:val="20"/>
            <w:szCs w:val="20"/>
          </w:rPr>
          <w:t>http://hdl.handle.net/11328/4726</w:t>
        </w:r>
      </w:hyperlink>
      <w:r w:rsidRPr="008C76B3">
        <w:rPr>
          <w:rFonts w:eastAsia="Times New Roman" w:cstheme="minorHAnsi"/>
          <w:sz w:val="20"/>
          <w:szCs w:val="20"/>
        </w:rPr>
        <w:t xml:space="preserve"> </w:t>
      </w:r>
      <w:r w:rsidRPr="008C76B3">
        <w:rPr>
          <w:rFonts w:cstheme="minorHAnsi"/>
          <w:color w:val="A5A5A5" w:themeColor="accent3"/>
          <w:sz w:val="20"/>
          <w:szCs w:val="20"/>
        </w:rPr>
        <w:t xml:space="preserve">e </w:t>
      </w:r>
      <w:hyperlink r:id="rId13" w:history="1">
        <w:r w:rsidRPr="008C76B3">
          <w:rPr>
            <w:rStyle w:val="Hiperligao"/>
            <w:rFonts w:cstheme="minorHAnsi"/>
            <w:sz w:val="20"/>
            <w:szCs w:val="20"/>
          </w:rPr>
          <w:t>https://www.revistaminerva.pt/a-democracia-participativa-e-a-iniciativa-de-cidadania-europeia/</w:t>
        </w:r>
      </w:hyperlink>
    </w:p>
    <w:p w14:paraId="74BA9636" w14:textId="77777777" w:rsidR="00E4192F" w:rsidRPr="006623EA" w:rsidRDefault="00E4192F" w:rsidP="00E4192F">
      <w:pPr>
        <w:spacing w:after="0" w:line="240" w:lineRule="auto"/>
        <w:jc w:val="both"/>
        <w:rPr>
          <w:sz w:val="20"/>
          <w:szCs w:val="20"/>
        </w:rPr>
      </w:pPr>
    </w:p>
    <w:p w14:paraId="35219452" w14:textId="77777777" w:rsidR="00E4192F" w:rsidRDefault="00E4192F" w:rsidP="00E4192F">
      <w:pPr>
        <w:spacing w:after="0" w:line="240" w:lineRule="auto"/>
        <w:jc w:val="both"/>
        <w:rPr>
          <w:sz w:val="20"/>
          <w:szCs w:val="20"/>
          <w:lang w:val="en-GB"/>
        </w:rPr>
      </w:pPr>
      <w:r w:rsidRPr="006623EA">
        <w:rPr>
          <w:sz w:val="20"/>
          <w:szCs w:val="20"/>
        </w:rPr>
        <w:t>Barata, M. S. &amp; Alves, D. R. (2022). A União Europeia, a democracia e</w:t>
      </w:r>
      <w:r w:rsidRPr="006623EA">
        <w:rPr>
          <w:b/>
          <w:bCs/>
          <w:sz w:val="20"/>
          <w:szCs w:val="20"/>
        </w:rPr>
        <w:t xml:space="preserve"> </w:t>
      </w:r>
      <w:r w:rsidRPr="006623EA">
        <w:rPr>
          <w:sz w:val="20"/>
          <w:szCs w:val="20"/>
        </w:rPr>
        <w:t xml:space="preserve">o relevo da iniciativa de cidadania europeia. </w:t>
      </w:r>
      <w:r w:rsidRPr="006623EA">
        <w:rPr>
          <w:i/>
          <w:iCs/>
          <w:sz w:val="20"/>
          <w:szCs w:val="20"/>
        </w:rPr>
        <w:t>In</w:t>
      </w:r>
      <w:r w:rsidRPr="006623EA">
        <w:rPr>
          <w:sz w:val="20"/>
          <w:szCs w:val="20"/>
        </w:rPr>
        <w:t xml:space="preserve"> </w:t>
      </w:r>
      <w:r w:rsidRPr="006623EA">
        <w:rPr>
          <w:rFonts w:ascii="Times New Roman" w:eastAsia="Times New Roman" w:hAnsi="Times New Roman" w:cs="Times New Roman"/>
          <w:i/>
          <w:iCs/>
          <w:sz w:val="20"/>
          <w:szCs w:val="20"/>
        </w:rPr>
        <w:t>Nós e os outros, os Europeus</w:t>
      </w:r>
      <w:r w:rsidRPr="006623EA">
        <w:rPr>
          <w:rFonts w:ascii="Times New Roman" w:hAnsi="Times New Roman" w:cs="Times New Roman"/>
          <w:i/>
          <w:iCs/>
          <w:sz w:val="20"/>
          <w:szCs w:val="20"/>
        </w:rPr>
        <w:t xml:space="preserve"> - </w:t>
      </w:r>
      <w:r w:rsidRPr="006623EA">
        <w:rPr>
          <w:rFonts w:ascii="Times New Roman" w:eastAsia="Times New Roman" w:hAnsi="Times New Roman" w:cs="Times New Roman"/>
          <w:i/>
          <w:iCs/>
          <w:sz w:val="20"/>
          <w:szCs w:val="20"/>
        </w:rPr>
        <w:t>Cidadania(s). Estudos Interdisciplinares (Direito, Ciência Política, Relações Internacionais</w:t>
      </w:r>
      <w:proofErr w:type="gramStart"/>
      <w:r w:rsidRPr="006623EA">
        <w:rPr>
          <w:rFonts w:ascii="Times New Roman" w:eastAsia="Times New Roman" w:hAnsi="Times New Roman" w:cs="Times New Roman"/>
          <w:i/>
          <w:iCs/>
          <w:sz w:val="20"/>
          <w:szCs w:val="20"/>
        </w:rPr>
        <w:t>)</w:t>
      </w:r>
      <w:r w:rsidRPr="006623EA">
        <w:rPr>
          <w:rFonts w:ascii="Times New Roman" w:hAnsi="Times New Roman"/>
          <w:sz w:val="20"/>
          <w:szCs w:val="20"/>
        </w:rPr>
        <w:t>.</w:t>
      </w:r>
      <w:r w:rsidRPr="006623EA">
        <w:rPr>
          <w:sz w:val="20"/>
          <w:szCs w:val="20"/>
        </w:rPr>
        <w:t>.</w:t>
      </w:r>
      <w:proofErr w:type="gramEnd"/>
      <w:r w:rsidRPr="006623EA">
        <w:rPr>
          <w:sz w:val="20"/>
          <w:szCs w:val="20"/>
        </w:rPr>
        <w:t xml:space="preserve"> Coordenação: Eugénio Lucas; Mário Simões Barata; Ana Isabel Xavier; Isabel Baltazar. </w:t>
      </w:r>
      <w:r w:rsidRPr="006623EA">
        <w:rPr>
          <w:sz w:val="20"/>
          <w:szCs w:val="20"/>
          <w:lang w:val="en-GB"/>
        </w:rPr>
        <w:t>(</w:t>
      </w:r>
      <w:proofErr w:type="spellStart"/>
      <w:r w:rsidRPr="006623EA">
        <w:rPr>
          <w:sz w:val="20"/>
          <w:szCs w:val="20"/>
          <w:lang w:val="en-GB"/>
        </w:rPr>
        <w:t>em</w:t>
      </w:r>
      <w:proofErr w:type="spellEnd"/>
      <w:r w:rsidRPr="006623EA">
        <w:rPr>
          <w:sz w:val="20"/>
          <w:szCs w:val="20"/>
          <w:lang w:val="en-GB"/>
        </w:rPr>
        <w:t xml:space="preserve"> </w:t>
      </w:r>
      <w:proofErr w:type="spellStart"/>
      <w:r w:rsidRPr="006623EA">
        <w:rPr>
          <w:sz w:val="20"/>
          <w:szCs w:val="20"/>
          <w:lang w:val="en-GB"/>
        </w:rPr>
        <w:t>publicação</w:t>
      </w:r>
      <w:proofErr w:type="spellEnd"/>
      <w:r w:rsidRPr="006623EA">
        <w:rPr>
          <w:sz w:val="20"/>
          <w:szCs w:val="20"/>
          <w:lang w:val="en-GB"/>
        </w:rPr>
        <w:t>)</w:t>
      </w:r>
    </w:p>
    <w:p w14:paraId="6443ED9F" w14:textId="77777777" w:rsidR="00E4192F" w:rsidRPr="006623EA" w:rsidRDefault="00E4192F" w:rsidP="00E4192F">
      <w:pPr>
        <w:spacing w:after="0" w:line="240" w:lineRule="auto"/>
        <w:jc w:val="both"/>
        <w:rPr>
          <w:sz w:val="20"/>
          <w:szCs w:val="20"/>
          <w:lang w:val="en-GB"/>
        </w:rPr>
      </w:pPr>
    </w:p>
    <w:p w14:paraId="1CFFD2D1" w14:textId="77777777" w:rsidR="00E4192F" w:rsidRDefault="00E4192F" w:rsidP="00E4192F">
      <w:pPr>
        <w:spacing w:after="0" w:line="240" w:lineRule="auto"/>
        <w:jc w:val="both"/>
        <w:rPr>
          <w:color w:val="000000"/>
          <w:spacing w:val="5"/>
          <w:sz w:val="20"/>
          <w:szCs w:val="20"/>
          <w:shd w:val="clear" w:color="auto" w:fill="FFFFFF"/>
        </w:rPr>
      </w:pPr>
      <w:r w:rsidRPr="006623EA">
        <w:rPr>
          <w:sz w:val="20"/>
          <w:szCs w:val="20"/>
          <w:lang w:val="en-GB"/>
        </w:rPr>
        <w:t xml:space="preserve">ORGAN, J &amp; ALEMANNO, A (Eds). </w:t>
      </w:r>
      <w:r w:rsidRPr="006623EA">
        <w:rPr>
          <w:i/>
          <w:iCs/>
          <w:sz w:val="20"/>
          <w:szCs w:val="20"/>
          <w:lang w:val="en-GB"/>
        </w:rPr>
        <w:t>Citizen Participation in Democratic Europe: What Next for the EU?</w:t>
      </w:r>
      <w:r w:rsidRPr="006623EA">
        <w:rPr>
          <w:sz w:val="20"/>
          <w:szCs w:val="20"/>
          <w:lang w:val="en-GB"/>
        </w:rPr>
        <w:t xml:space="preserve"> </w:t>
      </w:r>
      <w:r w:rsidRPr="006623EA">
        <w:rPr>
          <w:sz w:val="20"/>
          <w:szCs w:val="20"/>
        </w:rPr>
        <w:t xml:space="preserve">Maryland: </w:t>
      </w:r>
      <w:proofErr w:type="spellStart"/>
      <w:r w:rsidRPr="006623EA">
        <w:rPr>
          <w:spacing w:val="13"/>
          <w:sz w:val="20"/>
          <w:szCs w:val="20"/>
          <w:shd w:val="clear" w:color="auto" w:fill="FFFFFF"/>
        </w:rPr>
        <w:t>Rowman</w:t>
      </w:r>
      <w:proofErr w:type="spellEnd"/>
      <w:r w:rsidRPr="006623EA">
        <w:rPr>
          <w:spacing w:val="13"/>
          <w:sz w:val="20"/>
          <w:szCs w:val="20"/>
          <w:shd w:val="clear" w:color="auto" w:fill="FFFFFF"/>
        </w:rPr>
        <w:t xml:space="preserve"> &amp; </w:t>
      </w:r>
      <w:proofErr w:type="spellStart"/>
      <w:r w:rsidRPr="006623EA">
        <w:rPr>
          <w:spacing w:val="13"/>
          <w:sz w:val="20"/>
          <w:szCs w:val="20"/>
          <w:shd w:val="clear" w:color="auto" w:fill="FFFFFF"/>
        </w:rPr>
        <w:t>Littlefield</w:t>
      </w:r>
      <w:proofErr w:type="spellEnd"/>
      <w:r w:rsidRPr="006623EA">
        <w:rPr>
          <w:spacing w:val="13"/>
          <w:sz w:val="20"/>
          <w:szCs w:val="20"/>
          <w:shd w:val="clear" w:color="auto" w:fill="FFFFFF"/>
        </w:rPr>
        <w:t xml:space="preserve"> Publishers / ECPR </w:t>
      </w:r>
      <w:proofErr w:type="spellStart"/>
      <w:r w:rsidRPr="006623EA">
        <w:rPr>
          <w:spacing w:val="13"/>
          <w:sz w:val="20"/>
          <w:szCs w:val="20"/>
          <w:shd w:val="clear" w:color="auto" w:fill="FFFFFF"/>
        </w:rPr>
        <w:t>Press</w:t>
      </w:r>
      <w:proofErr w:type="spellEnd"/>
      <w:r w:rsidRPr="006623EA">
        <w:rPr>
          <w:sz w:val="20"/>
          <w:szCs w:val="20"/>
        </w:rPr>
        <w:t xml:space="preserve">, 2021. ISBN </w:t>
      </w:r>
      <w:r w:rsidRPr="006623EA">
        <w:rPr>
          <w:color w:val="000000"/>
          <w:spacing w:val="5"/>
          <w:sz w:val="20"/>
          <w:szCs w:val="20"/>
          <w:shd w:val="clear" w:color="auto" w:fill="FFFFFF"/>
        </w:rPr>
        <w:t>978-1-78661-287-8.</w:t>
      </w:r>
    </w:p>
    <w:p w14:paraId="1D475E8A" w14:textId="77777777" w:rsidR="00E4192F" w:rsidRPr="006623EA" w:rsidRDefault="00E4192F" w:rsidP="00E4192F">
      <w:pPr>
        <w:spacing w:after="0" w:line="240" w:lineRule="auto"/>
        <w:jc w:val="both"/>
        <w:rPr>
          <w:color w:val="000000"/>
          <w:spacing w:val="5"/>
          <w:sz w:val="20"/>
          <w:szCs w:val="20"/>
          <w:shd w:val="clear" w:color="auto" w:fill="FFFFFF"/>
        </w:rPr>
      </w:pPr>
    </w:p>
    <w:p w14:paraId="560299F7" w14:textId="77777777" w:rsidR="00E4192F" w:rsidRDefault="00E4192F" w:rsidP="00E4192F">
      <w:pPr>
        <w:spacing w:after="0" w:line="240" w:lineRule="auto"/>
        <w:jc w:val="both"/>
        <w:rPr>
          <w:sz w:val="20"/>
          <w:szCs w:val="20"/>
        </w:rPr>
      </w:pPr>
      <w:r w:rsidRPr="006623EA">
        <w:rPr>
          <w:sz w:val="20"/>
          <w:szCs w:val="20"/>
        </w:rPr>
        <w:t xml:space="preserve">MOREIRA, Vital. “A vontade dos cidadãos da União”: a democracia supranacional na União Europeia. </w:t>
      </w:r>
      <w:r w:rsidRPr="006623EA">
        <w:rPr>
          <w:i/>
          <w:iCs/>
          <w:sz w:val="20"/>
          <w:szCs w:val="20"/>
        </w:rPr>
        <w:t>Revista Estudos do Século XX</w:t>
      </w:r>
      <w:r w:rsidRPr="006623EA">
        <w:rPr>
          <w:sz w:val="20"/>
          <w:szCs w:val="20"/>
        </w:rPr>
        <w:t xml:space="preserve"> [em linha] </w:t>
      </w:r>
      <w:r w:rsidRPr="006623EA">
        <w:rPr>
          <w:rFonts w:cs="Arial"/>
          <w:i/>
          <w:iCs/>
          <w:sz w:val="20"/>
          <w:szCs w:val="20"/>
        </w:rPr>
        <w:t>Revista do Centro de Estudos Interdisciplinares do Século XX da Universidade de Coimbra</w:t>
      </w:r>
      <w:r w:rsidRPr="006623EA">
        <w:rPr>
          <w:sz w:val="20"/>
          <w:szCs w:val="20"/>
        </w:rPr>
        <w:t>. Dezembro 2018, no 17, p. 45</w:t>
      </w:r>
      <w:r w:rsidRPr="006623EA">
        <w:rPr>
          <w:sz w:val="20"/>
          <w:szCs w:val="20"/>
        </w:rPr>
        <w:noBreakHyphen/>
        <w:t>80. [</w:t>
      </w:r>
      <w:proofErr w:type="spellStart"/>
      <w:r w:rsidRPr="006623EA">
        <w:rPr>
          <w:sz w:val="20"/>
          <w:szCs w:val="20"/>
        </w:rPr>
        <w:t>consult</w:t>
      </w:r>
      <w:proofErr w:type="spellEnd"/>
      <w:r w:rsidRPr="006623EA">
        <w:rPr>
          <w:sz w:val="20"/>
          <w:szCs w:val="20"/>
        </w:rPr>
        <w:t xml:space="preserve">. 17 de nov. 2022] DOI 10.14195/1647-8622_17_3. </w:t>
      </w:r>
      <w:proofErr w:type="spellStart"/>
      <w:r w:rsidRPr="006623EA">
        <w:rPr>
          <w:sz w:val="20"/>
          <w:szCs w:val="20"/>
        </w:rPr>
        <w:t>Disponivel</w:t>
      </w:r>
      <w:proofErr w:type="spellEnd"/>
      <w:r w:rsidRPr="006623EA">
        <w:rPr>
          <w:sz w:val="20"/>
          <w:szCs w:val="20"/>
        </w:rPr>
        <w:t xml:space="preserve"> em: </w:t>
      </w:r>
      <w:hyperlink r:id="rId14" w:history="1">
        <w:r w:rsidRPr="006623EA">
          <w:rPr>
            <w:rStyle w:val="Hiperligao"/>
            <w:sz w:val="20"/>
            <w:szCs w:val="20"/>
          </w:rPr>
          <w:t>“A vontade dos cidadãos da União” | Revista Estudos do Século XX (uc.pt)</w:t>
        </w:r>
      </w:hyperlink>
      <w:r w:rsidRPr="006623EA">
        <w:rPr>
          <w:sz w:val="20"/>
          <w:szCs w:val="20"/>
        </w:rPr>
        <w:t xml:space="preserve"> </w:t>
      </w:r>
    </w:p>
    <w:p w14:paraId="3CD97DA9" w14:textId="77777777" w:rsidR="00E4192F" w:rsidRPr="006623EA" w:rsidRDefault="00E4192F" w:rsidP="00E4192F">
      <w:pPr>
        <w:spacing w:after="0" w:line="240" w:lineRule="auto"/>
        <w:jc w:val="both"/>
        <w:rPr>
          <w:sz w:val="20"/>
          <w:szCs w:val="20"/>
        </w:rPr>
      </w:pPr>
    </w:p>
    <w:p w14:paraId="7EB68991" w14:textId="77777777" w:rsidR="00E4192F" w:rsidRPr="006623EA" w:rsidRDefault="00E4192F" w:rsidP="00E4192F">
      <w:pPr>
        <w:spacing w:after="0" w:line="240" w:lineRule="auto"/>
        <w:jc w:val="both"/>
        <w:rPr>
          <w:rStyle w:val="Hiperligao"/>
          <w:rFonts w:cstheme="minorHAnsi"/>
          <w:i/>
          <w:iCs/>
          <w:color w:val="auto"/>
          <w:sz w:val="20"/>
          <w:szCs w:val="20"/>
          <w:u w:val="none"/>
        </w:rPr>
      </w:pPr>
      <w:r w:rsidRPr="006623EA">
        <w:rPr>
          <w:rStyle w:val="name"/>
          <w:rFonts w:cstheme="minorHAnsi"/>
          <w:sz w:val="20"/>
          <w:szCs w:val="20"/>
        </w:rPr>
        <w:t>BALTAZAR, Isabel Cristina. “</w:t>
      </w:r>
      <w:r w:rsidRPr="006623EA">
        <w:rPr>
          <w:rFonts w:cstheme="minorHAnsi"/>
          <w:sz w:val="20"/>
          <w:szCs w:val="20"/>
        </w:rPr>
        <w:t xml:space="preserve">A Democracia na Europa Desafio do </w:t>
      </w:r>
      <w:proofErr w:type="spellStart"/>
      <w:r w:rsidRPr="006623EA">
        <w:rPr>
          <w:rFonts w:cstheme="minorHAnsi"/>
          <w:sz w:val="20"/>
          <w:szCs w:val="20"/>
        </w:rPr>
        <w:t>Projecto</w:t>
      </w:r>
      <w:proofErr w:type="spellEnd"/>
      <w:r w:rsidRPr="006623EA">
        <w:rPr>
          <w:rFonts w:cstheme="minorHAnsi"/>
          <w:sz w:val="20"/>
          <w:szCs w:val="20"/>
        </w:rPr>
        <w:t xml:space="preserve"> para os Europeus”</w:t>
      </w:r>
      <w:r w:rsidRPr="006623EA">
        <w:rPr>
          <w:rStyle w:val="name"/>
          <w:rFonts w:cstheme="minorHAnsi"/>
          <w:sz w:val="20"/>
          <w:szCs w:val="20"/>
        </w:rPr>
        <w:t xml:space="preserve">. </w:t>
      </w:r>
      <w:r w:rsidRPr="006623EA">
        <w:rPr>
          <w:rFonts w:cstheme="minorHAnsi"/>
          <w:i/>
          <w:iCs/>
          <w:sz w:val="20"/>
          <w:szCs w:val="20"/>
        </w:rPr>
        <w:t>ESTUDOS DO SÉCULO XX Revista do Centro de Estudos Interdisciplinares do Século XX da Universidade de Coimbra</w:t>
      </w:r>
      <w:r w:rsidRPr="006623EA">
        <w:rPr>
          <w:rFonts w:cstheme="minorHAnsi"/>
          <w:sz w:val="20"/>
          <w:szCs w:val="20"/>
        </w:rPr>
        <w:t>. nº 17, 2017. DOI: </w:t>
      </w:r>
      <w:hyperlink r:id="rId15" w:history="1">
        <w:r w:rsidRPr="006623EA">
          <w:rPr>
            <w:rStyle w:val="Hiperligao"/>
            <w:rFonts w:cstheme="minorHAnsi"/>
            <w:sz w:val="20"/>
            <w:szCs w:val="20"/>
          </w:rPr>
          <w:t>https://doi.org/10.14195/1647-8622_17_12</w:t>
        </w:r>
      </w:hyperlink>
      <w:r w:rsidRPr="006623EA">
        <w:rPr>
          <w:rFonts w:cstheme="minorHAnsi"/>
          <w:sz w:val="20"/>
          <w:szCs w:val="20"/>
        </w:rPr>
        <w:t xml:space="preserve"> </w:t>
      </w:r>
      <w:hyperlink r:id="rId16" w:history="1">
        <w:r w:rsidRPr="006623EA">
          <w:rPr>
            <w:rStyle w:val="Hiperligao"/>
            <w:rFonts w:cstheme="minorHAnsi"/>
            <w:sz w:val="20"/>
            <w:szCs w:val="20"/>
          </w:rPr>
          <w:t>A Democracia na Europa | Revista Estudos do Século XX (uc.pt)</w:t>
        </w:r>
      </w:hyperlink>
    </w:p>
    <w:p w14:paraId="0B70D41A" w14:textId="77777777" w:rsidR="00207533" w:rsidRDefault="00207533" w:rsidP="00207533">
      <w:pPr>
        <w:spacing w:line="360" w:lineRule="auto"/>
        <w:jc w:val="both"/>
      </w:pPr>
    </w:p>
    <w:p w14:paraId="5E163C1C" w14:textId="4077B932" w:rsidR="00207533" w:rsidRDefault="00207533" w:rsidP="00207533">
      <w:pPr>
        <w:spacing w:line="360" w:lineRule="auto"/>
        <w:jc w:val="both"/>
        <w:rPr>
          <w:b/>
          <w:bCs/>
        </w:rPr>
      </w:pPr>
      <w:r w:rsidRPr="00F252BB">
        <w:rPr>
          <w:b/>
          <w:bCs/>
        </w:rPr>
        <w:t>Documentação</w:t>
      </w:r>
    </w:p>
    <w:p w14:paraId="571BB866" w14:textId="77777777" w:rsidR="009654C5" w:rsidRPr="006623EA" w:rsidRDefault="009654C5" w:rsidP="009654C5">
      <w:pPr>
        <w:spacing w:after="0"/>
        <w:jc w:val="both"/>
        <w:rPr>
          <w:rFonts w:ascii="Times New Roman" w:hAnsi="Times New Roman" w:cs="Times New Roman"/>
          <w:sz w:val="20"/>
          <w:szCs w:val="20"/>
        </w:rPr>
      </w:pPr>
      <w:r w:rsidRPr="006623EA">
        <w:rPr>
          <w:rFonts w:ascii="Times New Roman" w:hAnsi="Times New Roman" w:cs="Times New Roman"/>
          <w:bCs/>
          <w:sz w:val="20"/>
          <w:szCs w:val="20"/>
        </w:rPr>
        <w:t xml:space="preserve">Regulamento (UE) 2019/788 do Parlamento Europeu e do Conselho de 17 de abril de 2019 </w:t>
      </w:r>
      <w:r w:rsidRPr="006623EA">
        <w:rPr>
          <w:rStyle w:val="Forte"/>
          <w:rFonts w:ascii="Times New Roman" w:hAnsi="Times New Roman" w:cs="Times New Roman"/>
          <w:sz w:val="20"/>
          <w:szCs w:val="20"/>
        </w:rPr>
        <w:t>sobre a iniciativa de cidadania europeia</w:t>
      </w:r>
      <w:r w:rsidRPr="006623EA">
        <w:rPr>
          <w:rFonts w:ascii="Times New Roman" w:hAnsi="Times New Roman" w:cs="Times New Roman"/>
          <w:sz w:val="20"/>
          <w:szCs w:val="20"/>
        </w:rPr>
        <w:t xml:space="preserve">, JOUE L 130 de 17.05.2019, pp. 55 a 81. JOUE C 424 de 15.12.2020, pp. 60 e 61. Retificado no JOUE C 424 de 15.12.2020, pp. 60 e 61 Em </w:t>
      </w:r>
      <w:hyperlink r:id="rId17" w:history="1">
        <w:r w:rsidRPr="006623EA">
          <w:rPr>
            <w:rStyle w:val="Hiperligao"/>
            <w:rFonts w:ascii="Times New Roman" w:hAnsi="Times New Roman" w:cs="Times New Roman"/>
            <w:sz w:val="20"/>
            <w:szCs w:val="20"/>
          </w:rPr>
          <w:t>https://eur-lex.europa.eu/legal-content/PT/TXT/PDF/?uri=CELEX:32019R0788R(02)&amp;from=PT</w:t>
        </w:r>
      </w:hyperlink>
    </w:p>
    <w:p w14:paraId="5D7DFA85" w14:textId="77777777" w:rsidR="009654C5" w:rsidRPr="006623EA" w:rsidRDefault="009654C5" w:rsidP="009654C5">
      <w:pPr>
        <w:pStyle w:val="Default"/>
        <w:jc w:val="both"/>
        <w:rPr>
          <w:rFonts w:ascii="Times New Roman" w:hAnsi="Times New Roman" w:cs="Times New Roman"/>
          <w:color w:val="auto"/>
          <w:sz w:val="20"/>
          <w:szCs w:val="20"/>
        </w:rPr>
      </w:pPr>
    </w:p>
    <w:p w14:paraId="45009583" w14:textId="77777777" w:rsidR="009654C5" w:rsidRDefault="009654C5" w:rsidP="009654C5">
      <w:pPr>
        <w:pStyle w:val="Default"/>
        <w:jc w:val="both"/>
        <w:rPr>
          <w:rFonts w:ascii="Times New Roman" w:hAnsi="Times New Roman" w:cs="Times New Roman"/>
          <w:sz w:val="20"/>
          <w:szCs w:val="20"/>
        </w:rPr>
      </w:pPr>
      <w:r w:rsidRPr="006623EA">
        <w:rPr>
          <w:rFonts w:ascii="Times New Roman" w:hAnsi="Times New Roman" w:cs="Times New Roman"/>
          <w:color w:val="auto"/>
          <w:sz w:val="20"/>
          <w:szCs w:val="20"/>
        </w:rPr>
        <w:t xml:space="preserve">Regulamento (UE) n.º 211/2011 do Parlamento Europeu e do Conselho, de 16 de fevereiro de 2011, sobre a iniciativa de cidadania (JO L 65 de 11.3.2011, p. 1) Retificado no </w:t>
      </w:r>
      <w:r w:rsidRPr="006623EA">
        <w:rPr>
          <w:rFonts w:ascii="Times New Roman" w:hAnsi="Times New Roman" w:cs="Times New Roman"/>
          <w:sz w:val="20"/>
          <w:szCs w:val="20"/>
        </w:rPr>
        <w:t xml:space="preserve">JOUE L 334 de 27.12.2019, p. 168. </w:t>
      </w:r>
    </w:p>
    <w:p w14:paraId="42748A39" w14:textId="77777777" w:rsidR="009654C5" w:rsidRPr="00C34DE2" w:rsidRDefault="009654C5" w:rsidP="009654C5">
      <w:pPr>
        <w:pStyle w:val="Default"/>
        <w:jc w:val="both"/>
        <w:rPr>
          <w:rFonts w:ascii="Times New Roman" w:hAnsi="Times New Roman" w:cs="Times New Roman"/>
          <w:sz w:val="20"/>
          <w:szCs w:val="20"/>
        </w:rPr>
      </w:pPr>
    </w:p>
    <w:p w14:paraId="0BE77910" w14:textId="77777777" w:rsidR="009654C5" w:rsidRDefault="00265CD6" w:rsidP="009654C5">
      <w:pPr>
        <w:spacing w:line="360" w:lineRule="auto"/>
        <w:jc w:val="both"/>
      </w:pPr>
      <w:hyperlink r:id="rId18" w:history="1">
        <w:r w:rsidR="009654C5">
          <w:rPr>
            <w:rStyle w:val="Hiperligao"/>
          </w:rPr>
          <w:t>Início | Iniciativa de cidadania europeia (europa.eu)</w:t>
        </w:r>
      </w:hyperlink>
    </w:p>
    <w:p w14:paraId="121552F2" w14:textId="77777777" w:rsidR="009654C5" w:rsidRDefault="009654C5" w:rsidP="00C30B33">
      <w:pPr>
        <w:ind w:right="-1"/>
        <w:jc w:val="both"/>
        <w:rPr>
          <w:rFonts w:ascii="Garamond" w:hAnsi="Garamond"/>
          <w:bCs/>
          <w:sz w:val="24"/>
          <w:szCs w:val="24"/>
        </w:rPr>
      </w:pPr>
    </w:p>
    <w:p w14:paraId="76C0FCCD" w14:textId="0CAF1BAF" w:rsidR="00C129DB" w:rsidRDefault="007607D8" w:rsidP="00C9780B">
      <w:pPr>
        <w:ind w:right="-1135"/>
        <w:jc w:val="both"/>
        <w:rPr>
          <w:b/>
          <w:bCs/>
        </w:rPr>
      </w:pPr>
      <w:r>
        <w:rPr>
          <w:b/>
          <w:bCs/>
        </w:rPr>
        <w:t>Breve nota académica dos autores</w:t>
      </w:r>
    </w:p>
    <w:p w14:paraId="11F05ED6" w14:textId="77777777" w:rsidR="00BB1895" w:rsidRPr="00BB1895" w:rsidRDefault="00BB1895" w:rsidP="00BB1895">
      <w:pPr>
        <w:rPr>
          <w:rFonts w:ascii="Times New Roman" w:hAnsi="Times New Roman" w:cs="Times New Roman"/>
          <w:b/>
          <w:bCs/>
          <w:noProof/>
          <w:sz w:val="20"/>
          <w:szCs w:val="20"/>
          <w:u w:val="single"/>
        </w:rPr>
      </w:pPr>
      <w:r w:rsidRPr="00BB1895">
        <w:rPr>
          <w:rFonts w:ascii="Times New Roman" w:hAnsi="Times New Roman" w:cs="Times New Roman"/>
          <w:noProof/>
          <w:sz w:val="20"/>
          <w:szCs w:val="20"/>
          <w:u w:val="single"/>
        </w:rPr>
        <w:lastRenderedPageBreak/>
        <w:t>MÁRIO SIMÕES BARATA</w:t>
      </w:r>
    </w:p>
    <w:p w14:paraId="4D72F9CA" w14:textId="77777777" w:rsidR="00BB1895" w:rsidRPr="00BB1895" w:rsidRDefault="00BB1895" w:rsidP="00BB1895">
      <w:pPr>
        <w:pStyle w:val="NormalWeb"/>
        <w:shd w:val="clear" w:color="auto" w:fill="FFFFFF"/>
        <w:spacing w:before="0" w:beforeAutospacing="0" w:after="0" w:afterAutospacing="0"/>
        <w:jc w:val="both"/>
        <w:rPr>
          <w:rFonts w:asciiTheme="minorHAnsi" w:eastAsiaTheme="minorHAnsi" w:hAnsiTheme="minorHAnsi" w:cstheme="minorBidi"/>
          <w:sz w:val="20"/>
          <w:szCs w:val="20"/>
          <w:lang w:eastAsia="en-US"/>
        </w:rPr>
      </w:pPr>
      <w:r w:rsidRPr="00BB1895">
        <w:rPr>
          <w:rFonts w:asciiTheme="minorHAnsi" w:eastAsiaTheme="minorHAnsi" w:hAnsiTheme="minorHAnsi" w:cstheme="minorBidi"/>
          <w:sz w:val="20"/>
          <w:szCs w:val="20"/>
          <w:lang w:eastAsia="en-US"/>
        </w:rPr>
        <w:t xml:space="preserve">Doutorado em Direito na especialidade de Ciências Jurídicas-Políticas na Universidade de Coimbra com a dissertação Formas de Federalismo e O Tratado de Lisboa: Confederação, Federação e Integração Europeia, cursou Ciência Política na </w:t>
      </w:r>
      <w:proofErr w:type="spellStart"/>
      <w:r w:rsidRPr="00BB1895">
        <w:rPr>
          <w:rFonts w:asciiTheme="minorHAnsi" w:eastAsiaTheme="minorHAnsi" w:hAnsiTheme="minorHAnsi" w:cstheme="minorBidi"/>
          <w:sz w:val="20"/>
          <w:szCs w:val="20"/>
          <w:lang w:eastAsia="en-US"/>
        </w:rPr>
        <w:t>McGIll</w:t>
      </w:r>
      <w:proofErr w:type="spellEnd"/>
      <w:r w:rsidRPr="00BB1895">
        <w:rPr>
          <w:rFonts w:asciiTheme="minorHAnsi" w:eastAsiaTheme="minorHAnsi" w:hAnsiTheme="minorHAnsi" w:cstheme="minorBidi"/>
          <w:sz w:val="20"/>
          <w:szCs w:val="20"/>
          <w:lang w:eastAsia="en-US"/>
        </w:rPr>
        <w:t xml:space="preserve"> </w:t>
      </w:r>
      <w:proofErr w:type="spellStart"/>
      <w:r w:rsidRPr="00BB1895">
        <w:rPr>
          <w:rFonts w:asciiTheme="minorHAnsi" w:eastAsiaTheme="minorHAnsi" w:hAnsiTheme="minorHAnsi" w:cstheme="minorBidi"/>
          <w:sz w:val="20"/>
          <w:szCs w:val="20"/>
          <w:lang w:eastAsia="en-US"/>
        </w:rPr>
        <w:t>University</w:t>
      </w:r>
      <w:proofErr w:type="spellEnd"/>
      <w:r w:rsidRPr="00BB1895">
        <w:rPr>
          <w:rFonts w:asciiTheme="minorHAnsi" w:eastAsiaTheme="minorHAnsi" w:hAnsiTheme="minorHAnsi" w:cstheme="minorBidi"/>
          <w:sz w:val="20"/>
          <w:szCs w:val="20"/>
          <w:lang w:eastAsia="en-US"/>
        </w:rPr>
        <w:t xml:space="preserve"> (Canadá).</w:t>
      </w:r>
    </w:p>
    <w:p w14:paraId="4EE5ABDC" w14:textId="77777777" w:rsidR="00BB1895" w:rsidRPr="00BB1895" w:rsidRDefault="00BB1895" w:rsidP="00BB1895">
      <w:pPr>
        <w:pStyle w:val="NormalWeb"/>
        <w:shd w:val="clear" w:color="auto" w:fill="FFFFFF"/>
        <w:spacing w:before="0" w:beforeAutospacing="0" w:after="0" w:afterAutospacing="0"/>
        <w:jc w:val="both"/>
        <w:rPr>
          <w:rFonts w:asciiTheme="minorHAnsi" w:eastAsiaTheme="minorHAnsi" w:hAnsiTheme="minorHAnsi" w:cstheme="minorBidi"/>
          <w:sz w:val="20"/>
          <w:szCs w:val="20"/>
          <w:lang w:eastAsia="en-US"/>
        </w:rPr>
      </w:pPr>
      <w:r w:rsidRPr="00BB1895">
        <w:rPr>
          <w:rFonts w:asciiTheme="minorHAnsi" w:eastAsiaTheme="minorHAnsi" w:hAnsiTheme="minorHAnsi" w:cstheme="minorBidi"/>
          <w:sz w:val="20"/>
          <w:szCs w:val="20"/>
          <w:lang w:eastAsia="en-US"/>
        </w:rPr>
        <w:t>No ano letivo 2001-2002 ingressou, como assistente, no Instituto Politécnico de Leiria.</w:t>
      </w:r>
    </w:p>
    <w:p w14:paraId="5BFF079D" w14:textId="4EC45610" w:rsidR="00BB1895" w:rsidRDefault="00BB1895" w:rsidP="00BB1895">
      <w:pPr>
        <w:pStyle w:val="NormalWeb"/>
        <w:shd w:val="clear" w:color="auto" w:fill="FFFFFF"/>
        <w:spacing w:before="0" w:beforeAutospacing="0" w:after="0" w:afterAutospacing="0"/>
        <w:jc w:val="both"/>
        <w:rPr>
          <w:rFonts w:asciiTheme="minorHAnsi" w:eastAsiaTheme="minorHAnsi" w:hAnsiTheme="minorHAnsi" w:cstheme="minorBidi"/>
          <w:sz w:val="20"/>
          <w:szCs w:val="20"/>
          <w:lang w:eastAsia="en-US"/>
        </w:rPr>
      </w:pPr>
      <w:r w:rsidRPr="00BB1895">
        <w:rPr>
          <w:rFonts w:asciiTheme="minorHAnsi" w:eastAsiaTheme="minorHAnsi" w:hAnsiTheme="minorHAnsi" w:cstheme="minorBidi"/>
          <w:sz w:val="20"/>
          <w:szCs w:val="20"/>
          <w:lang w:eastAsia="en-US"/>
        </w:rPr>
        <w:t>Atualmente, é Professor Adjunto no Politécnico de Leiria e Investigador do Instituto Jurídico da Portucalense – Pólo de Leiria. Investiga e publica nas áreas de Ciência Política, Direito Constitucional, Direito da União Europeia e Direito do Trabalho.</w:t>
      </w:r>
    </w:p>
    <w:p w14:paraId="5D26909B" w14:textId="20AD8A91" w:rsidR="0057473E" w:rsidRDefault="00265CD6" w:rsidP="0057473E">
      <w:pPr>
        <w:pStyle w:val="NormalWeb"/>
        <w:shd w:val="clear" w:color="auto" w:fill="FFFFFF"/>
        <w:spacing w:before="0" w:beforeAutospacing="0" w:after="0" w:afterAutospacing="0"/>
        <w:jc w:val="right"/>
        <w:rPr>
          <w:rFonts w:asciiTheme="minorHAnsi" w:eastAsiaTheme="minorHAnsi" w:hAnsiTheme="minorHAnsi" w:cstheme="minorBidi"/>
          <w:sz w:val="20"/>
          <w:szCs w:val="20"/>
          <w:lang w:eastAsia="en-US"/>
        </w:rPr>
      </w:pPr>
      <w:hyperlink r:id="rId19" w:history="1">
        <w:r w:rsidR="0057473E" w:rsidRPr="00D609F1">
          <w:rPr>
            <w:rStyle w:val="Hiperligao"/>
            <w:rFonts w:asciiTheme="minorHAnsi" w:eastAsiaTheme="minorHAnsi" w:hAnsiTheme="minorHAnsi" w:cstheme="minorBidi"/>
            <w:sz w:val="20"/>
            <w:szCs w:val="20"/>
            <w:lang w:eastAsia="en-US"/>
          </w:rPr>
          <w:t>https://orcid.org/0000-0001-8512-1650</w:t>
        </w:r>
      </w:hyperlink>
      <w:r w:rsidR="0057473E">
        <w:rPr>
          <w:rFonts w:asciiTheme="minorHAnsi" w:eastAsiaTheme="minorHAnsi" w:hAnsiTheme="minorHAnsi" w:cstheme="minorBidi"/>
          <w:sz w:val="20"/>
          <w:szCs w:val="20"/>
          <w:lang w:eastAsia="en-US"/>
        </w:rPr>
        <w:t xml:space="preserve"> </w:t>
      </w:r>
    </w:p>
    <w:p w14:paraId="3CA9A7C1" w14:textId="77777777" w:rsidR="00132668" w:rsidRPr="00BB1895" w:rsidRDefault="00132668" w:rsidP="0057473E">
      <w:pPr>
        <w:pStyle w:val="NormalWeb"/>
        <w:shd w:val="clear" w:color="auto" w:fill="FFFFFF"/>
        <w:spacing w:before="0" w:beforeAutospacing="0" w:after="0" w:afterAutospacing="0"/>
        <w:jc w:val="right"/>
        <w:rPr>
          <w:rFonts w:asciiTheme="minorHAnsi" w:eastAsiaTheme="minorHAnsi" w:hAnsiTheme="minorHAnsi" w:cstheme="minorBidi"/>
          <w:sz w:val="20"/>
          <w:szCs w:val="20"/>
          <w:lang w:eastAsia="en-US"/>
        </w:rPr>
      </w:pPr>
    </w:p>
    <w:p w14:paraId="7A47E3D0" w14:textId="5395711A" w:rsidR="00BB1895" w:rsidRDefault="00BB1895" w:rsidP="00132668">
      <w:pPr>
        <w:ind w:right="-1135"/>
        <w:jc w:val="right"/>
        <w:rPr>
          <w:b/>
          <w:bCs/>
        </w:rPr>
      </w:pPr>
      <w:r>
        <w:rPr>
          <w:noProof/>
        </w:rPr>
        <w:drawing>
          <wp:inline distT="0" distB="0" distL="0" distR="0" wp14:anchorId="40EA1EEF" wp14:editId="5B3ED57F">
            <wp:extent cx="1628775" cy="2009775"/>
            <wp:effectExtent l="0" t="0" r="9525" b="9525"/>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628775" cy="2009775"/>
                    </a:xfrm>
                    <a:prstGeom prst="rect">
                      <a:avLst/>
                    </a:prstGeom>
                    <a:noFill/>
                    <a:ln>
                      <a:noFill/>
                    </a:ln>
                  </pic:spPr>
                </pic:pic>
              </a:graphicData>
            </a:graphic>
          </wp:inline>
        </w:drawing>
      </w:r>
    </w:p>
    <w:p w14:paraId="07266D63" w14:textId="4F047D4D" w:rsidR="007607D8" w:rsidRDefault="00E2460B" w:rsidP="00C9780B">
      <w:pPr>
        <w:ind w:right="-1135"/>
        <w:jc w:val="both"/>
        <w:rPr>
          <w:b/>
          <w:bCs/>
        </w:rPr>
      </w:pPr>
      <w:r>
        <w:rPr>
          <w:b/>
          <w:bCs/>
        </w:rPr>
        <w:t>+</w:t>
      </w:r>
    </w:p>
    <w:p w14:paraId="72BD8BB4" w14:textId="6BCCCB16" w:rsidR="007607D8" w:rsidRDefault="00BB1895" w:rsidP="007607D8">
      <w:pPr>
        <w:rPr>
          <w:rFonts w:cs="Times New Roman"/>
        </w:rPr>
      </w:pPr>
      <w:r>
        <w:rPr>
          <w:noProof/>
        </w:rPr>
        <w:drawing>
          <wp:inline distT="0" distB="0" distL="0" distR="0" wp14:anchorId="1D090727" wp14:editId="3A7313D6">
            <wp:extent cx="1628775" cy="2009775"/>
            <wp:effectExtent l="0" t="0" r="9525" b="9525"/>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628775" cy="2009775"/>
                    </a:xfrm>
                    <a:prstGeom prst="rect">
                      <a:avLst/>
                    </a:prstGeom>
                    <a:noFill/>
                    <a:ln>
                      <a:noFill/>
                    </a:ln>
                  </pic:spPr>
                </pic:pic>
              </a:graphicData>
            </a:graphic>
          </wp:inline>
        </w:drawing>
      </w:r>
    </w:p>
    <w:p w14:paraId="6CA579B7" w14:textId="77777777" w:rsidR="007607D8" w:rsidRPr="00997EDE" w:rsidRDefault="007607D8" w:rsidP="007607D8">
      <w:pPr>
        <w:rPr>
          <w:rFonts w:ascii="Times New Roman" w:hAnsi="Times New Roman" w:cs="Times New Roman"/>
          <w:b/>
          <w:bCs/>
          <w:noProof/>
          <w:sz w:val="20"/>
          <w:szCs w:val="20"/>
          <w:u w:val="single"/>
        </w:rPr>
      </w:pPr>
      <w:r w:rsidRPr="00997EDE">
        <w:rPr>
          <w:rFonts w:ascii="Times New Roman" w:hAnsi="Times New Roman" w:cs="Times New Roman"/>
          <w:b/>
          <w:bCs/>
          <w:noProof/>
          <w:sz w:val="20"/>
          <w:szCs w:val="20"/>
          <w:u w:val="single"/>
        </w:rPr>
        <w:t>DORA RESENDE ALVES</w:t>
      </w:r>
    </w:p>
    <w:p w14:paraId="233B4F1A" w14:textId="22529F37" w:rsidR="007607D8" w:rsidRPr="00997EDE" w:rsidRDefault="007607D8" w:rsidP="00BB1895">
      <w:pPr>
        <w:spacing w:after="0" w:line="240" w:lineRule="auto"/>
        <w:jc w:val="both"/>
        <w:rPr>
          <w:sz w:val="20"/>
          <w:szCs w:val="20"/>
        </w:rPr>
      </w:pPr>
      <w:bookmarkStart w:id="1" w:name="_Hlk45608775"/>
      <w:r w:rsidRPr="00997EDE">
        <w:rPr>
          <w:sz w:val="20"/>
          <w:szCs w:val="20"/>
        </w:rPr>
        <w:t xml:space="preserve">Professora Associada do Departamento de Direito da Universidade Portucalense (UPT), com experiência em unidades curriculares no domínio do Direito da União Europeia, Direito Constitucional e da História do Direito, lecionando desde 1993. </w:t>
      </w:r>
      <w:proofErr w:type="gramStart"/>
      <w:r w:rsidRPr="00997EDE">
        <w:rPr>
          <w:sz w:val="20"/>
          <w:szCs w:val="20"/>
        </w:rPr>
        <w:t xml:space="preserve">Doutora pela </w:t>
      </w:r>
      <w:proofErr w:type="spellStart"/>
      <w:r w:rsidRPr="00997EDE">
        <w:rPr>
          <w:sz w:val="20"/>
          <w:szCs w:val="20"/>
        </w:rPr>
        <w:t>Universidad</w:t>
      </w:r>
      <w:proofErr w:type="spellEnd"/>
      <w:r w:rsidRPr="00997EDE">
        <w:rPr>
          <w:sz w:val="20"/>
          <w:szCs w:val="20"/>
        </w:rPr>
        <w:t xml:space="preserve"> de Vigo (Espanha)</w:t>
      </w:r>
      <w:proofErr w:type="gramEnd"/>
      <w:r w:rsidRPr="00997EDE">
        <w:rPr>
          <w:sz w:val="20"/>
          <w:szCs w:val="20"/>
        </w:rPr>
        <w:t xml:space="preserve"> com tese sobre tema do direito da concorrência da União Europeia e Mestre em Direito, área de Integração Europeia, pela Faculdade de Direito da Universidade de Coimbra. Autora de livros e artigos científicos. Orientadora de teses e dissertações. Revisora de revistas científicas. Investigadora como membro integrado do Instituto Jurídico Portucalense, na linha de investigação </w:t>
      </w:r>
      <w:proofErr w:type="spellStart"/>
      <w:r w:rsidRPr="00997EDE">
        <w:rPr>
          <w:i/>
          <w:iCs/>
          <w:sz w:val="20"/>
          <w:szCs w:val="20"/>
        </w:rPr>
        <w:t>Política</w:t>
      </w:r>
      <w:proofErr w:type="spellEnd"/>
      <w:r w:rsidRPr="00997EDE">
        <w:rPr>
          <w:i/>
          <w:iCs/>
          <w:sz w:val="20"/>
          <w:szCs w:val="20"/>
        </w:rPr>
        <w:t xml:space="preserve"> e </w:t>
      </w:r>
      <w:proofErr w:type="spellStart"/>
      <w:r w:rsidRPr="00997EDE">
        <w:rPr>
          <w:i/>
          <w:iCs/>
          <w:sz w:val="20"/>
          <w:szCs w:val="20"/>
        </w:rPr>
        <w:t>Governança</w:t>
      </w:r>
      <w:proofErr w:type="spellEnd"/>
      <w:r w:rsidRPr="00997EDE">
        <w:rPr>
          <w:i/>
          <w:iCs/>
          <w:sz w:val="20"/>
          <w:szCs w:val="20"/>
        </w:rPr>
        <w:t xml:space="preserve"> Internacional</w:t>
      </w:r>
      <w:r w:rsidRPr="00997EDE">
        <w:rPr>
          <w:sz w:val="20"/>
          <w:szCs w:val="20"/>
        </w:rPr>
        <w:t>, Centro de Investigação da Universidade Portucalense. Editora-adjunta da Revista Jurídica Portucalense.</w:t>
      </w:r>
      <w:bookmarkEnd w:id="1"/>
      <w:r w:rsidRPr="00997EDE">
        <w:rPr>
          <w:sz w:val="20"/>
          <w:szCs w:val="20"/>
        </w:rPr>
        <w:t xml:space="preserve"> </w:t>
      </w:r>
    </w:p>
    <w:p w14:paraId="35566865" w14:textId="77777777" w:rsidR="007607D8" w:rsidRPr="00654315" w:rsidRDefault="007607D8" w:rsidP="007607D8">
      <w:pPr>
        <w:adjustRightInd w:val="0"/>
        <w:spacing w:after="0" w:line="240" w:lineRule="auto"/>
        <w:jc w:val="right"/>
        <w:rPr>
          <w:rStyle w:val="Hiperligao"/>
          <w:sz w:val="16"/>
          <w:szCs w:val="16"/>
        </w:rPr>
      </w:pPr>
      <w:r w:rsidRPr="00654315">
        <w:rPr>
          <w:sz w:val="16"/>
          <w:szCs w:val="16"/>
        </w:rPr>
        <w:t xml:space="preserve">ORCID – </w:t>
      </w:r>
      <w:r w:rsidRPr="00B60F7C">
        <w:rPr>
          <w:color w:val="1F497D"/>
          <w:sz w:val="16"/>
          <w:szCs w:val="16"/>
        </w:rPr>
        <w:t xml:space="preserve">0000-0003-4720-1400 </w:t>
      </w:r>
      <w:r w:rsidRPr="00654315">
        <w:rPr>
          <w:sz w:val="16"/>
          <w:szCs w:val="16"/>
        </w:rPr>
        <w:t xml:space="preserve"> </w:t>
      </w:r>
      <w:hyperlink r:id="rId22" w:tgtFrame="_blank" w:tooltip="Go to my personal page at http://orcid.org/" w:history="1">
        <w:r w:rsidRPr="00654315">
          <w:rPr>
            <w:rStyle w:val="Hiperligao"/>
            <w:rFonts w:cs="Arial"/>
            <w:sz w:val="16"/>
            <w:szCs w:val="16"/>
            <w:shd w:val="clear" w:color="auto" w:fill="FFFFFF"/>
          </w:rPr>
          <w:t>http://orcid.org/0000-0003-4720-1400</w:t>
        </w:r>
      </w:hyperlink>
    </w:p>
    <w:p w14:paraId="4EEFBD43" w14:textId="77777777" w:rsidR="007607D8" w:rsidRPr="00654315" w:rsidRDefault="007607D8" w:rsidP="007607D8">
      <w:pPr>
        <w:jc w:val="right"/>
        <w:rPr>
          <w:rFonts w:cs="Times New Roman"/>
          <w:sz w:val="16"/>
          <w:szCs w:val="16"/>
        </w:rPr>
      </w:pPr>
      <w:r w:rsidRPr="00654315">
        <w:rPr>
          <w:rStyle w:val="Hiperligao"/>
          <w:rFonts w:cs="Arial"/>
          <w:sz w:val="16"/>
          <w:szCs w:val="16"/>
          <w:shd w:val="clear" w:color="auto" w:fill="FFFFFF"/>
        </w:rPr>
        <w:t xml:space="preserve">Ciência Vitae - </w:t>
      </w:r>
      <w:hyperlink r:id="rId23" w:history="1">
        <w:r w:rsidRPr="00654315">
          <w:rPr>
            <w:rStyle w:val="Hiperligao"/>
            <w:sz w:val="16"/>
            <w:szCs w:val="16"/>
          </w:rPr>
          <w:t>http://www.cienciavitae.pt//CA1A-FE14-5CC1</w:t>
        </w:r>
      </w:hyperlink>
      <w:r w:rsidRPr="00654315">
        <w:rPr>
          <w:color w:val="000000"/>
          <w:sz w:val="16"/>
          <w:szCs w:val="16"/>
        </w:rPr>
        <w:t xml:space="preserve">     </w:t>
      </w:r>
    </w:p>
    <w:p w14:paraId="5C1E57EF" w14:textId="77777777" w:rsidR="007607D8" w:rsidRDefault="007607D8" w:rsidP="00C9780B">
      <w:pPr>
        <w:ind w:right="-1135"/>
        <w:jc w:val="both"/>
        <w:rPr>
          <w:b/>
          <w:bCs/>
        </w:rPr>
      </w:pPr>
    </w:p>
    <w:p w14:paraId="2FDF7591" w14:textId="77777777" w:rsidR="00C129DB" w:rsidRDefault="00C129DB" w:rsidP="00C9780B">
      <w:pPr>
        <w:ind w:right="-1135"/>
        <w:jc w:val="both"/>
        <w:rPr>
          <w:b/>
          <w:bCs/>
        </w:rPr>
      </w:pPr>
    </w:p>
    <w:p w14:paraId="3BB3126F" w14:textId="64AF305E" w:rsidR="00C9780B" w:rsidRDefault="00C9780B" w:rsidP="00C9780B">
      <w:pPr>
        <w:ind w:right="-1135"/>
        <w:jc w:val="both"/>
        <w:rPr>
          <w:rFonts w:ascii="Times New Roman" w:hAnsi="Times New Roman" w:cs="Times New Roman"/>
        </w:rPr>
      </w:pPr>
      <w:r w:rsidRPr="003D78A8">
        <w:rPr>
          <w:rFonts w:ascii="Times New Roman" w:hAnsi="Times New Roman" w:cs="Times New Roman"/>
        </w:rPr>
        <w:t xml:space="preserve">  </w:t>
      </w:r>
    </w:p>
    <w:p w14:paraId="371726C6" w14:textId="77777777" w:rsidR="00C30B33" w:rsidRDefault="00C30B33" w:rsidP="00C9780B">
      <w:pPr>
        <w:ind w:right="-1135"/>
        <w:jc w:val="both"/>
        <w:rPr>
          <w:rFonts w:ascii="Times New Roman" w:hAnsi="Times New Roman" w:cs="Times New Roman"/>
          <w:noProof/>
        </w:rPr>
      </w:pPr>
    </w:p>
    <w:p w14:paraId="02DDBF20" w14:textId="2C932E7E" w:rsidR="00B4724B" w:rsidRDefault="00F44414" w:rsidP="00B4724B">
      <w:pPr>
        <w:pStyle w:val="NormalWeb"/>
        <w:shd w:val="clear" w:color="auto" w:fill="EFEFEF"/>
        <w:spacing w:before="0" w:beforeAutospacing="0" w:after="0" w:afterAutospacing="0"/>
        <w:rPr>
          <w:rFonts w:ascii="Open Sans" w:hAnsi="Open Sans" w:cs="Open Sans"/>
          <w:color w:val="993300"/>
        </w:rPr>
      </w:pPr>
      <w:r>
        <w:rPr>
          <w:rStyle w:val="Forte"/>
          <w:rFonts w:ascii="Open Sans" w:hAnsi="Open Sans" w:cs="Open Sans"/>
          <w:color w:val="5E5E5E"/>
        </w:rPr>
        <w:t>Evento</w:t>
      </w:r>
      <w:r w:rsidR="00B4724B">
        <w:rPr>
          <w:rStyle w:val="Forte"/>
          <w:rFonts w:ascii="Open Sans" w:hAnsi="Open Sans" w:cs="Open Sans"/>
          <w:color w:val="5E5E5E"/>
        </w:rPr>
        <w:t>:</w:t>
      </w:r>
      <w:r w:rsidR="00B4724B">
        <w:rPr>
          <w:rFonts w:ascii="Open Sans" w:hAnsi="Open Sans" w:cs="Open Sans"/>
          <w:color w:val="5E5E5E"/>
        </w:rPr>
        <w:t> </w:t>
      </w:r>
      <w:r>
        <w:rPr>
          <w:rFonts w:ascii="Open Sans" w:hAnsi="Open Sans" w:cs="Open Sans"/>
          <w:color w:val="993300"/>
        </w:rPr>
        <w:t>28</w:t>
      </w:r>
      <w:r w:rsidR="00B4724B">
        <w:rPr>
          <w:rFonts w:ascii="Open Sans" w:hAnsi="Open Sans" w:cs="Open Sans"/>
          <w:color w:val="993300"/>
        </w:rPr>
        <w:t xml:space="preserve"> de </w:t>
      </w:r>
      <w:r>
        <w:rPr>
          <w:rFonts w:ascii="Open Sans" w:hAnsi="Open Sans" w:cs="Open Sans"/>
          <w:color w:val="993300"/>
        </w:rPr>
        <w:t>a</w:t>
      </w:r>
      <w:r w:rsidR="00B4724B">
        <w:rPr>
          <w:rFonts w:ascii="Open Sans" w:hAnsi="Open Sans" w:cs="Open Sans"/>
          <w:color w:val="993300"/>
        </w:rPr>
        <w:t>br</w:t>
      </w:r>
      <w:r>
        <w:rPr>
          <w:rFonts w:ascii="Open Sans" w:hAnsi="Open Sans" w:cs="Open Sans"/>
          <w:color w:val="993300"/>
        </w:rPr>
        <w:t>il</w:t>
      </w:r>
      <w:r w:rsidR="00B4724B">
        <w:rPr>
          <w:rFonts w:ascii="Open Sans" w:hAnsi="Open Sans" w:cs="Open Sans"/>
          <w:color w:val="993300"/>
        </w:rPr>
        <w:t xml:space="preserve"> </w:t>
      </w:r>
      <w:r>
        <w:rPr>
          <w:rFonts w:ascii="Open Sans" w:hAnsi="Open Sans" w:cs="Open Sans"/>
          <w:color w:val="993300"/>
        </w:rPr>
        <w:t>de 2023</w:t>
      </w:r>
    </w:p>
    <w:p w14:paraId="256B566A" w14:textId="77777777" w:rsidR="004064CC" w:rsidRDefault="004064CC" w:rsidP="00B4724B">
      <w:pPr>
        <w:pStyle w:val="NormalWeb"/>
        <w:shd w:val="clear" w:color="auto" w:fill="EFEFEF"/>
        <w:spacing w:before="0" w:beforeAutospacing="0" w:after="0" w:afterAutospacing="0"/>
        <w:rPr>
          <w:rFonts w:ascii="Open Sans" w:hAnsi="Open Sans" w:cs="Open Sans"/>
          <w:color w:val="5E5E5E"/>
        </w:rPr>
      </w:pPr>
    </w:p>
    <w:p w14:paraId="0FF9EEC4" w14:textId="09FFA316" w:rsidR="00B4724B" w:rsidRDefault="00B4724B" w:rsidP="00B4724B">
      <w:pPr>
        <w:pStyle w:val="NormalWeb"/>
        <w:shd w:val="clear" w:color="auto" w:fill="EFEFEF"/>
        <w:spacing w:before="0" w:beforeAutospacing="0" w:after="0" w:afterAutospacing="0"/>
        <w:rPr>
          <w:rFonts w:ascii="Open Sans" w:hAnsi="Open Sans" w:cs="Open Sans"/>
          <w:color w:val="5E5E5E"/>
        </w:rPr>
      </w:pPr>
      <w:r>
        <w:rPr>
          <w:rStyle w:val="Forte"/>
          <w:rFonts w:ascii="Open Sans" w:hAnsi="Open Sans" w:cs="Open Sans"/>
          <w:color w:val="5E5E5E"/>
        </w:rPr>
        <w:t>Limite para submissão do artigo completo</w:t>
      </w:r>
      <w:r>
        <w:rPr>
          <w:rFonts w:ascii="Open Sans" w:hAnsi="Open Sans" w:cs="Open Sans"/>
          <w:color w:val="5E5E5E"/>
        </w:rPr>
        <w:t xml:space="preserve">: </w:t>
      </w:r>
      <w:r w:rsidRPr="00D9730A">
        <w:rPr>
          <w:rFonts w:ascii="Open Sans" w:hAnsi="Open Sans" w:cs="Open Sans"/>
          <w:color w:val="5E5E5E"/>
        </w:rPr>
        <w:t xml:space="preserve">30 de </w:t>
      </w:r>
      <w:r w:rsidR="00F44414">
        <w:rPr>
          <w:rFonts w:ascii="Open Sans" w:hAnsi="Open Sans" w:cs="Open Sans"/>
          <w:color w:val="5E5E5E"/>
        </w:rPr>
        <w:t>ma</w:t>
      </w:r>
      <w:r w:rsidRPr="00D9730A">
        <w:rPr>
          <w:rFonts w:ascii="Open Sans" w:hAnsi="Open Sans" w:cs="Open Sans"/>
          <w:color w:val="5E5E5E"/>
        </w:rPr>
        <w:t>io de 2023</w:t>
      </w:r>
      <w:r>
        <w:rPr>
          <w:rFonts w:ascii="Open Sans" w:hAnsi="Open Sans" w:cs="Open Sans"/>
          <w:color w:val="5E5E5E"/>
        </w:rPr>
        <w:t xml:space="preserve"> </w:t>
      </w:r>
    </w:p>
    <w:p w14:paraId="04D65977" w14:textId="2E32DC36" w:rsidR="00140350" w:rsidRDefault="00140350" w:rsidP="002A7133"/>
    <w:p w14:paraId="7036BD02" w14:textId="77777777" w:rsidR="00140350" w:rsidRDefault="00140350" w:rsidP="002A7133"/>
    <w:sectPr w:rsidR="00140350">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72FE4D" w14:textId="77777777" w:rsidR="00265CD6" w:rsidRDefault="00265CD6" w:rsidP="00207533">
      <w:pPr>
        <w:spacing w:after="0" w:line="240" w:lineRule="auto"/>
      </w:pPr>
      <w:r>
        <w:separator/>
      </w:r>
    </w:p>
  </w:endnote>
  <w:endnote w:type="continuationSeparator" w:id="0">
    <w:p w14:paraId="14E27E3A" w14:textId="77777777" w:rsidR="00265CD6" w:rsidRDefault="00265CD6" w:rsidP="002075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Ubuntu">
    <w:altName w:val="Calibri"/>
    <w:charset w:val="00"/>
    <w:family w:val="swiss"/>
    <w:pitch w:val="variable"/>
    <w:sig w:usb0="E00002FF" w:usb1="5000205B" w:usb2="00000000" w:usb3="00000000" w:csb0="0000009F" w:csb1="00000000"/>
  </w:font>
  <w:font w:name="Verdana">
    <w:panose1 w:val="020B0604030504040204"/>
    <w:charset w:val="00"/>
    <w:family w:val="swiss"/>
    <w:pitch w:val="variable"/>
    <w:sig w:usb0="A00006FF" w:usb1="4000205B" w:usb2="00000010" w:usb3="00000000" w:csb0="0000019F" w:csb1="00000000"/>
  </w:font>
  <w:font w:name="Open Sans">
    <w:altName w:val="Segoe UI"/>
    <w:charset w:val="00"/>
    <w:family w:val="swiss"/>
    <w:pitch w:val="variable"/>
    <w:sig w:usb0="E00002EF" w:usb1="4000205B" w:usb2="00000028" w:usb3="00000000" w:csb0="0000019F" w:csb1="00000000"/>
  </w:font>
  <w:font w:name="Garamond">
    <w:altName w:val="Garamond"/>
    <w:panose1 w:val="020204040303010108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AABCBB" w14:textId="77777777" w:rsidR="00265CD6" w:rsidRDefault="00265CD6" w:rsidP="00207533">
      <w:pPr>
        <w:spacing w:after="0" w:line="240" w:lineRule="auto"/>
      </w:pPr>
      <w:r>
        <w:separator/>
      </w:r>
    </w:p>
  </w:footnote>
  <w:footnote w:type="continuationSeparator" w:id="0">
    <w:p w14:paraId="1EDAE06D" w14:textId="77777777" w:rsidR="00265CD6" w:rsidRDefault="00265CD6" w:rsidP="002075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54713BB"/>
    <w:multiLevelType w:val="multilevel"/>
    <w:tmpl w:val="37A6623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648004C"/>
    <w:multiLevelType w:val="multilevel"/>
    <w:tmpl w:val="12A0DE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7FB048B"/>
    <w:multiLevelType w:val="hybridMultilevel"/>
    <w:tmpl w:val="7DDCC0C4"/>
    <w:lvl w:ilvl="0" w:tplc="0816000F">
      <w:start w:val="2"/>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15:restartNumberingAfterBreak="0">
    <w:nsid w:val="7B8C0EA4"/>
    <w:multiLevelType w:val="multilevel"/>
    <w:tmpl w:val="AE2673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4031"/>
    <w:rsid w:val="00021A2F"/>
    <w:rsid w:val="00055175"/>
    <w:rsid w:val="000879CF"/>
    <w:rsid w:val="000A1E8B"/>
    <w:rsid w:val="000C7A56"/>
    <w:rsid w:val="0010164D"/>
    <w:rsid w:val="00102C2D"/>
    <w:rsid w:val="00116C72"/>
    <w:rsid w:val="00132668"/>
    <w:rsid w:val="00140350"/>
    <w:rsid w:val="00163401"/>
    <w:rsid w:val="00164031"/>
    <w:rsid w:val="00177E86"/>
    <w:rsid w:val="00183CE7"/>
    <w:rsid w:val="001D37C2"/>
    <w:rsid w:val="001F5CA4"/>
    <w:rsid w:val="00206805"/>
    <w:rsid w:val="00207533"/>
    <w:rsid w:val="00207D00"/>
    <w:rsid w:val="0021166E"/>
    <w:rsid w:val="00216189"/>
    <w:rsid w:val="00262E56"/>
    <w:rsid w:val="00265572"/>
    <w:rsid w:val="00265CD6"/>
    <w:rsid w:val="002A7133"/>
    <w:rsid w:val="002F20E2"/>
    <w:rsid w:val="002F3B7D"/>
    <w:rsid w:val="00305A70"/>
    <w:rsid w:val="00310344"/>
    <w:rsid w:val="00312DAC"/>
    <w:rsid w:val="00333271"/>
    <w:rsid w:val="00370A29"/>
    <w:rsid w:val="00374812"/>
    <w:rsid w:val="003923A2"/>
    <w:rsid w:val="003D48F3"/>
    <w:rsid w:val="00402D2E"/>
    <w:rsid w:val="004064CC"/>
    <w:rsid w:val="0043202F"/>
    <w:rsid w:val="00432AB2"/>
    <w:rsid w:val="00455147"/>
    <w:rsid w:val="004655CF"/>
    <w:rsid w:val="004E70BE"/>
    <w:rsid w:val="00544E9B"/>
    <w:rsid w:val="00556343"/>
    <w:rsid w:val="00563BFB"/>
    <w:rsid w:val="0057473E"/>
    <w:rsid w:val="00575180"/>
    <w:rsid w:val="005C7943"/>
    <w:rsid w:val="005F30BF"/>
    <w:rsid w:val="005F499D"/>
    <w:rsid w:val="006227D8"/>
    <w:rsid w:val="006341D8"/>
    <w:rsid w:val="006623EA"/>
    <w:rsid w:val="00662405"/>
    <w:rsid w:val="006F1ECA"/>
    <w:rsid w:val="00721202"/>
    <w:rsid w:val="007533DF"/>
    <w:rsid w:val="007607D8"/>
    <w:rsid w:val="00797076"/>
    <w:rsid w:val="007B7F80"/>
    <w:rsid w:val="007F351B"/>
    <w:rsid w:val="00806E2E"/>
    <w:rsid w:val="008417C4"/>
    <w:rsid w:val="00861341"/>
    <w:rsid w:val="008677F5"/>
    <w:rsid w:val="00897D13"/>
    <w:rsid w:val="008A5A7C"/>
    <w:rsid w:val="008C76B3"/>
    <w:rsid w:val="008F11BF"/>
    <w:rsid w:val="00936D18"/>
    <w:rsid w:val="00940FC4"/>
    <w:rsid w:val="009633F6"/>
    <w:rsid w:val="009654C5"/>
    <w:rsid w:val="0097632D"/>
    <w:rsid w:val="009779AC"/>
    <w:rsid w:val="00980DAC"/>
    <w:rsid w:val="0099791B"/>
    <w:rsid w:val="00997B64"/>
    <w:rsid w:val="00997EDE"/>
    <w:rsid w:val="009B5A7A"/>
    <w:rsid w:val="009C1FC3"/>
    <w:rsid w:val="009D7094"/>
    <w:rsid w:val="009E677A"/>
    <w:rsid w:val="009F649D"/>
    <w:rsid w:val="00A10663"/>
    <w:rsid w:val="00A42D00"/>
    <w:rsid w:val="00A71353"/>
    <w:rsid w:val="00A825A7"/>
    <w:rsid w:val="00AA2381"/>
    <w:rsid w:val="00AE55ED"/>
    <w:rsid w:val="00AF6237"/>
    <w:rsid w:val="00B14F78"/>
    <w:rsid w:val="00B17BD0"/>
    <w:rsid w:val="00B4724B"/>
    <w:rsid w:val="00B60F7C"/>
    <w:rsid w:val="00B623C8"/>
    <w:rsid w:val="00B91617"/>
    <w:rsid w:val="00BB1895"/>
    <w:rsid w:val="00BD6F6F"/>
    <w:rsid w:val="00BE238F"/>
    <w:rsid w:val="00C04309"/>
    <w:rsid w:val="00C129DB"/>
    <w:rsid w:val="00C23967"/>
    <w:rsid w:val="00C30B33"/>
    <w:rsid w:val="00C34DE2"/>
    <w:rsid w:val="00C66374"/>
    <w:rsid w:val="00C732CF"/>
    <w:rsid w:val="00C9780B"/>
    <w:rsid w:val="00CC4A47"/>
    <w:rsid w:val="00CD0114"/>
    <w:rsid w:val="00CF2D15"/>
    <w:rsid w:val="00D9730A"/>
    <w:rsid w:val="00DB1833"/>
    <w:rsid w:val="00DB5053"/>
    <w:rsid w:val="00DC3BBD"/>
    <w:rsid w:val="00DC72EC"/>
    <w:rsid w:val="00DD1BF6"/>
    <w:rsid w:val="00DF0C96"/>
    <w:rsid w:val="00DF4214"/>
    <w:rsid w:val="00E1249C"/>
    <w:rsid w:val="00E2460B"/>
    <w:rsid w:val="00E3584E"/>
    <w:rsid w:val="00E4192F"/>
    <w:rsid w:val="00E519F7"/>
    <w:rsid w:val="00E855DD"/>
    <w:rsid w:val="00EC43F6"/>
    <w:rsid w:val="00EE0488"/>
    <w:rsid w:val="00EE1A41"/>
    <w:rsid w:val="00EE4CF5"/>
    <w:rsid w:val="00F03F8A"/>
    <w:rsid w:val="00F22E39"/>
    <w:rsid w:val="00F42AB1"/>
    <w:rsid w:val="00F44414"/>
    <w:rsid w:val="00F60C48"/>
    <w:rsid w:val="00F6475E"/>
    <w:rsid w:val="00FC29A0"/>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BFC35C"/>
  <w15:chartTrackingRefBased/>
  <w15:docId w15:val="{178DA4B3-5384-4905-A17C-71300DBB0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74812"/>
  </w:style>
  <w:style w:type="paragraph" w:styleId="Ttulo1">
    <w:name w:val="heading 1"/>
    <w:basedOn w:val="Normal"/>
    <w:next w:val="Normal"/>
    <w:link w:val="Ttulo1Carter"/>
    <w:uiPriority w:val="9"/>
    <w:qFormat/>
    <w:rsid w:val="0014035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ter"/>
    <w:uiPriority w:val="9"/>
    <w:semiHidden/>
    <w:unhideWhenUsed/>
    <w:qFormat/>
    <w:rsid w:val="009633F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ter"/>
    <w:uiPriority w:val="9"/>
    <w:semiHidden/>
    <w:unhideWhenUsed/>
    <w:qFormat/>
    <w:rsid w:val="00183CE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link w:val="Ttulo4Carter"/>
    <w:uiPriority w:val="9"/>
    <w:qFormat/>
    <w:rsid w:val="00164031"/>
    <w:pPr>
      <w:spacing w:before="100" w:beforeAutospacing="1" w:after="100" w:afterAutospacing="1" w:line="240" w:lineRule="auto"/>
      <w:outlineLvl w:val="3"/>
    </w:pPr>
    <w:rPr>
      <w:rFonts w:ascii="Times New Roman" w:eastAsia="Times New Roman" w:hAnsi="Times New Roman" w:cs="Times New Roman"/>
      <w:b/>
      <w:bCs/>
      <w:sz w:val="24"/>
      <w:szCs w:val="24"/>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4Carter">
    <w:name w:val="Título 4 Caráter"/>
    <w:basedOn w:val="Tipodeletrapredefinidodopargrafo"/>
    <w:link w:val="Ttulo4"/>
    <w:uiPriority w:val="9"/>
    <w:rsid w:val="00164031"/>
    <w:rPr>
      <w:rFonts w:ascii="Times New Roman" w:eastAsia="Times New Roman" w:hAnsi="Times New Roman" w:cs="Times New Roman"/>
      <w:b/>
      <w:bCs/>
      <w:sz w:val="24"/>
      <w:szCs w:val="24"/>
      <w:lang w:eastAsia="pt-PT"/>
    </w:rPr>
  </w:style>
  <w:style w:type="character" w:customStyle="1" w:styleId="Ttulo2Carter">
    <w:name w:val="Título 2 Caráter"/>
    <w:basedOn w:val="Tipodeletrapredefinidodopargrafo"/>
    <w:link w:val="Ttulo2"/>
    <w:uiPriority w:val="9"/>
    <w:semiHidden/>
    <w:rsid w:val="009633F6"/>
    <w:rPr>
      <w:rFonts w:asciiTheme="majorHAnsi" w:eastAsiaTheme="majorEastAsia" w:hAnsiTheme="majorHAnsi" w:cstheme="majorBidi"/>
      <w:color w:val="2F5496" w:themeColor="accent1" w:themeShade="BF"/>
      <w:sz w:val="26"/>
      <w:szCs w:val="26"/>
    </w:rPr>
  </w:style>
  <w:style w:type="character" w:styleId="Hiperligao">
    <w:name w:val="Hyperlink"/>
    <w:basedOn w:val="Tipodeletrapredefinidodopargrafo"/>
    <w:unhideWhenUsed/>
    <w:rsid w:val="009633F6"/>
    <w:rPr>
      <w:color w:val="0000FF"/>
      <w:u w:val="single"/>
    </w:rPr>
  </w:style>
  <w:style w:type="paragraph" w:customStyle="1" w:styleId="elementor-icon-list-item">
    <w:name w:val="elementor-icon-list-item"/>
    <w:basedOn w:val="Normal"/>
    <w:rsid w:val="00B623C8"/>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elementor-icon-list-text">
    <w:name w:val="elementor-icon-list-text"/>
    <w:basedOn w:val="Tipodeletrapredefinidodopargrafo"/>
    <w:rsid w:val="00B623C8"/>
  </w:style>
  <w:style w:type="character" w:customStyle="1" w:styleId="elementor-heading-title">
    <w:name w:val="elementor-heading-title"/>
    <w:basedOn w:val="Tipodeletrapredefinidodopargrafo"/>
    <w:rsid w:val="00B623C8"/>
  </w:style>
  <w:style w:type="paragraph" w:customStyle="1" w:styleId="font8">
    <w:name w:val="font_8"/>
    <w:basedOn w:val="Normal"/>
    <w:uiPriority w:val="99"/>
    <w:rsid w:val="00207533"/>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Default">
    <w:name w:val="Default"/>
    <w:rsid w:val="00207533"/>
    <w:pPr>
      <w:autoSpaceDE w:val="0"/>
      <w:autoSpaceDN w:val="0"/>
      <w:adjustRightInd w:val="0"/>
      <w:spacing w:after="0" w:line="240" w:lineRule="auto"/>
    </w:pPr>
    <w:rPr>
      <w:rFonts w:ascii="EUAlbertina" w:eastAsia="Times New Roman" w:hAnsi="EUAlbertina" w:cs="EUAlbertina"/>
      <w:color w:val="000000"/>
      <w:sz w:val="24"/>
      <w:szCs w:val="24"/>
      <w:lang w:eastAsia="pt-PT"/>
    </w:rPr>
  </w:style>
  <w:style w:type="paragraph" w:styleId="Textodenotaderodap">
    <w:name w:val="footnote text"/>
    <w:basedOn w:val="Normal"/>
    <w:link w:val="TextodenotaderodapCarter"/>
    <w:uiPriority w:val="99"/>
    <w:rsid w:val="00207533"/>
    <w:pPr>
      <w:spacing w:after="0" w:line="240" w:lineRule="auto"/>
    </w:pPr>
    <w:rPr>
      <w:rFonts w:ascii="Arial" w:eastAsia="Times New Roman" w:hAnsi="Arial" w:cs="Arial"/>
      <w:sz w:val="20"/>
      <w:szCs w:val="20"/>
    </w:rPr>
  </w:style>
  <w:style w:type="character" w:customStyle="1" w:styleId="TextodenotaderodapCarter">
    <w:name w:val="Texto de nota de rodapé Caráter"/>
    <w:basedOn w:val="Tipodeletrapredefinidodopargrafo"/>
    <w:link w:val="Textodenotaderodap"/>
    <w:uiPriority w:val="99"/>
    <w:rsid w:val="00207533"/>
    <w:rPr>
      <w:rFonts w:ascii="Arial" w:eastAsia="Times New Roman" w:hAnsi="Arial" w:cs="Arial"/>
      <w:sz w:val="20"/>
      <w:szCs w:val="20"/>
    </w:rPr>
  </w:style>
  <w:style w:type="character" w:styleId="Forte">
    <w:name w:val="Strong"/>
    <w:uiPriority w:val="22"/>
    <w:qFormat/>
    <w:rsid w:val="00207533"/>
    <w:rPr>
      <w:b/>
      <w:bCs/>
    </w:rPr>
  </w:style>
  <w:style w:type="character" w:styleId="Refdenotaderodap">
    <w:name w:val="footnote reference"/>
    <w:uiPriority w:val="99"/>
    <w:rsid w:val="00207533"/>
    <w:rPr>
      <w:vertAlign w:val="superscript"/>
    </w:rPr>
  </w:style>
  <w:style w:type="paragraph" w:styleId="NormalWeb">
    <w:name w:val="Normal (Web)"/>
    <w:basedOn w:val="Normal"/>
    <w:uiPriority w:val="99"/>
    <w:unhideWhenUsed/>
    <w:rsid w:val="00207533"/>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styleId="PargrafodaLista">
    <w:name w:val="List Paragraph"/>
    <w:basedOn w:val="Normal"/>
    <w:uiPriority w:val="34"/>
    <w:qFormat/>
    <w:rsid w:val="00207533"/>
    <w:pPr>
      <w:spacing w:after="0" w:line="240" w:lineRule="auto"/>
    </w:pPr>
    <w:rPr>
      <w:rFonts w:ascii="Calibri" w:hAnsi="Calibri" w:cs="Calibri"/>
      <w:lang w:eastAsia="pt-PT"/>
    </w:rPr>
  </w:style>
  <w:style w:type="paragraph" w:styleId="Textosimples">
    <w:name w:val="Plain Text"/>
    <w:basedOn w:val="Normal"/>
    <w:link w:val="TextosimplesCarter"/>
    <w:uiPriority w:val="99"/>
    <w:unhideWhenUsed/>
    <w:rsid w:val="00207533"/>
    <w:pPr>
      <w:spacing w:after="0" w:line="240" w:lineRule="auto"/>
    </w:pPr>
    <w:rPr>
      <w:rFonts w:ascii="Calibri" w:hAnsi="Calibri"/>
      <w:szCs w:val="21"/>
    </w:rPr>
  </w:style>
  <w:style w:type="character" w:customStyle="1" w:styleId="TextosimplesCarter">
    <w:name w:val="Texto simples Caráter"/>
    <w:basedOn w:val="Tipodeletrapredefinidodopargrafo"/>
    <w:link w:val="Textosimples"/>
    <w:uiPriority w:val="99"/>
    <w:rsid w:val="00207533"/>
    <w:rPr>
      <w:rFonts w:ascii="Calibri" w:hAnsi="Calibri"/>
      <w:szCs w:val="21"/>
    </w:rPr>
  </w:style>
  <w:style w:type="character" w:styleId="MenoNoResolvida">
    <w:name w:val="Unresolved Mention"/>
    <w:basedOn w:val="Tipodeletrapredefinidodopargrafo"/>
    <w:uiPriority w:val="99"/>
    <w:semiHidden/>
    <w:unhideWhenUsed/>
    <w:rsid w:val="00575180"/>
    <w:rPr>
      <w:color w:val="605E5C"/>
      <w:shd w:val="clear" w:color="auto" w:fill="E1DFDD"/>
    </w:rPr>
  </w:style>
  <w:style w:type="character" w:customStyle="1" w:styleId="name">
    <w:name w:val="name"/>
    <w:basedOn w:val="Tipodeletrapredefinidodopargrafo"/>
    <w:rsid w:val="006623EA"/>
  </w:style>
  <w:style w:type="character" w:styleId="nfase">
    <w:name w:val="Emphasis"/>
    <w:basedOn w:val="Tipodeletrapredefinidodopargrafo"/>
    <w:uiPriority w:val="20"/>
    <w:qFormat/>
    <w:rsid w:val="00EE0488"/>
    <w:rPr>
      <w:i/>
      <w:iCs/>
    </w:rPr>
  </w:style>
  <w:style w:type="character" w:customStyle="1" w:styleId="Ttulo1Carter">
    <w:name w:val="Título 1 Caráter"/>
    <w:basedOn w:val="Tipodeletrapredefinidodopargrafo"/>
    <w:link w:val="Ttulo1"/>
    <w:uiPriority w:val="9"/>
    <w:rsid w:val="00140350"/>
    <w:rPr>
      <w:rFonts w:asciiTheme="majorHAnsi" w:eastAsiaTheme="majorEastAsia" w:hAnsiTheme="majorHAnsi" w:cstheme="majorBidi"/>
      <w:color w:val="2F5496" w:themeColor="accent1" w:themeShade="BF"/>
      <w:sz w:val="32"/>
      <w:szCs w:val="32"/>
    </w:rPr>
  </w:style>
  <w:style w:type="character" w:customStyle="1" w:styleId="rgba">
    <w:name w:val="rgba"/>
    <w:basedOn w:val="Tipodeletrapredefinidodopargrafo"/>
    <w:rsid w:val="00140350"/>
  </w:style>
  <w:style w:type="paragraph" w:styleId="Bibliografia">
    <w:name w:val="Bibliography"/>
    <w:basedOn w:val="Normal"/>
    <w:next w:val="Normal"/>
    <w:uiPriority w:val="37"/>
    <w:semiHidden/>
    <w:unhideWhenUsed/>
    <w:rsid w:val="0043202F"/>
  </w:style>
  <w:style w:type="character" w:styleId="Hiperligaovisitada">
    <w:name w:val="FollowedHyperlink"/>
    <w:basedOn w:val="Tipodeletrapredefinidodopargrafo"/>
    <w:uiPriority w:val="99"/>
    <w:semiHidden/>
    <w:unhideWhenUsed/>
    <w:rsid w:val="000879CF"/>
    <w:rPr>
      <w:color w:val="954F72" w:themeColor="followedHyperlink"/>
      <w:u w:val="single"/>
    </w:rPr>
  </w:style>
  <w:style w:type="character" w:customStyle="1" w:styleId="Ttulo3Carter">
    <w:name w:val="Título 3 Caráter"/>
    <w:basedOn w:val="Tipodeletrapredefinidodopargrafo"/>
    <w:link w:val="Ttulo3"/>
    <w:uiPriority w:val="9"/>
    <w:semiHidden/>
    <w:rsid w:val="00183CE7"/>
    <w:rPr>
      <w:rFonts w:asciiTheme="majorHAnsi" w:eastAsiaTheme="majorEastAsia" w:hAnsiTheme="majorHAnsi" w:cstheme="majorBidi"/>
      <w:color w:val="1F3763" w:themeColor="accent1" w:themeShade="7F"/>
      <w:sz w:val="24"/>
      <w:szCs w:val="24"/>
    </w:rPr>
  </w:style>
  <w:style w:type="character" w:customStyle="1" w:styleId="citetitle">
    <w:name w:val="cite_title"/>
    <w:basedOn w:val="Tipodeletrapredefinidodopargrafo"/>
    <w:rsid w:val="00C9780B"/>
  </w:style>
  <w:style w:type="paragraph" w:styleId="Corpodetexto">
    <w:name w:val="Body Text"/>
    <w:basedOn w:val="Normal"/>
    <w:link w:val="CorpodetextoCarter"/>
    <w:uiPriority w:val="1"/>
    <w:qFormat/>
    <w:rsid w:val="0010164D"/>
    <w:pPr>
      <w:widowControl w:val="0"/>
      <w:autoSpaceDE w:val="0"/>
      <w:autoSpaceDN w:val="0"/>
      <w:adjustRightInd w:val="0"/>
      <w:spacing w:after="0" w:line="240" w:lineRule="auto"/>
      <w:ind w:left="122" w:firstLine="566"/>
    </w:pPr>
    <w:rPr>
      <w:rFonts w:ascii="Calibri" w:eastAsia="Times New Roman" w:hAnsi="Calibri" w:cs="Calibri"/>
      <w:sz w:val="24"/>
      <w:szCs w:val="24"/>
      <w:lang w:val="pt-BR" w:eastAsia="pt-BR"/>
    </w:rPr>
  </w:style>
  <w:style w:type="character" w:customStyle="1" w:styleId="CorpodetextoCarter">
    <w:name w:val="Corpo de texto Caráter"/>
    <w:basedOn w:val="Tipodeletrapredefinidodopargrafo"/>
    <w:link w:val="Corpodetexto"/>
    <w:uiPriority w:val="1"/>
    <w:rsid w:val="0010164D"/>
    <w:rPr>
      <w:rFonts w:ascii="Calibri" w:eastAsia="Times New Roman" w:hAnsi="Calibri" w:cs="Calibri"/>
      <w:sz w:val="24"/>
      <w:szCs w:val="24"/>
      <w:lang w:val="pt-BR" w:eastAsia="pt-BR"/>
    </w:rPr>
  </w:style>
  <w:style w:type="character" w:customStyle="1" w:styleId="text-primary">
    <w:name w:val="text-primary"/>
    <w:basedOn w:val="Tipodeletrapredefinidodopargrafo"/>
    <w:rsid w:val="00C23967"/>
  </w:style>
  <w:style w:type="paragraph" w:customStyle="1" w:styleId="fw-bold">
    <w:name w:val="fw-bold"/>
    <w:basedOn w:val="Normal"/>
    <w:rsid w:val="00BB1895"/>
    <w:pPr>
      <w:spacing w:before="100" w:beforeAutospacing="1" w:after="100" w:afterAutospacing="1" w:line="240" w:lineRule="auto"/>
    </w:pPr>
    <w:rPr>
      <w:rFonts w:ascii="Times New Roman" w:eastAsia="Times New Roman" w:hAnsi="Times New Roman" w:cs="Times New Roman"/>
      <w:sz w:val="24"/>
      <w:szCs w:val="24"/>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5771971">
      <w:bodyDiv w:val="1"/>
      <w:marLeft w:val="0"/>
      <w:marRight w:val="0"/>
      <w:marTop w:val="0"/>
      <w:marBottom w:val="0"/>
      <w:divBdr>
        <w:top w:val="none" w:sz="0" w:space="0" w:color="auto"/>
        <w:left w:val="none" w:sz="0" w:space="0" w:color="auto"/>
        <w:bottom w:val="none" w:sz="0" w:space="0" w:color="auto"/>
        <w:right w:val="none" w:sz="0" w:space="0" w:color="auto"/>
      </w:divBdr>
    </w:div>
    <w:div w:id="207422322">
      <w:bodyDiv w:val="1"/>
      <w:marLeft w:val="0"/>
      <w:marRight w:val="0"/>
      <w:marTop w:val="0"/>
      <w:marBottom w:val="0"/>
      <w:divBdr>
        <w:top w:val="none" w:sz="0" w:space="0" w:color="auto"/>
        <w:left w:val="none" w:sz="0" w:space="0" w:color="auto"/>
        <w:bottom w:val="none" w:sz="0" w:space="0" w:color="auto"/>
        <w:right w:val="none" w:sz="0" w:space="0" w:color="auto"/>
      </w:divBdr>
    </w:div>
    <w:div w:id="404962922">
      <w:bodyDiv w:val="1"/>
      <w:marLeft w:val="0"/>
      <w:marRight w:val="0"/>
      <w:marTop w:val="0"/>
      <w:marBottom w:val="0"/>
      <w:divBdr>
        <w:top w:val="none" w:sz="0" w:space="0" w:color="auto"/>
        <w:left w:val="none" w:sz="0" w:space="0" w:color="auto"/>
        <w:bottom w:val="none" w:sz="0" w:space="0" w:color="auto"/>
        <w:right w:val="none" w:sz="0" w:space="0" w:color="auto"/>
      </w:divBdr>
    </w:div>
    <w:div w:id="466750365">
      <w:bodyDiv w:val="1"/>
      <w:marLeft w:val="0"/>
      <w:marRight w:val="0"/>
      <w:marTop w:val="0"/>
      <w:marBottom w:val="0"/>
      <w:divBdr>
        <w:top w:val="none" w:sz="0" w:space="0" w:color="auto"/>
        <w:left w:val="none" w:sz="0" w:space="0" w:color="auto"/>
        <w:bottom w:val="none" w:sz="0" w:space="0" w:color="auto"/>
        <w:right w:val="none" w:sz="0" w:space="0" w:color="auto"/>
      </w:divBdr>
    </w:div>
    <w:div w:id="485243645">
      <w:bodyDiv w:val="1"/>
      <w:marLeft w:val="0"/>
      <w:marRight w:val="0"/>
      <w:marTop w:val="0"/>
      <w:marBottom w:val="0"/>
      <w:divBdr>
        <w:top w:val="none" w:sz="0" w:space="0" w:color="auto"/>
        <w:left w:val="none" w:sz="0" w:space="0" w:color="auto"/>
        <w:bottom w:val="none" w:sz="0" w:space="0" w:color="auto"/>
        <w:right w:val="none" w:sz="0" w:space="0" w:color="auto"/>
      </w:divBdr>
    </w:div>
    <w:div w:id="532815308">
      <w:bodyDiv w:val="1"/>
      <w:marLeft w:val="0"/>
      <w:marRight w:val="0"/>
      <w:marTop w:val="0"/>
      <w:marBottom w:val="0"/>
      <w:divBdr>
        <w:top w:val="none" w:sz="0" w:space="0" w:color="auto"/>
        <w:left w:val="none" w:sz="0" w:space="0" w:color="auto"/>
        <w:bottom w:val="none" w:sz="0" w:space="0" w:color="auto"/>
        <w:right w:val="none" w:sz="0" w:space="0" w:color="auto"/>
      </w:divBdr>
    </w:div>
    <w:div w:id="535242092">
      <w:bodyDiv w:val="1"/>
      <w:marLeft w:val="0"/>
      <w:marRight w:val="0"/>
      <w:marTop w:val="0"/>
      <w:marBottom w:val="0"/>
      <w:divBdr>
        <w:top w:val="none" w:sz="0" w:space="0" w:color="auto"/>
        <w:left w:val="none" w:sz="0" w:space="0" w:color="auto"/>
        <w:bottom w:val="none" w:sz="0" w:space="0" w:color="auto"/>
        <w:right w:val="none" w:sz="0" w:space="0" w:color="auto"/>
      </w:divBdr>
      <w:divsChild>
        <w:div w:id="98181990">
          <w:marLeft w:val="0"/>
          <w:marRight w:val="0"/>
          <w:marTop w:val="0"/>
          <w:marBottom w:val="300"/>
          <w:divBdr>
            <w:top w:val="none" w:sz="0" w:space="0" w:color="auto"/>
            <w:left w:val="none" w:sz="0" w:space="0" w:color="auto"/>
            <w:bottom w:val="none" w:sz="0" w:space="0" w:color="auto"/>
            <w:right w:val="none" w:sz="0" w:space="0" w:color="auto"/>
          </w:divBdr>
          <w:divsChild>
            <w:div w:id="1230068802">
              <w:marLeft w:val="0"/>
              <w:marRight w:val="0"/>
              <w:marTop w:val="0"/>
              <w:marBottom w:val="0"/>
              <w:divBdr>
                <w:top w:val="none" w:sz="0" w:space="0" w:color="auto"/>
                <w:left w:val="none" w:sz="0" w:space="0" w:color="auto"/>
                <w:bottom w:val="none" w:sz="0" w:space="0" w:color="auto"/>
                <w:right w:val="none" w:sz="0" w:space="0" w:color="auto"/>
              </w:divBdr>
            </w:div>
          </w:divsChild>
        </w:div>
        <w:div w:id="137844916">
          <w:marLeft w:val="0"/>
          <w:marRight w:val="0"/>
          <w:marTop w:val="0"/>
          <w:marBottom w:val="0"/>
          <w:divBdr>
            <w:top w:val="none" w:sz="0" w:space="0" w:color="auto"/>
            <w:left w:val="none" w:sz="0" w:space="0" w:color="auto"/>
            <w:bottom w:val="none" w:sz="0" w:space="0" w:color="auto"/>
            <w:right w:val="none" w:sz="0" w:space="0" w:color="auto"/>
          </w:divBdr>
          <w:divsChild>
            <w:div w:id="72703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314267">
      <w:bodyDiv w:val="1"/>
      <w:marLeft w:val="0"/>
      <w:marRight w:val="0"/>
      <w:marTop w:val="0"/>
      <w:marBottom w:val="0"/>
      <w:divBdr>
        <w:top w:val="none" w:sz="0" w:space="0" w:color="auto"/>
        <w:left w:val="none" w:sz="0" w:space="0" w:color="auto"/>
        <w:bottom w:val="none" w:sz="0" w:space="0" w:color="auto"/>
        <w:right w:val="none" w:sz="0" w:space="0" w:color="auto"/>
      </w:divBdr>
      <w:divsChild>
        <w:div w:id="1643074860">
          <w:marLeft w:val="0"/>
          <w:marRight w:val="0"/>
          <w:marTop w:val="0"/>
          <w:marBottom w:val="300"/>
          <w:divBdr>
            <w:top w:val="none" w:sz="0" w:space="0" w:color="auto"/>
            <w:left w:val="none" w:sz="0" w:space="0" w:color="auto"/>
            <w:bottom w:val="none" w:sz="0" w:space="0" w:color="auto"/>
            <w:right w:val="none" w:sz="0" w:space="0" w:color="auto"/>
          </w:divBdr>
          <w:divsChild>
            <w:div w:id="1748769746">
              <w:marLeft w:val="0"/>
              <w:marRight w:val="0"/>
              <w:marTop w:val="0"/>
              <w:marBottom w:val="0"/>
              <w:divBdr>
                <w:top w:val="none" w:sz="0" w:space="0" w:color="auto"/>
                <w:left w:val="none" w:sz="0" w:space="0" w:color="auto"/>
                <w:bottom w:val="none" w:sz="0" w:space="0" w:color="auto"/>
                <w:right w:val="none" w:sz="0" w:space="0" w:color="auto"/>
              </w:divBdr>
            </w:div>
          </w:divsChild>
        </w:div>
        <w:div w:id="2033260570">
          <w:marLeft w:val="0"/>
          <w:marRight w:val="0"/>
          <w:marTop w:val="0"/>
          <w:marBottom w:val="300"/>
          <w:divBdr>
            <w:top w:val="none" w:sz="0" w:space="0" w:color="auto"/>
            <w:left w:val="none" w:sz="0" w:space="0" w:color="auto"/>
            <w:bottom w:val="none" w:sz="0" w:space="0" w:color="auto"/>
            <w:right w:val="none" w:sz="0" w:space="0" w:color="auto"/>
          </w:divBdr>
          <w:divsChild>
            <w:div w:id="415588799">
              <w:marLeft w:val="0"/>
              <w:marRight w:val="0"/>
              <w:marTop w:val="0"/>
              <w:marBottom w:val="0"/>
              <w:divBdr>
                <w:top w:val="none" w:sz="0" w:space="0" w:color="auto"/>
                <w:left w:val="none" w:sz="0" w:space="0" w:color="auto"/>
                <w:bottom w:val="none" w:sz="0" w:space="0" w:color="auto"/>
                <w:right w:val="none" w:sz="0" w:space="0" w:color="auto"/>
              </w:divBdr>
            </w:div>
          </w:divsChild>
        </w:div>
        <w:div w:id="315840559">
          <w:marLeft w:val="0"/>
          <w:marRight w:val="0"/>
          <w:marTop w:val="0"/>
          <w:marBottom w:val="300"/>
          <w:divBdr>
            <w:top w:val="none" w:sz="0" w:space="0" w:color="auto"/>
            <w:left w:val="none" w:sz="0" w:space="0" w:color="auto"/>
            <w:bottom w:val="none" w:sz="0" w:space="0" w:color="auto"/>
            <w:right w:val="none" w:sz="0" w:space="0" w:color="auto"/>
          </w:divBdr>
          <w:divsChild>
            <w:div w:id="928587288">
              <w:marLeft w:val="0"/>
              <w:marRight w:val="0"/>
              <w:marTop w:val="0"/>
              <w:marBottom w:val="0"/>
              <w:divBdr>
                <w:top w:val="none" w:sz="0" w:space="0" w:color="auto"/>
                <w:left w:val="none" w:sz="0" w:space="0" w:color="auto"/>
                <w:bottom w:val="none" w:sz="0" w:space="0" w:color="auto"/>
                <w:right w:val="none" w:sz="0" w:space="0" w:color="auto"/>
              </w:divBdr>
            </w:div>
          </w:divsChild>
        </w:div>
        <w:div w:id="500318117">
          <w:marLeft w:val="0"/>
          <w:marRight w:val="0"/>
          <w:marTop w:val="0"/>
          <w:marBottom w:val="300"/>
          <w:divBdr>
            <w:top w:val="none" w:sz="0" w:space="0" w:color="auto"/>
            <w:left w:val="none" w:sz="0" w:space="0" w:color="auto"/>
            <w:bottom w:val="none" w:sz="0" w:space="0" w:color="auto"/>
            <w:right w:val="none" w:sz="0" w:space="0" w:color="auto"/>
          </w:divBdr>
          <w:divsChild>
            <w:div w:id="673385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1593126">
      <w:bodyDiv w:val="1"/>
      <w:marLeft w:val="0"/>
      <w:marRight w:val="0"/>
      <w:marTop w:val="0"/>
      <w:marBottom w:val="0"/>
      <w:divBdr>
        <w:top w:val="none" w:sz="0" w:space="0" w:color="auto"/>
        <w:left w:val="none" w:sz="0" w:space="0" w:color="auto"/>
        <w:bottom w:val="none" w:sz="0" w:space="0" w:color="auto"/>
        <w:right w:val="none" w:sz="0" w:space="0" w:color="auto"/>
      </w:divBdr>
    </w:div>
    <w:div w:id="768696432">
      <w:bodyDiv w:val="1"/>
      <w:marLeft w:val="0"/>
      <w:marRight w:val="0"/>
      <w:marTop w:val="0"/>
      <w:marBottom w:val="0"/>
      <w:divBdr>
        <w:top w:val="none" w:sz="0" w:space="0" w:color="auto"/>
        <w:left w:val="none" w:sz="0" w:space="0" w:color="auto"/>
        <w:bottom w:val="none" w:sz="0" w:space="0" w:color="auto"/>
        <w:right w:val="none" w:sz="0" w:space="0" w:color="auto"/>
      </w:divBdr>
    </w:div>
    <w:div w:id="849565824">
      <w:bodyDiv w:val="1"/>
      <w:marLeft w:val="0"/>
      <w:marRight w:val="0"/>
      <w:marTop w:val="0"/>
      <w:marBottom w:val="0"/>
      <w:divBdr>
        <w:top w:val="none" w:sz="0" w:space="0" w:color="auto"/>
        <w:left w:val="none" w:sz="0" w:space="0" w:color="auto"/>
        <w:bottom w:val="none" w:sz="0" w:space="0" w:color="auto"/>
        <w:right w:val="none" w:sz="0" w:space="0" w:color="auto"/>
      </w:divBdr>
    </w:div>
    <w:div w:id="993987786">
      <w:bodyDiv w:val="1"/>
      <w:marLeft w:val="0"/>
      <w:marRight w:val="0"/>
      <w:marTop w:val="0"/>
      <w:marBottom w:val="0"/>
      <w:divBdr>
        <w:top w:val="none" w:sz="0" w:space="0" w:color="auto"/>
        <w:left w:val="none" w:sz="0" w:space="0" w:color="auto"/>
        <w:bottom w:val="none" w:sz="0" w:space="0" w:color="auto"/>
        <w:right w:val="none" w:sz="0" w:space="0" w:color="auto"/>
      </w:divBdr>
    </w:div>
    <w:div w:id="1231889623">
      <w:bodyDiv w:val="1"/>
      <w:marLeft w:val="0"/>
      <w:marRight w:val="0"/>
      <w:marTop w:val="0"/>
      <w:marBottom w:val="0"/>
      <w:divBdr>
        <w:top w:val="none" w:sz="0" w:space="0" w:color="auto"/>
        <w:left w:val="none" w:sz="0" w:space="0" w:color="auto"/>
        <w:bottom w:val="none" w:sz="0" w:space="0" w:color="auto"/>
        <w:right w:val="none" w:sz="0" w:space="0" w:color="auto"/>
      </w:divBdr>
    </w:div>
    <w:div w:id="1435319171">
      <w:bodyDiv w:val="1"/>
      <w:marLeft w:val="0"/>
      <w:marRight w:val="0"/>
      <w:marTop w:val="0"/>
      <w:marBottom w:val="0"/>
      <w:divBdr>
        <w:top w:val="none" w:sz="0" w:space="0" w:color="auto"/>
        <w:left w:val="none" w:sz="0" w:space="0" w:color="auto"/>
        <w:bottom w:val="none" w:sz="0" w:space="0" w:color="auto"/>
        <w:right w:val="none" w:sz="0" w:space="0" w:color="auto"/>
      </w:divBdr>
    </w:div>
    <w:div w:id="1483697538">
      <w:bodyDiv w:val="1"/>
      <w:marLeft w:val="0"/>
      <w:marRight w:val="0"/>
      <w:marTop w:val="0"/>
      <w:marBottom w:val="0"/>
      <w:divBdr>
        <w:top w:val="none" w:sz="0" w:space="0" w:color="auto"/>
        <w:left w:val="none" w:sz="0" w:space="0" w:color="auto"/>
        <w:bottom w:val="none" w:sz="0" w:space="0" w:color="auto"/>
        <w:right w:val="none" w:sz="0" w:space="0" w:color="auto"/>
      </w:divBdr>
    </w:div>
    <w:div w:id="1528328549">
      <w:bodyDiv w:val="1"/>
      <w:marLeft w:val="0"/>
      <w:marRight w:val="0"/>
      <w:marTop w:val="0"/>
      <w:marBottom w:val="0"/>
      <w:divBdr>
        <w:top w:val="none" w:sz="0" w:space="0" w:color="auto"/>
        <w:left w:val="none" w:sz="0" w:space="0" w:color="auto"/>
        <w:bottom w:val="none" w:sz="0" w:space="0" w:color="auto"/>
        <w:right w:val="none" w:sz="0" w:space="0" w:color="auto"/>
      </w:divBdr>
    </w:div>
    <w:div w:id="1636256346">
      <w:bodyDiv w:val="1"/>
      <w:marLeft w:val="0"/>
      <w:marRight w:val="0"/>
      <w:marTop w:val="0"/>
      <w:marBottom w:val="0"/>
      <w:divBdr>
        <w:top w:val="none" w:sz="0" w:space="0" w:color="auto"/>
        <w:left w:val="none" w:sz="0" w:space="0" w:color="auto"/>
        <w:bottom w:val="none" w:sz="0" w:space="0" w:color="auto"/>
        <w:right w:val="none" w:sz="0" w:space="0" w:color="auto"/>
      </w:divBdr>
    </w:div>
    <w:div w:id="1752309828">
      <w:bodyDiv w:val="1"/>
      <w:marLeft w:val="0"/>
      <w:marRight w:val="0"/>
      <w:marTop w:val="0"/>
      <w:marBottom w:val="0"/>
      <w:divBdr>
        <w:top w:val="none" w:sz="0" w:space="0" w:color="auto"/>
        <w:left w:val="none" w:sz="0" w:space="0" w:color="auto"/>
        <w:bottom w:val="none" w:sz="0" w:space="0" w:color="auto"/>
        <w:right w:val="none" w:sz="0" w:space="0" w:color="auto"/>
      </w:divBdr>
    </w:div>
    <w:div w:id="1965884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seclisboa.pt/valorescidadaniaeuropeia/" TargetMode="External"/><Relationship Id="rId13" Type="http://schemas.openxmlformats.org/officeDocument/2006/relationships/hyperlink" Target="https://www.revistaminerva.pt/a-democracia-participativa-e-a-iniciativa-de-cidadania-europeia/" TargetMode="External"/><Relationship Id="rId18" Type="http://schemas.openxmlformats.org/officeDocument/2006/relationships/hyperlink" Target="https://europa.eu/citizens-initiative/_pt" TargetMode="External"/><Relationship Id="rId3" Type="http://schemas.openxmlformats.org/officeDocument/2006/relationships/settings" Target="settings.xml"/><Relationship Id="rId21" Type="http://schemas.openxmlformats.org/officeDocument/2006/relationships/image" Target="media/image3.jpeg"/><Relationship Id="rId7" Type="http://schemas.openxmlformats.org/officeDocument/2006/relationships/image" Target="media/image1.png"/><Relationship Id="rId12" Type="http://schemas.openxmlformats.org/officeDocument/2006/relationships/hyperlink" Target="http://hdl.handle.net/11328/4726" TargetMode="External"/><Relationship Id="rId17" Type="http://schemas.openxmlformats.org/officeDocument/2006/relationships/hyperlink" Target="https://eur-lex.europa.eu/legal-content/PT/TXT/PDF/?uri=CELEX:32019R0788R(02)&amp;from=PT"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impactum-journals.uc.pt/estudossecxx/article/view/1647-8622_17_12" TargetMode="External"/><Relationship Id="rId20" Type="http://schemas.openxmlformats.org/officeDocument/2006/relationships/image" Target="media/image2.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hdl.handle.net/11328/4019"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doi.org/10.14195/1647-8622_17_12" TargetMode="External"/><Relationship Id="rId23" Type="http://schemas.openxmlformats.org/officeDocument/2006/relationships/hyperlink" Target="http://www.cienciavitae.pt//CA1A-FE14-5CC1" TargetMode="External"/><Relationship Id="rId10" Type="http://schemas.openxmlformats.org/officeDocument/2006/relationships/hyperlink" Target="mailto:dra@upt.pt" TargetMode="External"/><Relationship Id="rId19" Type="http://schemas.openxmlformats.org/officeDocument/2006/relationships/hyperlink" Target="https://orcid.org/0000-0001-8512-1650" TargetMode="External"/><Relationship Id="rId4" Type="http://schemas.openxmlformats.org/officeDocument/2006/relationships/webSettings" Target="webSettings.xml"/><Relationship Id="rId9" Type="http://schemas.openxmlformats.org/officeDocument/2006/relationships/hyperlink" Target="mailto:mario.barata@ipleiria.pt" TargetMode="External"/><Relationship Id="rId14" Type="http://schemas.openxmlformats.org/officeDocument/2006/relationships/hyperlink" Target="https://impactum-journals.uc.pt/estudossecxx/article/view/1647-8622_17_3" TargetMode="External"/><Relationship Id="rId22" Type="http://schemas.openxmlformats.org/officeDocument/2006/relationships/hyperlink" Target="http://orcid.org/0000-0003-4720-1400"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1383</Words>
  <Characters>7472</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Dora Resende Alves</dc:creator>
  <cp:keywords/>
  <dc:description/>
  <cp:lastModifiedBy>Filipa FM. Marinho</cp:lastModifiedBy>
  <cp:revision>2</cp:revision>
  <dcterms:created xsi:type="dcterms:W3CDTF">2023-05-05T15:06:00Z</dcterms:created>
  <dcterms:modified xsi:type="dcterms:W3CDTF">2023-05-05T15:06:00Z</dcterms:modified>
</cp:coreProperties>
</file>