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0BD3A7" w14:textId="13A359B9" w:rsidR="001764B9" w:rsidRPr="001764B9" w:rsidRDefault="001764B9" w:rsidP="00E81B18">
      <w:pPr>
        <w:jc w:val="center"/>
        <w:rPr>
          <w:b/>
          <w:bCs/>
        </w:rPr>
      </w:pPr>
      <w:r>
        <w:rPr>
          <w:rFonts w:ascii="Times New Roman" w:hAnsi="Times New Roman" w:cs="Times New Roman"/>
          <w:noProof/>
          <w:kern w:val="0"/>
          <w14:ligatures w14:val="none"/>
        </w:rPr>
        <w:drawing>
          <wp:anchor distT="0" distB="0" distL="0" distR="0" simplePos="0" relativeHeight="251659264" behindDoc="0" locked="0" layoutInCell="1" allowOverlap="0" wp14:anchorId="2EF1F0B6" wp14:editId="2772659E">
            <wp:simplePos x="0" y="0"/>
            <wp:positionH relativeFrom="column">
              <wp:posOffset>209550</wp:posOffset>
            </wp:positionH>
            <wp:positionV relativeFrom="line">
              <wp:posOffset>0</wp:posOffset>
            </wp:positionV>
            <wp:extent cx="5143500" cy="3086100"/>
            <wp:effectExtent l="0" t="0" r="0" b="0"/>
            <wp:wrapSquare wrapText="bothSides"/>
            <wp:docPr id="88102391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link="rId5">
                      <a:extLst>
                        <a:ext uri="{28A0092B-C50C-407E-A947-70E740481C1C}">
                          <a14:useLocalDpi xmlns:a14="http://schemas.microsoft.com/office/drawing/2010/main" val="0"/>
                        </a:ext>
                      </a:extLst>
                    </a:blip>
                    <a:srcRect/>
                    <a:stretch>
                      <a:fillRect/>
                    </a:stretch>
                  </pic:blipFill>
                  <pic:spPr bwMode="auto">
                    <a:xfrm>
                      <a:off x="0" y="0"/>
                      <a:ext cx="5143500" cy="3086100"/>
                    </a:xfrm>
                    <a:prstGeom prst="rect">
                      <a:avLst/>
                    </a:prstGeom>
                    <a:noFill/>
                  </pic:spPr>
                </pic:pic>
              </a:graphicData>
            </a:graphic>
            <wp14:sizeRelH relativeFrom="page">
              <wp14:pctWidth>0</wp14:pctWidth>
            </wp14:sizeRelH>
            <wp14:sizeRelV relativeFrom="page">
              <wp14:pctHeight>0</wp14:pctHeight>
            </wp14:sizeRelV>
          </wp:anchor>
        </w:drawing>
      </w:r>
      <w:r w:rsidRPr="001764B9">
        <w:rPr>
          <w:b/>
          <w:bCs/>
        </w:rPr>
        <w:t>VII SEMINÁRIO INTERNACIONAL SOBRE O FUTURO DO DIREITO</w:t>
      </w:r>
    </w:p>
    <w:p w14:paraId="4D4956DD" w14:textId="77777777" w:rsidR="001764B9" w:rsidRPr="001764B9" w:rsidRDefault="001764B9" w:rsidP="001764B9">
      <w:pPr>
        <w:jc w:val="center"/>
        <w:rPr>
          <w:b/>
          <w:bCs/>
        </w:rPr>
      </w:pPr>
      <w:r w:rsidRPr="001764B9">
        <w:rPr>
          <w:b/>
          <w:bCs/>
        </w:rPr>
        <w:t>VII FUTURELAW</w:t>
      </w:r>
    </w:p>
    <w:p w14:paraId="11963B13" w14:textId="77777777" w:rsidR="001764B9" w:rsidRPr="001764B9" w:rsidRDefault="001764B9" w:rsidP="001764B9">
      <w:pPr>
        <w:jc w:val="center"/>
        <w:rPr>
          <w:b/>
          <w:bCs/>
        </w:rPr>
      </w:pPr>
      <w:r w:rsidRPr="001764B9">
        <w:rPr>
          <w:b/>
          <w:bCs/>
        </w:rPr>
        <w:t xml:space="preserve">ESTG – Politécnico do Porto | </w:t>
      </w:r>
      <w:proofErr w:type="spellStart"/>
      <w:r w:rsidRPr="001764B9">
        <w:rPr>
          <w:b/>
          <w:bCs/>
        </w:rPr>
        <w:t>Polytechnic</w:t>
      </w:r>
      <w:proofErr w:type="spellEnd"/>
      <w:r w:rsidRPr="001764B9">
        <w:rPr>
          <w:b/>
          <w:bCs/>
        </w:rPr>
        <w:t xml:space="preserve"> </w:t>
      </w:r>
      <w:proofErr w:type="spellStart"/>
      <w:r w:rsidRPr="001764B9">
        <w:rPr>
          <w:b/>
          <w:bCs/>
        </w:rPr>
        <w:t>University</w:t>
      </w:r>
      <w:proofErr w:type="spellEnd"/>
      <w:r w:rsidRPr="001764B9">
        <w:rPr>
          <w:b/>
          <w:bCs/>
        </w:rPr>
        <w:t xml:space="preserve"> </w:t>
      </w:r>
      <w:proofErr w:type="spellStart"/>
      <w:r w:rsidRPr="001764B9">
        <w:rPr>
          <w:b/>
          <w:bCs/>
        </w:rPr>
        <w:t>of</w:t>
      </w:r>
      <w:proofErr w:type="spellEnd"/>
      <w:r w:rsidRPr="001764B9">
        <w:rPr>
          <w:b/>
          <w:bCs/>
        </w:rPr>
        <w:t xml:space="preserve"> Porto</w:t>
      </w:r>
    </w:p>
    <w:p w14:paraId="4B64F2C3" w14:textId="77777777" w:rsidR="001764B9" w:rsidRPr="001764B9" w:rsidRDefault="001764B9" w:rsidP="001764B9">
      <w:pPr>
        <w:jc w:val="center"/>
        <w:rPr>
          <w:b/>
          <w:bCs/>
        </w:rPr>
      </w:pPr>
      <w:r w:rsidRPr="001764B9">
        <w:rPr>
          <w:b/>
          <w:bCs/>
        </w:rPr>
        <w:t>FELGUEIRAS – PORTUGAL</w:t>
      </w:r>
    </w:p>
    <w:p w14:paraId="4DBAF014" w14:textId="555A64ED" w:rsidR="00967E50" w:rsidRPr="00967E50" w:rsidRDefault="001764B9" w:rsidP="001764B9">
      <w:pPr>
        <w:jc w:val="center"/>
        <w:rPr>
          <w:b/>
          <w:bCs/>
        </w:rPr>
      </w:pPr>
      <w:r w:rsidRPr="001764B9">
        <w:rPr>
          <w:b/>
          <w:bCs/>
        </w:rPr>
        <w:t xml:space="preserve">17 e 18 de abril de 2026 </w:t>
      </w:r>
    </w:p>
    <w:p w14:paraId="17991E89" w14:textId="77777777" w:rsidR="00967E50" w:rsidRPr="00967E50" w:rsidRDefault="00967E50" w:rsidP="00967E50">
      <w:pPr>
        <w:jc w:val="center"/>
        <w:rPr>
          <w:sz w:val="20"/>
          <w:szCs w:val="20"/>
        </w:rPr>
      </w:pPr>
      <w:r w:rsidRPr="00967E50">
        <w:rPr>
          <w:sz w:val="20"/>
          <w:szCs w:val="20"/>
        </w:rPr>
        <w:t>Modalidade híbrida (presencial e on-line)</w:t>
      </w:r>
    </w:p>
    <w:p w14:paraId="5E0B5E22" w14:textId="7CE219E0" w:rsidR="002A031E" w:rsidRPr="00787D82" w:rsidRDefault="00824F98" w:rsidP="00787D82">
      <w:pPr>
        <w:jc w:val="center"/>
        <w:rPr>
          <w:sz w:val="16"/>
          <w:szCs w:val="16"/>
        </w:rPr>
      </w:pPr>
      <w:hyperlink r:id="rId6" w:history="1">
        <w:r w:rsidR="001764B9" w:rsidRPr="000E5C9B">
          <w:rPr>
            <w:rStyle w:val="Hiperligao"/>
            <w:sz w:val="16"/>
            <w:szCs w:val="16"/>
          </w:rPr>
          <w:t>https://eventos.iberojur.com/evento/vii-futurelaw/</w:t>
        </w:r>
      </w:hyperlink>
      <w:r w:rsidR="001764B9">
        <w:rPr>
          <w:sz w:val="16"/>
          <w:szCs w:val="16"/>
        </w:rPr>
        <w:t xml:space="preserve"> </w:t>
      </w:r>
      <w:r w:rsidR="00967E50">
        <w:rPr>
          <w:sz w:val="16"/>
          <w:szCs w:val="16"/>
        </w:rPr>
        <w:t xml:space="preserve"> </w:t>
      </w:r>
      <w:r w:rsidR="00787D82" w:rsidRPr="00787D82">
        <w:rPr>
          <w:sz w:val="16"/>
          <w:szCs w:val="16"/>
        </w:rPr>
        <w:t xml:space="preserve"> </w:t>
      </w:r>
      <w:r w:rsidR="002A031E">
        <w:rPr>
          <w:rFonts w:ascii="Arial" w:hAnsi="Arial" w:cs="Arial"/>
          <w:bCs/>
          <w:u w:val="single"/>
        </w:rPr>
        <w:t xml:space="preserve">  </w:t>
      </w:r>
    </w:p>
    <w:p w14:paraId="75271C3C" w14:textId="77777777" w:rsidR="002A031E" w:rsidRDefault="002A031E" w:rsidP="002A031E">
      <w:pPr>
        <w:spacing w:after="0" w:line="360" w:lineRule="auto"/>
        <w:jc w:val="center"/>
        <w:rPr>
          <w:rFonts w:ascii="Arial" w:hAnsi="Arial" w:cs="Arial"/>
          <w:bCs/>
          <w:u w:val="single"/>
        </w:rPr>
      </w:pPr>
    </w:p>
    <w:p w14:paraId="00BBB846" w14:textId="77777777" w:rsidR="00125B12" w:rsidRPr="009E3E81" w:rsidRDefault="00125B12" w:rsidP="00125B12">
      <w:pPr>
        <w:jc w:val="center"/>
        <w:rPr>
          <w:rFonts w:ascii="Garamond" w:hAnsi="Garamond"/>
          <w:b/>
          <w:bCs/>
          <w:sz w:val="24"/>
          <w:szCs w:val="24"/>
          <w:u w:val="single"/>
        </w:rPr>
      </w:pPr>
      <w:r w:rsidRPr="009E3E81">
        <w:rPr>
          <w:rFonts w:ascii="Garamond" w:hAnsi="Garamond"/>
          <w:b/>
          <w:bCs/>
          <w:sz w:val="24"/>
          <w:szCs w:val="24"/>
          <w:u w:val="single"/>
        </w:rPr>
        <w:t>O</w:t>
      </w:r>
      <w:r w:rsidRPr="009E3E81">
        <w:rPr>
          <w:rFonts w:ascii="Garamond" w:hAnsi="Garamond"/>
          <w:b/>
          <w:bCs/>
          <w:i/>
          <w:iCs/>
          <w:sz w:val="24"/>
          <w:szCs w:val="24"/>
          <w:u w:val="single"/>
        </w:rPr>
        <w:t xml:space="preserve"> </w:t>
      </w:r>
      <w:r w:rsidRPr="009E3E81">
        <w:rPr>
          <w:rFonts w:ascii="Garamond" w:hAnsi="Garamond"/>
          <w:b/>
          <w:bCs/>
          <w:sz w:val="24"/>
          <w:szCs w:val="24"/>
          <w:u w:val="single"/>
        </w:rPr>
        <w:t>acesso aos documentos públicos por parte do cidadão europeu: </w:t>
      </w:r>
    </w:p>
    <w:p w14:paraId="58E91EF0" w14:textId="58744D06" w:rsidR="002A031E" w:rsidRPr="009E3E81" w:rsidRDefault="00125B12" w:rsidP="00125B12">
      <w:pPr>
        <w:jc w:val="center"/>
        <w:rPr>
          <w:rFonts w:ascii="Garamond" w:hAnsi="Garamond"/>
          <w:b/>
          <w:bCs/>
          <w:sz w:val="24"/>
          <w:szCs w:val="24"/>
          <w:u w:val="single"/>
        </w:rPr>
      </w:pPr>
      <w:r w:rsidRPr="009E3E81">
        <w:rPr>
          <w:rFonts w:ascii="Garamond" w:hAnsi="Garamond"/>
          <w:b/>
          <w:bCs/>
          <w:sz w:val="24"/>
          <w:szCs w:val="24"/>
          <w:u w:val="single"/>
        </w:rPr>
        <w:t>um direito ou um desafio?</w:t>
      </w:r>
    </w:p>
    <w:p w14:paraId="74F1FEDA" w14:textId="77777777" w:rsidR="00125B12" w:rsidRPr="00E81B18" w:rsidRDefault="00125B12" w:rsidP="002A031E">
      <w:pPr>
        <w:jc w:val="center"/>
        <w:rPr>
          <w:rFonts w:ascii="Garamond" w:hAnsi="Garamond"/>
          <w:b/>
          <w:bCs/>
          <w:sz w:val="24"/>
          <w:szCs w:val="24"/>
          <w:highlight w:val="yellow"/>
          <w:u w:val="single"/>
        </w:rPr>
      </w:pPr>
    </w:p>
    <w:p w14:paraId="5574AF04" w14:textId="77777777" w:rsidR="005470BD" w:rsidRPr="002A031E" w:rsidRDefault="005470BD" w:rsidP="005470BD">
      <w:pPr>
        <w:jc w:val="center"/>
        <w:rPr>
          <w:rFonts w:ascii="Garamond" w:hAnsi="Garamond"/>
          <w:b/>
          <w:bCs/>
          <w:sz w:val="24"/>
          <w:szCs w:val="24"/>
          <w:u w:val="single"/>
        </w:rPr>
      </w:pPr>
    </w:p>
    <w:p w14:paraId="575C4E63" w14:textId="77777777" w:rsidR="001764B9" w:rsidRDefault="002A031E" w:rsidP="002A031E">
      <w:pPr>
        <w:spacing w:line="360" w:lineRule="auto"/>
        <w:ind w:firstLine="708"/>
        <w:jc w:val="both"/>
      </w:pPr>
      <w:r w:rsidRPr="009D7094">
        <w:rPr>
          <w:rFonts w:ascii="Times New Roman" w:eastAsia="Times New Roman" w:hAnsi="Times New Roman" w:cs="Times New Roman"/>
          <w:i/>
          <w:iCs/>
          <w:sz w:val="24"/>
          <w:szCs w:val="24"/>
          <w:lang w:eastAsia="pt-PT"/>
        </w:rPr>
        <w:t xml:space="preserve">Dora Resende Alves, </w:t>
      </w:r>
      <w:r w:rsidRPr="00A47CE4">
        <w:rPr>
          <w:rFonts w:ascii="Times New Roman" w:eastAsia="Times New Roman" w:hAnsi="Times New Roman" w:cs="Times New Roman"/>
          <w:sz w:val="24"/>
          <w:szCs w:val="24"/>
          <w:lang w:eastAsia="pt-PT"/>
        </w:rPr>
        <w:t>PhD</w:t>
      </w:r>
      <w:r w:rsidRPr="00A47CE4">
        <w:t xml:space="preserve">  </w:t>
      </w:r>
      <w:r w:rsidRPr="004E0BFA">
        <w:rPr>
          <w:i/>
          <w:iCs/>
        </w:rPr>
        <w:t xml:space="preserve"> </w:t>
      </w:r>
      <w:r w:rsidRPr="004E0BFA">
        <w:rPr>
          <w:i/>
          <w:iCs/>
        </w:rPr>
        <w:tab/>
      </w:r>
      <w:r>
        <w:rPr>
          <w:i/>
          <w:iCs/>
        </w:rPr>
        <w:tab/>
      </w:r>
      <w:r>
        <w:rPr>
          <w:i/>
          <w:iCs/>
        </w:rPr>
        <w:tab/>
      </w:r>
      <w:hyperlink r:id="rId7" w:history="1">
        <w:r w:rsidRPr="007C0A8C">
          <w:rPr>
            <w:rStyle w:val="Hiperligao"/>
            <w:sz w:val="20"/>
            <w:szCs w:val="20"/>
          </w:rPr>
          <w:t>dra@upt.pt</w:t>
        </w:r>
      </w:hyperlink>
      <w:r w:rsidRPr="004E0BFA">
        <w:t xml:space="preserve">     </w:t>
      </w:r>
    </w:p>
    <w:p w14:paraId="1C8B1393" w14:textId="377AD81C" w:rsidR="002A031E" w:rsidRDefault="001764B9" w:rsidP="002A031E">
      <w:pPr>
        <w:spacing w:line="360" w:lineRule="auto"/>
        <w:ind w:firstLine="708"/>
        <w:jc w:val="both"/>
      </w:pPr>
      <w:r w:rsidRPr="001764B9">
        <w:rPr>
          <w:rFonts w:ascii="Times New Roman" w:eastAsia="Times New Roman" w:hAnsi="Times New Roman" w:cs="Times New Roman"/>
          <w:i/>
          <w:iCs/>
          <w:sz w:val="24"/>
          <w:szCs w:val="24"/>
          <w:lang w:eastAsia="pt-PT"/>
        </w:rPr>
        <w:t>Luís Torrealba</w:t>
      </w:r>
      <w:r w:rsidRPr="001764B9">
        <w:rPr>
          <w:rFonts w:ascii="Times New Roman" w:eastAsia="Times New Roman" w:hAnsi="Times New Roman" w:cs="Times New Roman"/>
          <w:i/>
          <w:iCs/>
          <w:sz w:val="24"/>
          <w:szCs w:val="24"/>
          <w:lang w:eastAsia="pt-PT"/>
        </w:rPr>
        <w:tab/>
      </w:r>
      <w:r>
        <w:rPr>
          <w:i/>
          <w:iCs/>
        </w:rPr>
        <w:tab/>
      </w:r>
      <w:r>
        <w:rPr>
          <w:i/>
          <w:iCs/>
        </w:rPr>
        <w:tab/>
      </w:r>
      <w:r>
        <w:rPr>
          <w:i/>
          <w:iCs/>
        </w:rPr>
        <w:tab/>
      </w:r>
      <w:hyperlink r:id="rId8" w:history="1">
        <w:r w:rsidR="005470BD" w:rsidRPr="00AE1A4E">
          <w:rPr>
            <w:rStyle w:val="Hiperligao"/>
            <w:sz w:val="20"/>
            <w:szCs w:val="20"/>
          </w:rPr>
          <w:t>luisprtorrealba@outlook.com</w:t>
        </w:r>
      </w:hyperlink>
    </w:p>
    <w:p w14:paraId="3D4BE621" w14:textId="77777777" w:rsidR="005470BD" w:rsidRPr="00DC703E" w:rsidRDefault="005470BD" w:rsidP="002A031E">
      <w:pPr>
        <w:spacing w:line="360" w:lineRule="auto"/>
        <w:ind w:firstLine="708"/>
        <w:jc w:val="both"/>
        <w:rPr>
          <w:sz w:val="20"/>
          <w:szCs w:val="20"/>
        </w:rPr>
      </w:pPr>
    </w:p>
    <w:p w14:paraId="65B47776" w14:textId="77777777" w:rsidR="002A031E" w:rsidRDefault="002A031E" w:rsidP="002A031E">
      <w:pPr>
        <w:pStyle w:val="Default"/>
        <w:jc w:val="both"/>
        <w:rPr>
          <w:rFonts w:ascii="Times New Roman" w:hAnsi="Times New Roman" w:cs="Times New Roman"/>
          <w:color w:val="auto"/>
          <w:sz w:val="22"/>
          <w:szCs w:val="22"/>
        </w:rPr>
      </w:pPr>
      <w:r w:rsidRPr="00DF1FA9">
        <w:rPr>
          <w:rFonts w:ascii="Times New Roman" w:hAnsi="Times New Roman" w:cs="Times New Roman"/>
          <w:b/>
          <w:bCs/>
          <w:sz w:val="20"/>
          <w:szCs w:val="20"/>
        </w:rPr>
        <w:t>FILIA</w:t>
      </w:r>
      <w:r>
        <w:rPr>
          <w:rFonts w:ascii="Times New Roman" w:hAnsi="Times New Roman" w:cs="Times New Roman"/>
          <w:b/>
          <w:bCs/>
          <w:sz w:val="20"/>
          <w:szCs w:val="20"/>
        </w:rPr>
        <w:t>ÇÃO</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5757E9D8" w14:textId="77777777" w:rsidR="002A031E" w:rsidRDefault="002A031E" w:rsidP="002A031E">
      <w:pPr>
        <w:pStyle w:val="Default"/>
        <w:jc w:val="both"/>
        <w:rPr>
          <w:rFonts w:ascii="Times New Roman" w:hAnsi="Times New Roman" w:cs="Times New Roman"/>
          <w:color w:val="auto"/>
          <w:sz w:val="22"/>
          <w:szCs w:val="22"/>
        </w:rPr>
      </w:pPr>
    </w:p>
    <w:p w14:paraId="74B3ED57" w14:textId="48261E98" w:rsidR="002A031E" w:rsidRDefault="002A031E" w:rsidP="002A031E">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Departamento de Direito, P</w:t>
      </w:r>
      <w:r w:rsidRPr="008D2A9C">
        <w:rPr>
          <w:rFonts w:ascii="Times New Roman" w:hAnsi="Times New Roman" w:cs="Times New Roman"/>
          <w:sz w:val="20"/>
          <w:szCs w:val="20"/>
        </w:rPr>
        <w:t>orto, Portugal</w:t>
      </w:r>
      <w:r>
        <w:rPr>
          <w:rFonts w:ascii="Times New Roman" w:hAnsi="Times New Roman" w:cs="Times New Roman"/>
          <w:sz w:val="20"/>
          <w:szCs w:val="20"/>
        </w:rPr>
        <w:t>, +351225572474.</w:t>
      </w:r>
      <w:r w:rsidR="006564A9">
        <w:rPr>
          <w:rFonts w:ascii="Times New Roman" w:hAnsi="Times New Roman" w:cs="Times New Roman"/>
          <w:sz w:val="20"/>
          <w:szCs w:val="20"/>
        </w:rPr>
        <w:t xml:space="preserve"> </w:t>
      </w:r>
      <w:r>
        <w:rPr>
          <w:rFonts w:ascii="Times New Roman" w:hAnsi="Times New Roman" w:cs="Times New Roman"/>
          <w:sz w:val="20"/>
          <w:szCs w:val="20"/>
        </w:rPr>
        <w:t xml:space="preserve">Instituto Jurídico Portucalense, </w:t>
      </w: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P</w:t>
      </w:r>
      <w:r w:rsidRPr="008D2A9C">
        <w:rPr>
          <w:rFonts w:ascii="Times New Roman" w:hAnsi="Times New Roman" w:cs="Times New Roman"/>
          <w:sz w:val="20"/>
          <w:szCs w:val="20"/>
        </w:rPr>
        <w:t>orto, Portugal</w:t>
      </w:r>
    </w:p>
    <w:p w14:paraId="35A51F49" w14:textId="77777777" w:rsidR="002A031E" w:rsidRDefault="002A031E" w:rsidP="002A031E">
      <w:pPr>
        <w:pStyle w:val="Default"/>
        <w:jc w:val="both"/>
        <w:rPr>
          <w:rFonts w:ascii="Times New Roman" w:hAnsi="Times New Roman" w:cs="Times New Roman"/>
          <w:color w:val="auto"/>
          <w:sz w:val="20"/>
          <w:szCs w:val="20"/>
        </w:rPr>
      </w:pPr>
    </w:p>
    <w:p w14:paraId="479D2E04" w14:textId="5B6563EB" w:rsidR="005470BD" w:rsidRDefault="005470BD" w:rsidP="002A031E">
      <w:pPr>
        <w:pStyle w:val="Default"/>
        <w:jc w:val="both"/>
        <w:rPr>
          <w:rFonts w:ascii="Times New Roman" w:hAnsi="Times New Roman" w:cs="Times New Roman"/>
          <w:color w:val="auto"/>
          <w:sz w:val="20"/>
          <w:szCs w:val="20"/>
        </w:rPr>
      </w:pPr>
      <w:r>
        <w:rPr>
          <w:rFonts w:ascii="Times New Roman" w:hAnsi="Times New Roman" w:cs="Times New Roman"/>
          <w:color w:val="auto"/>
          <w:sz w:val="20"/>
          <w:szCs w:val="20"/>
        </w:rPr>
        <w:lastRenderedPageBreak/>
        <w:t>Câmara Municipal de Vila Nova de Gaia – Direção Municipal de Bombeiros Sapadores e Proteção Civil</w:t>
      </w:r>
      <w:r w:rsidR="006564A9">
        <w:rPr>
          <w:rFonts w:ascii="Times New Roman" w:hAnsi="Times New Roman" w:cs="Times New Roman"/>
          <w:color w:val="auto"/>
          <w:sz w:val="20"/>
          <w:szCs w:val="20"/>
        </w:rPr>
        <w:t>. +351 91 675 11 90</w:t>
      </w:r>
    </w:p>
    <w:p w14:paraId="1AAE16F4" w14:textId="77777777" w:rsidR="002A031E" w:rsidRPr="006B0A59" w:rsidRDefault="002A031E" w:rsidP="002A031E">
      <w:pPr>
        <w:rPr>
          <w:b/>
          <w:bCs/>
        </w:rPr>
      </w:pPr>
    </w:p>
    <w:p w14:paraId="23B3438B" w14:textId="77777777" w:rsidR="002A031E" w:rsidRPr="005470BD" w:rsidRDefault="002A031E" w:rsidP="002A031E">
      <w:pPr>
        <w:jc w:val="both"/>
        <w:rPr>
          <w:b/>
          <w:bCs/>
        </w:rPr>
      </w:pPr>
      <w:r w:rsidRPr="005470BD">
        <w:rPr>
          <w:b/>
          <w:bCs/>
        </w:rPr>
        <w:t xml:space="preserve">Eixo temático:  </w:t>
      </w:r>
    </w:p>
    <w:p w14:paraId="2E9DF095" w14:textId="0D08C19D" w:rsidR="001764B9" w:rsidRPr="001764B9" w:rsidRDefault="001764B9" w:rsidP="001764B9">
      <w:pPr>
        <w:rPr>
          <w:rFonts w:ascii="Open Sans" w:eastAsia="Times New Roman" w:hAnsi="Open Sans" w:cs="Open Sans"/>
          <w:b/>
          <w:bCs/>
          <w:color w:val="ADADAD" w:themeColor="background2" w:themeShade="BF"/>
          <w:sz w:val="24"/>
          <w:szCs w:val="24"/>
          <w:lang w:eastAsia="pt-PT"/>
        </w:rPr>
      </w:pPr>
      <w:r>
        <w:rPr>
          <w:rFonts w:ascii="Open Sans" w:eastAsia="Times New Roman" w:hAnsi="Open Sans" w:cs="Open Sans"/>
          <w:b/>
          <w:bCs/>
          <w:color w:val="ADADAD" w:themeColor="background2" w:themeShade="BF"/>
          <w:sz w:val="24"/>
          <w:szCs w:val="24"/>
          <w:lang w:eastAsia="pt-PT"/>
        </w:rPr>
        <w:t xml:space="preserve">6. </w:t>
      </w:r>
      <w:r w:rsidRPr="001764B9">
        <w:rPr>
          <w:rFonts w:ascii="Open Sans" w:eastAsia="Times New Roman" w:hAnsi="Open Sans" w:cs="Open Sans"/>
          <w:b/>
          <w:bCs/>
          <w:color w:val="ADADAD" w:themeColor="background2" w:themeShade="BF"/>
          <w:sz w:val="24"/>
          <w:szCs w:val="24"/>
          <w:lang w:eastAsia="pt-PT"/>
        </w:rPr>
        <w:t>DIREITO DA UNIÃO EUROPEIA</w:t>
      </w:r>
    </w:p>
    <w:p w14:paraId="7265EC48" w14:textId="0EDDCBFA" w:rsidR="001764B9" w:rsidRPr="001764B9" w:rsidRDefault="001764B9" w:rsidP="001764B9">
      <w:pPr>
        <w:ind w:left="720"/>
        <w:rPr>
          <w:rFonts w:ascii="Open Sans" w:eastAsia="Times New Roman" w:hAnsi="Open Sans" w:cs="Open Sans"/>
          <w:b/>
          <w:bCs/>
          <w:color w:val="ADADAD" w:themeColor="background2" w:themeShade="BF"/>
          <w:sz w:val="24"/>
          <w:szCs w:val="24"/>
          <w:lang w:eastAsia="pt-PT"/>
        </w:rPr>
      </w:pPr>
      <w:r w:rsidRPr="001764B9">
        <w:rPr>
          <w:rFonts w:ascii="Open Sans" w:eastAsia="Times New Roman" w:hAnsi="Open Sans" w:cs="Open Sans"/>
          <w:b/>
          <w:bCs/>
          <w:color w:val="ADADAD" w:themeColor="background2" w:themeShade="BF"/>
          <w:sz w:val="24"/>
          <w:szCs w:val="24"/>
          <w:lang w:eastAsia="pt-PT"/>
        </w:rPr>
        <w:t xml:space="preserve">6.5. Democratização da </w:t>
      </w:r>
      <w:r>
        <w:rPr>
          <w:rFonts w:ascii="Open Sans" w:eastAsia="Times New Roman" w:hAnsi="Open Sans" w:cs="Open Sans"/>
          <w:b/>
          <w:bCs/>
          <w:color w:val="ADADAD" w:themeColor="background2" w:themeShade="BF"/>
          <w:sz w:val="24"/>
          <w:szCs w:val="24"/>
          <w:lang w:eastAsia="pt-PT"/>
        </w:rPr>
        <w:t xml:space="preserve">UE  </w:t>
      </w:r>
    </w:p>
    <w:p w14:paraId="39B8EA0A" w14:textId="77777777" w:rsidR="002A031E" w:rsidRDefault="002A031E" w:rsidP="002A031E">
      <w:pPr>
        <w:rPr>
          <w:b/>
          <w:bCs/>
        </w:rPr>
      </w:pPr>
    </w:p>
    <w:p w14:paraId="05F75734" w14:textId="77777777" w:rsidR="002A031E" w:rsidRDefault="002A031E" w:rsidP="002A031E">
      <w:pPr>
        <w:rPr>
          <w:b/>
          <w:bCs/>
        </w:rPr>
      </w:pPr>
      <w:r w:rsidRPr="00843F90">
        <w:rPr>
          <w:b/>
          <w:bCs/>
        </w:rPr>
        <w:t>Resumo:</w:t>
      </w:r>
      <w:r>
        <w:rPr>
          <w:b/>
          <w:bCs/>
        </w:rPr>
        <w:t xml:space="preserve">       </w:t>
      </w:r>
    </w:p>
    <w:p w14:paraId="398CF811" w14:textId="4022D78E" w:rsidR="00DC7308" w:rsidRDefault="00C25760" w:rsidP="001764B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Em</w:t>
      </w:r>
      <w:r w:rsidR="00074E91" w:rsidRPr="00074E91">
        <w:rPr>
          <w:rFonts w:ascii="Times New Roman" w:hAnsi="Times New Roman" w:cs="Times New Roman"/>
          <w:sz w:val="24"/>
          <w:szCs w:val="24"/>
        </w:rPr>
        <w:t xml:space="preserve"> intenção de contributo numa perspetiva prática e atual sobre a matéria de direito de acesso aos documentos da prática administrativa local na aplicação do Direito Administrativo da União Europeia, apresentam-se considerações sobre </w:t>
      </w:r>
      <w:r w:rsidR="00411946">
        <w:rPr>
          <w:rFonts w:ascii="Times New Roman" w:hAnsi="Times New Roman" w:cs="Times New Roman"/>
          <w:sz w:val="24"/>
          <w:szCs w:val="24"/>
        </w:rPr>
        <w:t>o</w:t>
      </w:r>
      <w:r w:rsidR="00411946" w:rsidRPr="00411946">
        <w:rPr>
          <w:rFonts w:ascii="Times New Roman" w:hAnsi="Times New Roman" w:cs="Times New Roman"/>
          <w:sz w:val="24"/>
          <w:szCs w:val="24"/>
        </w:rPr>
        <w:t xml:space="preserve"> acesso à informação na União Europeia</w:t>
      </w:r>
      <w:r w:rsidR="00411946">
        <w:rPr>
          <w:rFonts w:ascii="Times New Roman" w:hAnsi="Times New Roman" w:cs="Times New Roman"/>
          <w:sz w:val="24"/>
          <w:szCs w:val="24"/>
        </w:rPr>
        <w:t>. Este</w:t>
      </w:r>
      <w:r w:rsidR="00411946" w:rsidRPr="00411946">
        <w:rPr>
          <w:rFonts w:ascii="Times New Roman" w:hAnsi="Times New Roman" w:cs="Times New Roman"/>
          <w:sz w:val="24"/>
          <w:szCs w:val="24"/>
        </w:rPr>
        <w:t xml:space="preserve"> é consolidado como um direito fundamental baseado na transparência e legislação, mas enfrenta desafios práticos relacionados </w:t>
      </w:r>
      <w:r w:rsidR="00411946">
        <w:rPr>
          <w:rFonts w:ascii="Times New Roman" w:hAnsi="Times New Roman" w:cs="Times New Roman"/>
          <w:sz w:val="24"/>
          <w:szCs w:val="24"/>
        </w:rPr>
        <w:t>com a</w:t>
      </w:r>
      <w:r w:rsidR="00411946" w:rsidRPr="00411946">
        <w:rPr>
          <w:rFonts w:ascii="Times New Roman" w:hAnsi="Times New Roman" w:cs="Times New Roman"/>
          <w:sz w:val="24"/>
          <w:szCs w:val="24"/>
        </w:rPr>
        <w:t xml:space="preserve"> desinformação, soberania digital e novas tecnologias. Embora a UE </w:t>
      </w:r>
      <w:r w:rsidR="00411946">
        <w:rPr>
          <w:rFonts w:ascii="Times New Roman" w:hAnsi="Times New Roman" w:cs="Times New Roman"/>
          <w:sz w:val="24"/>
          <w:szCs w:val="24"/>
        </w:rPr>
        <w:t>assuma</w:t>
      </w:r>
      <w:r w:rsidR="00411946" w:rsidRPr="00411946">
        <w:rPr>
          <w:rFonts w:ascii="Times New Roman" w:hAnsi="Times New Roman" w:cs="Times New Roman"/>
          <w:sz w:val="24"/>
          <w:szCs w:val="24"/>
        </w:rPr>
        <w:t xml:space="preserve"> normas de transparência, a eficácia do acesso requer adaptação contínua para garantir a segurança e o combate à manipulação da informação.</w:t>
      </w:r>
      <w:r w:rsidR="00411946">
        <w:rPr>
          <w:rFonts w:ascii="Times New Roman" w:hAnsi="Times New Roman" w:cs="Times New Roman"/>
          <w:sz w:val="24"/>
          <w:szCs w:val="24"/>
        </w:rPr>
        <w:t xml:space="preserve"> Está em curso uma proposta de reforma atentas as novas realidades digitais.</w:t>
      </w:r>
    </w:p>
    <w:p w14:paraId="0BAE1CD5" w14:textId="09FEAB67" w:rsidR="00C61FB4" w:rsidRPr="00C25760" w:rsidRDefault="00C61FB4" w:rsidP="001764B9">
      <w:pPr>
        <w:spacing w:line="360" w:lineRule="auto"/>
        <w:ind w:firstLine="708"/>
        <w:jc w:val="both"/>
        <w:rPr>
          <w:rFonts w:ascii="Times New Roman" w:hAnsi="Times New Roman" w:cs="Times New Roman"/>
          <w:sz w:val="24"/>
          <w:szCs w:val="24"/>
        </w:rPr>
      </w:pPr>
      <w:r w:rsidRPr="00C25760">
        <w:rPr>
          <w:rFonts w:ascii="Times New Roman" w:hAnsi="Times New Roman" w:cs="Times New Roman"/>
          <w:sz w:val="24"/>
          <w:szCs w:val="24"/>
        </w:rPr>
        <w:t xml:space="preserve">O incremento da atividade da União Europeia no plano interno e externo implica a elaboração de documentos que integram o âmbito do exercício dos direitos fundamentais dos cidadãos em requerer o acesso. </w:t>
      </w:r>
      <w:r w:rsidR="00527C3D" w:rsidRPr="00C25760">
        <w:rPr>
          <w:rFonts w:ascii="Times New Roman" w:hAnsi="Times New Roman" w:cs="Times New Roman"/>
          <w:sz w:val="24"/>
          <w:szCs w:val="24"/>
        </w:rPr>
        <w:t xml:space="preserve">De forma a garantir o cumprimento dos princípios basilares da União, o legislador reconhece </w:t>
      </w:r>
      <w:r w:rsidR="009A11D4" w:rsidRPr="00C25760">
        <w:rPr>
          <w:rFonts w:ascii="Times New Roman" w:hAnsi="Times New Roman" w:cs="Times New Roman"/>
          <w:sz w:val="24"/>
          <w:szCs w:val="24"/>
        </w:rPr>
        <w:t>a transparência enquanto elemento essencial para garantir a legitimidade democrática e a tomada de decisões com impacto nos Estados-membros</w:t>
      </w:r>
      <w:r w:rsidR="00F04A1D" w:rsidRPr="00C25760">
        <w:rPr>
          <w:rFonts w:ascii="Times New Roman" w:hAnsi="Times New Roman" w:cs="Times New Roman"/>
          <w:sz w:val="24"/>
          <w:szCs w:val="24"/>
        </w:rPr>
        <w:t>, e desse modo, contribuir para a participação dos cidadãos e a responsabilidade dos atores políticos no exercício de funções.</w:t>
      </w:r>
    </w:p>
    <w:p w14:paraId="07B42BF3" w14:textId="50EE0A7E" w:rsidR="00AE5462" w:rsidRPr="00C25760" w:rsidRDefault="00570E7B" w:rsidP="001764B9">
      <w:pPr>
        <w:spacing w:line="360" w:lineRule="auto"/>
        <w:ind w:firstLine="708"/>
        <w:jc w:val="both"/>
        <w:rPr>
          <w:rFonts w:ascii="Times New Roman" w:hAnsi="Times New Roman" w:cs="Times New Roman"/>
          <w:sz w:val="24"/>
          <w:szCs w:val="24"/>
        </w:rPr>
      </w:pPr>
      <w:r w:rsidRPr="00C25760">
        <w:rPr>
          <w:rFonts w:ascii="Times New Roman" w:hAnsi="Times New Roman" w:cs="Times New Roman"/>
          <w:sz w:val="24"/>
          <w:szCs w:val="24"/>
        </w:rPr>
        <w:t>Nos termos do artigo 15.º</w:t>
      </w:r>
      <w:r w:rsidR="00865CE9" w:rsidRPr="00C25760">
        <w:rPr>
          <w:rFonts w:ascii="Times New Roman" w:hAnsi="Times New Roman" w:cs="Times New Roman"/>
          <w:sz w:val="24"/>
          <w:szCs w:val="24"/>
        </w:rPr>
        <w:t xml:space="preserve"> </w:t>
      </w:r>
      <w:r w:rsidRPr="00C25760">
        <w:rPr>
          <w:rFonts w:ascii="Times New Roman" w:hAnsi="Times New Roman" w:cs="Times New Roman"/>
          <w:sz w:val="24"/>
          <w:szCs w:val="24"/>
        </w:rPr>
        <w:t>do Tratado sobre o Funcionamento</w:t>
      </w:r>
      <w:r w:rsidR="00CA0968" w:rsidRPr="00C25760">
        <w:rPr>
          <w:rFonts w:ascii="Times New Roman" w:hAnsi="Times New Roman" w:cs="Times New Roman"/>
          <w:sz w:val="24"/>
          <w:szCs w:val="24"/>
        </w:rPr>
        <w:t xml:space="preserve"> da União Europeia</w:t>
      </w:r>
      <w:r w:rsidR="00C25760" w:rsidRPr="00C25760">
        <w:rPr>
          <w:rFonts w:ascii="Times New Roman" w:hAnsi="Times New Roman" w:cs="Times New Roman"/>
          <w:sz w:val="24"/>
          <w:szCs w:val="24"/>
        </w:rPr>
        <w:t xml:space="preserve"> (TUE)</w:t>
      </w:r>
      <w:r w:rsidR="00CA0968" w:rsidRPr="00C25760">
        <w:rPr>
          <w:rFonts w:ascii="Times New Roman" w:hAnsi="Times New Roman" w:cs="Times New Roman"/>
          <w:sz w:val="24"/>
          <w:szCs w:val="24"/>
        </w:rPr>
        <w:t xml:space="preserve">, os cidadãos e residentes da União tem o direito de requerer o acesso aos documentos emanados pelas instituições, órgãos e organismos da União, independentemente do formato. </w:t>
      </w:r>
      <w:r w:rsidR="00C25760" w:rsidRPr="00C25760">
        <w:rPr>
          <w:rFonts w:ascii="Times New Roman" w:hAnsi="Times New Roman" w:cs="Times New Roman"/>
          <w:sz w:val="24"/>
          <w:szCs w:val="24"/>
        </w:rPr>
        <w:t>Pelo</w:t>
      </w:r>
      <w:r w:rsidR="00865CE9" w:rsidRPr="00C25760">
        <w:rPr>
          <w:rFonts w:ascii="Times New Roman" w:hAnsi="Times New Roman" w:cs="Times New Roman"/>
          <w:sz w:val="24"/>
          <w:szCs w:val="24"/>
        </w:rPr>
        <w:t xml:space="preserve"> artigo 42.º da Carta dos Direitos Fundamentais da União Europeia</w:t>
      </w:r>
      <w:r w:rsidR="00C25760" w:rsidRPr="00C25760">
        <w:rPr>
          <w:rFonts w:ascii="Times New Roman" w:hAnsi="Times New Roman" w:cs="Times New Roman"/>
          <w:sz w:val="24"/>
          <w:szCs w:val="24"/>
        </w:rPr>
        <w:t xml:space="preserve"> (CDFUE)</w:t>
      </w:r>
      <w:r w:rsidR="00865CE9" w:rsidRPr="00C25760">
        <w:rPr>
          <w:rFonts w:ascii="Times New Roman" w:hAnsi="Times New Roman" w:cs="Times New Roman"/>
          <w:sz w:val="24"/>
          <w:szCs w:val="24"/>
        </w:rPr>
        <w:t xml:space="preserve">, o direito de acesso aos documentos da União deve ser garantido independentemente do suporte existente (físico, digital). </w:t>
      </w:r>
      <w:r w:rsidR="00CA0968" w:rsidRPr="00C25760">
        <w:rPr>
          <w:rFonts w:ascii="Times New Roman" w:hAnsi="Times New Roman" w:cs="Times New Roman"/>
          <w:sz w:val="24"/>
          <w:szCs w:val="24"/>
        </w:rPr>
        <w:t xml:space="preserve">Por sua vez, o Regulamento (CE) n.º 1049/2001 do Parlamento Europeu e do Conselho define o direito de acesso e determina o modo e meio para requerer os documentos elaborados e publicados. </w:t>
      </w:r>
    </w:p>
    <w:p w14:paraId="2C84D24D" w14:textId="7E849741" w:rsidR="0099297F" w:rsidRPr="00C25760" w:rsidRDefault="00562AD1" w:rsidP="0099297F">
      <w:pPr>
        <w:spacing w:line="360" w:lineRule="auto"/>
        <w:ind w:firstLine="708"/>
        <w:jc w:val="both"/>
        <w:rPr>
          <w:rFonts w:ascii="Times New Roman" w:hAnsi="Times New Roman" w:cs="Times New Roman"/>
          <w:sz w:val="24"/>
          <w:szCs w:val="24"/>
        </w:rPr>
      </w:pPr>
      <w:r w:rsidRPr="00C25760">
        <w:rPr>
          <w:rFonts w:ascii="Times New Roman" w:hAnsi="Times New Roman" w:cs="Times New Roman"/>
          <w:sz w:val="24"/>
          <w:szCs w:val="24"/>
        </w:rPr>
        <w:lastRenderedPageBreak/>
        <w:t xml:space="preserve">Perante a evolução tecnológica e a digitalização da sociedade, a União Europeia promoveu a elaboração </w:t>
      </w:r>
      <w:r w:rsidR="006564A9" w:rsidRPr="00C25760">
        <w:rPr>
          <w:rFonts w:ascii="Times New Roman" w:hAnsi="Times New Roman" w:cs="Times New Roman"/>
          <w:sz w:val="24"/>
          <w:szCs w:val="24"/>
        </w:rPr>
        <w:t>de plataformas e bases de dados</w:t>
      </w:r>
      <w:r w:rsidRPr="00C25760">
        <w:rPr>
          <w:rFonts w:ascii="Times New Roman" w:hAnsi="Times New Roman" w:cs="Times New Roman"/>
          <w:sz w:val="24"/>
          <w:szCs w:val="24"/>
        </w:rPr>
        <w:t xml:space="preserve"> que permitem </w:t>
      </w:r>
      <w:r w:rsidR="00B133CA" w:rsidRPr="00C25760">
        <w:rPr>
          <w:rFonts w:ascii="Times New Roman" w:hAnsi="Times New Roman" w:cs="Times New Roman"/>
          <w:sz w:val="24"/>
          <w:szCs w:val="24"/>
        </w:rPr>
        <w:t xml:space="preserve">a divulgação </w:t>
      </w:r>
      <w:r w:rsidR="009A4E67" w:rsidRPr="00C25760">
        <w:rPr>
          <w:rFonts w:ascii="Times New Roman" w:hAnsi="Times New Roman" w:cs="Times New Roman"/>
          <w:sz w:val="24"/>
          <w:szCs w:val="24"/>
        </w:rPr>
        <w:t>de textos legislativos, comunicados de imprensa, decisões judiciais, monografias e panfletos institucionais</w:t>
      </w:r>
      <w:r w:rsidR="004B4093" w:rsidRPr="00C25760">
        <w:rPr>
          <w:rFonts w:ascii="Times New Roman" w:hAnsi="Times New Roman" w:cs="Times New Roman"/>
          <w:sz w:val="24"/>
          <w:szCs w:val="24"/>
        </w:rPr>
        <w:t xml:space="preserve">. Esta divulgação permite que o cidadão europeu tenha acesso à informação através dos meios que permitem a consulta dos elementos ou recursos disponíveis por parte da União. Diferente dessa realidade, um pedido de acesso aos documentos </w:t>
      </w:r>
      <w:r w:rsidR="00BA4170" w:rsidRPr="00C25760">
        <w:rPr>
          <w:rFonts w:ascii="Times New Roman" w:hAnsi="Times New Roman" w:cs="Times New Roman"/>
          <w:sz w:val="24"/>
          <w:szCs w:val="24"/>
        </w:rPr>
        <w:t xml:space="preserve">está relacionado com a necessidade de consultar determinado elemento produzido pela UE </w:t>
      </w:r>
      <w:r w:rsidR="006564A9" w:rsidRPr="00C25760">
        <w:rPr>
          <w:rFonts w:ascii="Times New Roman" w:hAnsi="Times New Roman" w:cs="Times New Roman"/>
          <w:sz w:val="24"/>
          <w:szCs w:val="24"/>
        </w:rPr>
        <w:t>que não se encontra totalmente divulgado nos principais meios de consulta.</w:t>
      </w:r>
    </w:p>
    <w:p w14:paraId="07A700FC" w14:textId="77777777" w:rsidR="006564A9" w:rsidRPr="00C25760" w:rsidRDefault="006564A9" w:rsidP="006564A9">
      <w:pPr>
        <w:spacing w:line="360" w:lineRule="auto"/>
        <w:ind w:firstLine="708"/>
        <w:jc w:val="both"/>
        <w:rPr>
          <w:rFonts w:ascii="Times New Roman" w:hAnsi="Times New Roman" w:cs="Times New Roman"/>
          <w:sz w:val="24"/>
          <w:szCs w:val="24"/>
        </w:rPr>
      </w:pPr>
      <w:r w:rsidRPr="00C25760">
        <w:rPr>
          <w:rFonts w:ascii="Times New Roman" w:hAnsi="Times New Roman" w:cs="Times New Roman"/>
          <w:sz w:val="24"/>
          <w:szCs w:val="24"/>
        </w:rPr>
        <w:t>É uma garantia do cidadão europeu e residente estar informado sobre a informação produzida pelas instituições europeias, e é um sinal de transparência da União Europeia ao permitir ao cidadão utilizar os meios adequados para consultar recursos de informação emanados por aquelas. Sem prejuízo das restrições ou meios para impedir que determinada informação seja divulgada, a inércia ou eventual recusa de um pedido de acesso a documentos públicos implica o uso de meios de reação que podem chegar ao recurso da tutela jurisdicional comunitária.</w:t>
      </w:r>
    </w:p>
    <w:p w14:paraId="11206475" w14:textId="4C0A78C5" w:rsidR="000A655D" w:rsidRPr="00C25760" w:rsidRDefault="008A17CD" w:rsidP="001764B9">
      <w:pPr>
        <w:spacing w:line="360" w:lineRule="auto"/>
        <w:ind w:firstLine="708"/>
        <w:jc w:val="both"/>
        <w:rPr>
          <w:rFonts w:ascii="Times New Roman" w:hAnsi="Times New Roman" w:cs="Times New Roman"/>
          <w:sz w:val="24"/>
          <w:szCs w:val="24"/>
        </w:rPr>
      </w:pPr>
      <w:r w:rsidRPr="00C25760">
        <w:rPr>
          <w:rFonts w:ascii="Times New Roman" w:hAnsi="Times New Roman" w:cs="Times New Roman"/>
          <w:sz w:val="24"/>
          <w:szCs w:val="24"/>
        </w:rPr>
        <w:t>Os documentos que dizem respeito ao quotidiano dos cidadãos europeus poderão ser enquadrados no âmbito do direito de acesso, sem prejuízo dos critérios de exceção de recusa total ou parcial, critério que depende da decisão do Tribunal de Justiça da União Europeia</w:t>
      </w:r>
      <w:r w:rsidR="00C25760" w:rsidRPr="00C25760">
        <w:rPr>
          <w:rFonts w:ascii="Times New Roman" w:hAnsi="Times New Roman" w:cs="Times New Roman"/>
          <w:sz w:val="24"/>
          <w:szCs w:val="24"/>
        </w:rPr>
        <w:t xml:space="preserve"> (TJUE)</w:t>
      </w:r>
      <w:r w:rsidR="00303F91" w:rsidRPr="00C25760">
        <w:rPr>
          <w:rFonts w:ascii="Times New Roman" w:hAnsi="Times New Roman" w:cs="Times New Roman"/>
          <w:sz w:val="24"/>
          <w:szCs w:val="24"/>
        </w:rPr>
        <w:t xml:space="preserve">, relativamente aos pedidos cuja natureza envolve segredos comerciais, tratados internacionais, segurança nacional e dados pessoais. O direito de acesso aos documentos, enquanto elemento integrante dos direitos fundamentais dos cidadãos, e um dos pilares da União, tem a capacidade de </w:t>
      </w:r>
      <w:r w:rsidR="00AF1988" w:rsidRPr="00C25760">
        <w:rPr>
          <w:rFonts w:ascii="Times New Roman" w:hAnsi="Times New Roman" w:cs="Times New Roman"/>
          <w:sz w:val="24"/>
          <w:szCs w:val="24"/>
        </w:rPr>
        <w:t>orientar a consciência cidadã e promover iniciativas de natureza social e política nas instituições e nos governos dos Estados-membros.</w:t>
      </w:r>
    </w:p>
    <w:p w14:paraId="61DC6617" w14:textId="08BB19D6" w:rsidR="00AF1988" w:rsidRPr="00303F91" w:rsidRDefault="00AF1988" w:rsidP="00AF1988">
      <w:pPr>
        <w:spacing w:line="360" w:lineRule="auto"/>
        <w:ind w:firstLine="708"/>
        <w:jc w:val="both"/>
        <w:rPr>
          <w:rFonts w:ascii="Times New Roman" w:hAnsi="Times New Roman" w:cs="Times New Roman"/>
          <w:sz w:val="24"/>
          <w:szCs w:val="24"/>
        </w:rPr>
      </w:pPr>
      <w:r w:rsidRPr="00C25760">
        <w:rPr>
          <w:rFonts w:ascii="Times New Roman" w:hAnsi="Times New Roman" w:cs="Times New Roman"/>
          <w:sz w:val="24"/>
          <w:szCs w:val="24"/>
        </w:rPr>
        <w:t xml:space="preserve">O presente </w:t>
      </w:r>
      <w:r w:rsidR="00C25760">
        <w:rPr>
          <w:rFonts w:ascii="Times New Roman" w:hAnsi="Times New Roman" w:cs="Times New Roman"/>
          <w:sz w:val="24"/>
          <w:szCs w:val="24"/>
        </w:rPr>
        <w:t>estud</w:t>
      </w:r>
      <w:r w:rsidRPr="00C25760">
        <w:rPr>
          <w:rFonts w:ascii="Times New Roman" w:hAnsi="Times New Roman" w:cs="Times New Roman"/>
          <w:sz w:val="24"/>
          <w:szCs w:val="24"/>
        </w:rPr>
        <w:t>o terá como objetivo apresentar o enquadramento geral do acesso aos documentos da União Europeia, na posse das respetivas instituições, e o incremento do número de pedidos por parte dos cidadãos, atendendo ao cumprimento do princípio da transparência e no interesse da participação cívica nas atividades internas e externas da União.</w:t>
      </w:r>
      <w:r>
        <w:rPr>
          <w:rFonts w:ascii="Times New Roman" w:hAnsi="Times New Roman" w:cs="Times New Roman"/>
          <w:sz w:val="24"/>
          <w:szCs w:val="24"/>
        </w:rPr>
        <w:t xml:space="preserve"> </w:t>
      </w:r>
    </w:p>
    <w:p w14:paraId="3DC53063" w14:textId="3930CBDA" w:rsidR="00E75C17" w:rsidRPr="00697804" w:rsidRDefault="00BF67EC" w:rsidP="00697804">
      <w:pPr>
        <w:jc w:val="both"/>
        <w:rPr>
          <w:rFonts w:ascii="Times New Roman" w:hAnsi="Times New Roman" w:cs="Times New Roman"/>
          <w:b/>
          <w:bCs/>
        </w:rPr>
      </w:pPr>
      <w:r w:rsidRPr="00697804">
        <w:rPr>
          <w:rFonts w:ascii="Times New Roman" w:hAnsi="Times New Roman" w:cs="Times New Roman"/>
          <w:b/>
          <w:bCs/>
        </w:rPr>
        <w:t>Palavras-chave</w:t>
      </w:r>
      <w:r w:rsidR="00EB38EE" w:rsidRPr="00697804">
        <w:rPr>
          <w:rFonts w:ascii="Times New Roman" w:hAnsi="Times New Roman" w:cs="Times New Roman"/>
          <w:b/>
          <w:bCs/>
        </w:rPr>
        <w:t xml:space="preserve">: </w:t>
      </w:r>
      <w:r w:rsidR="001764B9" w:rsidRPr="00697804">
        <w:rPr>
          <w:rFonts w:ascii="Times New Roman" w:hAnsi="Times New Roman" w:cs="Times New Roman"/>
        </w:rPr>
        <w:t>acesso a documentos</w:t>
      </w:r>
      <w:r w:rsidR="008F7BDE" w:rsidRPr="00697804">
        <w:rPr>
          <w:rFonts w:ascii="Times New Roman" w:hAnsi="Times New Roman" w:cs="Times New Roman"/>
        </w:rPr>
        <w:t>; Direito Administrativo; transparência; segurança</w:t>
      </w:r>
      <w:r w:rsidR="001764B9" w:rsidRPr="00697804">
        <w:rPr>
          <w:rFonts w:ascii="Times New Roman" w:hAnsi="Times New Roman" w:cs="Times New Roman"/>
        </w:rPr>
        <w:t>;</w:t>
      </w:r>
      <w:r w:rsidR="00EB38EE" w:rsidRPr="00697804">
        <w:rPr>
          <w:rFonts w:ascii="Times New Roman" w:hAnsi="Times New Roman" w:cs="Times New Roman"/>
        </w:rPr>
        <w:t xml:space="preserve"> União Europeia.</w:t>
      </w:r>
    </w:p>
    <w:p w14:paraId="03AAE317" w14:textId="77777777" w:rsidR="00C25760" w:rsidRDefault="00C25760" w:rsidP="00697804">
      <w:pPr>
        <w:spacing w:line="360" w:lineRule="auto"/>
        <w:jc w:val="both"/>
        <w:rPr>
          <w:rFonts w:ascii="Times New Roman" w:hAnsi="Times New Roman" w:cs="Times New Roman"/>
          <w:b/>
          <w:bCs/>
        </w:rPr>
      </w:pPr>
    </w:p>
    <w:p w14:paraId="31F7E9C6" w14:textId="2CC45984" w:rsidR="002A031E" w:rsidRPr="00697804" w:rsidRDefault="002A031E" w:rsidP="00697804">
      <w:pPr>
        <w:spacing w:line="360" w:lineRule="auto"/>
        <w:jc w:val="both"/>
        <w:rPr>
          <w:rFonts w:ascii="Times New Roman" w:hAnsi="Times New Roman" w:cs="Times New Roman"/>
          <w:b/>
          <w:bCs/>
        </w:rPr>
      </w:pPr>
      <w:r w:rsidRPr="00697804">
        <w:rPr>
          <w:rFonts w:ascii="Times New Roman" w:hAnsi="Times New Roman" w:cs="Times New Roman"/>
          <w:b/>
          <w:bCs/>
        </w:rPr>
        <w:lastRenderedPageBreak/>
        <w:t>Referências breves</w:t>
      </w:r>
    </w:p>
    <w:p w14:paraId="04055BA5" w14:textId="0A51E299" w:rsidR="000836D9" w:rsidRPr="00C25760" w:rsidRDefault="0052452A" w:rsidP="00697804">
      <w:pPr>
        <w:spacing w:line="240" w:lineRule="auto"/>
        <w:jc w:val="both"/>
        <w:rPr>
          <w:rFonts w:ascii="Times New Roman" w:hAnsi="Times New Roman" w:cs="Times New Roman"/>
          <w:sz w:val="20"/>
          <w:szCs w:val="20"/>
        </w:rPr>
      </w:pPr>
      <w:r w:rsidRPr="00C25760">
        <w:rPr>
          <w:rFonts w:ascii="Times New Roman" w:hAnsi="Times New Roman" w:cs="Times New Roman"/>
          <w:sz w:val="20"/>
          <w:szCs w:val="20"/>
        </w:rPr>
        <w:t xml:space="preserve">Alves, D. R. (2016). A política de acesso a documentos da União Europeia. </w:t>
      </w:r>
      <w:r w:rsidRPr="00C25760">
        <w:rPr>
          <w:rFonts w:ascii="Times New Roman" w:hAnsi="Times New Roman" w:cs="Times New Roman"/>
          <w:sz w:val="20"/>
          <w:szCs w:val="20"/>
          <w:lang w:val="es-ES"/>
        </w:rPr>
        <w:t>[</w:t>
      </w:r>
      <w:proofErr w:type="spellStart"/>
      <w:r w:rsidRPr="00C25760">
        <w:rPr>
          <w:rFonts w:ascii="Times New Roman" w:hAnsi="Times New Roman" w:cs="Times New Roman"/>
          <w:sz w:val="20"/>
          <w:szCs w:val="20"/>
          <w:lang w:val="es-ES"/>
        </w:rPr>
        <w:t>Proceedings</w:t>
      </w:r>
      <w:proofErr w:type="spellEnd"/>
      <w:r w:rsidRPr="00C25760">
        <w:rPr>
          <w:rFonts w:ascii="Times New Roman" w:hAnsi="Times New Roman" w:cs="Times New Roman"/>
          <w:sz w:val="20"/>
          <w:szCs w:val="20"/>
          <w:lang w:val="es-ES"/>
        </w:rPr>
        <w:t xml:space="preserve">] In </w:t>
      </w:r>
      <w:r w:rsidRPr="00C25760">
        <w:rPr>
          <w:rFonts w:ascii="Times New Roman" w:hAnsi="Times New Roman" w:cs="Times New Roman"/>
          <w:i/>
          <w:iCs/>
          <w:sz w:val="20"/>
          <w:szCs w:val="20"/>
          <w:lang w:val="es-ES"/>
        </w:rPr>
        <w:t xml:space="preserve">Actas del I Congreso Comunicación y Pensamiento. </w:t>
      </w:r>
      <w:proofErr w:type="spellStart"/>
      <w:r w:rsidRPr="00C25760">
        <w:rPr>
          <w:rFonts w:ascii="Times New Roman" w:hAnsi="Times New Roman" w:cs="Times New Roman"/>
          <w:i/>
          <w:iCs/>
          <w:sz w:val="20"/>
          <w:szCs w:val="20"/>
          <w:lang w:val="es-ES"/>
        </w:rPr>
        <w:t>Comunicracia</w:t>
      </w:r>
      <w:proofErr w:type="spellEnd"/>
      <w:r w:rsidRPr="00C25760">
        <w:rPr>
          <w:rFonts w:ascii="Times New Roman" w:hAnsi="Times New Roman" w:cs="Times New Roman"/>
          <w:i/>
          <w:iCs/>
          <w:sz w:val="20"/>
          <w:szCs w:val="20"/>
          <w:lang w:val="es-ES"/>
        </w:rPr>
        <w:t xml:space="preserve"> y desarrollo social.</w:t>
      </w:r>
      <w:r w:rsidRPr="00C25760">
        <w:rPr>
          <w:rFonts w:ascii="Times New Roman" w:hAnsi="Times New Roman" w:cs="Times New Roman"/>
          <w:sz w:val="20"/>
          <w:szCs w:val="20"/>
          <w:lang w:val="es-ES"/>
        </w:rPr>
        <w:t xml:space="preserve">  </w:t>
      </w:r>
      <w:r w:rsidRPr="00C25760">
        <w:rPr>
          <w:rFonts w:ascii="Times New Roman" w:hAnsi="Times New Roman" w:cs="Times New Roman"/>
          <w:sz w:val="20"/>
          <w:szCs w:val="20"/>
        </w:rPr>
        <w:t xml:space="preserve">Disponível no Repositório da UPT, </w:t>
      </w:r>
      <w:hyperlink r:id="rId9" w:tgtFrame="_blank" w:history="1">
        <w:r w:rsidRPr="00C25760">
          <w:rPr>
            <w:rStyle w:val="Hiperligao"/>
            <w:rFonts w:ascii="Times New Roman" w:hAnsi="Times New Roman" w:cs="Times New Roman"/>
            <w:sz w:val="20"/>
            <w:szCs w:val="20"/>
          </w:rPr>
          <w:t>http://hdl.handle.net/11328/1992</w:t>
        </w:r>
      </w:hyperlink>
    </w:p>
    <w:p w14:paraId="4CBE961D" w14:textId="276DF4D2" w:rsidR="0052452A" w:rsidRPr="00C25760" w:rsidRDefault="0052452A" w:rsidP="00697804">
      <w:pPr>
        <w:spacing w:line="240" w:lineRule="auto"/>
        <w:jc w:val="both"/>
        <w:rPr>
          <w:rFonts w:ascii="Times New Roman" w:hAnsi="Times New Roman" w:cs="Times New Roman"/>
          <w:b/>
          <w:bCs/>
          <w:sz w:val="20"/>
          <w:szCs w:val="20"/>
        </w:rPr>
      </w:pPr>
      <w:r w:rsidRPr="00C25760">
        <w:rPr>
          <w:rFonts w:ascii="Times New Roman" w:hAnsi="Times New Roman" w:cs="Times New Roman"/>
          <w:sz w:val="20"/>
          <w:szCs w:val="20"/>
        </w:rPr>
        <w:t>Alves, D. R. (2018). Acerca da política de acesso aos documentos da União Europeia</w:t>
      </w:r>
      <w:r w:rsidRPr="00C25760">
        <w:rPr>
          <w:rFonts w:ascii="Times New Roman" w:hAnsi="Times New Roman" w:cs="Times New Roman"/>
          <w:i/>
          <w:iCs/>
          <w:sz w:val="20"/>
          <w:szCs w:val="20"/>
        </w:rPr>
        <w:t>.</w:t>
      </w:r>
      <w:r w:rsidRPr="00C25760">
        <w:rPr>
          <w:rFonts w:ascii="Times New Roman" w:hAnsi="Times New Roman" w:cs="Times New Roman"/>
          <w:sz w:val="20"/>
          <w:szCs w:val="20"/>
        </w:rPr>
        <w:t xml:space="preserve"> </w:t>
      </w:r>
      <w:r w:rsidRPr="00C25760">
        <w:rPr>
          <w:rFonts w:ascii="Times New Roman" w:hAnsi="Times New Roman" w:cs="Times New Roman"/>
          <w:i/>
          <w:iCs/>
          <w:sz w:val="20"/>
          <w:szCs w:val="20"/>
        </w:rPr>
        <w:t xml:space="preserve">Revista de Ciências Empresariais e Jurídicas do ISCAP </w:t>
      </w:r>
      <w:r w:rsidRPr="00C25760">
        <w:rPr>
          <w:rFonts w:ascii="Times New Roman" w:hAnsi="Times New Roman" w:cs="Times New Roman"/>
          <w:sz w:val="20"/>
          <w:szCs w:val="20"/>
        </w:rPr>
        <w:t xml:space="preserve">(RCEJ), 30, 199-237. Disponível no acesso: </w:t>
      </w:r>
      <w:hyperlink r:id="rId10" w:history="1">
        <w:r w:rsidRPr="00C25760">
          <w:rPr>
            <w:rStyle w:val="Hiperligao"/>
            <w:rFonts w:ascii="Times New Roman" w:hAnsi="Times New Roman" w:cs="Times New Roman"/>
            <w:sz w:val="20"/>
            <w:szCs w:val="20"/>
          </w:rPr>
          <w:t>https://parc.ipp.pt/index.php/rebules/issue/view/123</w:t>
        </w:r>
      </w:hyperlink>
      <w:r w:rsidRPr="00C25760">
        <w:rPr>
          <w:rFonts w:ascii="Times New Roman" w:hAnsi="Times New Roman" w:cs="Times New Roman"/>
          <w:b/>
          <w:bCs/>
          <w:sz w:val="20"/>
          <w:szCs w:val="20"/>
        </w:rPr>
        <w:t xml:space="preserve"> </w:t>
      </w:r>
    </w:p>
    <w:p w14:paraId="6F6035E9" w14:textId="4C2388B8" w:rsidR="008C32A9" w:rsidRPr="00C25760" w:rsidRDefault="008C32A9" w:rsidP="00697804">
      <w:pPr>
        <w:spacing w:line="240" w:lineRule="auto"/>
        <w:jc w:val="both"/>
        <w:rPr>
          <w:rFonts w:ascii="Times New Roman" w:hAnsi="Times New Roman" w:cs="Times New Roman"/>
          <w:sz w:val="20"/>
          <w:szCs w:val="20"/>
          <w:lang w:val="en-US"/>
        </w:rPr>
      </w:pPr>
      <w:r w:rsidRPr="00C25760">
        <w:rPr>
          <w:rFonts w:ascii="Times New Roman" w:hAnsi="Times New Roman" w:cs="Times New Roman"/>
          <w:sz w:val="20"/>
          <w:szCs w:val="20"/>
          <w:lang w:val="en-US"/>
        </w:rPr>
        <w:t xml:space="preserve">Rossi, L. </w:t>
      </w:r>
      <w:r w:rsidR="0039486B" w:rsidRPr="00C25760">
        <w:rPr>
          <w:rFonts w:ascii="Times New Roman" w:hAnsi="Times New Roman" w:cs="Times New Roman"/>
          <w:sz w:val="20"/>
          <w:szCs w:val="20"/>
          <w:lang w:val="en-US"/>
        </w:rPr>
        <w:t xml:space="preserve">&amp; </w:t>
      </w:r>
      <w:r w:rsidRPr="00C25760">
        <w:rPr>
          <w:rFonts w:ascii="Times New Roman" w:hAnsi="Times New Roman" w:cs="Times New Roman"/>
          <w:sz w:val="20"/>
          <w:szCs w:val="20"/>
          <w:lang w:val="en-US"/>
        </w:rPr>
        <w:t xml:space="preserve">Vinagre e Silva, P. (2017). Public Access to Documents in the EU. </w:t>
      </w:r>
      <w:r w:rsidR="008F099E" w:rsidRPr="00C25760">
        <w:rPr>
          <w:rFonts w:ascii="Times New Roman" w:hAnsi="Times New Roman" w:cs="Times New Roman"/>
          <w:sz w:val="20"/>
          <w:szCs w:val="20"/>
          <w:lang w:val="en-US"/>
        </w:rPr>
        <w:t>Hart Publishing.</w:t>
      </w:r>
    </w:p>
    <w:p w14:paraId="1131A999" w14:textId="653398FA" w:rsidR="00252DF7" w:rsidRPr="00C25760" w:rsidRDefault="008F099E" w:rsidP="00697804">
      <w:pPr>
        <w:spacing w:line="240" w:lineRule="auto"/>
        <w:jc w:val="both"/>
        <w:rPr>
          <w:rFonts w:ascii="Times New Roman" w:hAnsi="Times New Roman" w:cs="Times New Roman"/>
          <w:sz w:val="20"/>
          <w:szCs w:val="20"/>
          <w:lang w:val="en-US"/>
        </w:rPr>
      </w:pPr>
      <w:proofErr w:type="spellStart"/>
      <w:r w:rsidRPr="00C25760">
        <w:rPr>
          <w:rFonts w:ascii="Times New Roman" w:hAnsi="Times New Roman" w:cs="Times New Roman"/>
          <w:sz w:val="20"/>
          <w:szCs w:val="20"/>
          <w:lang w:val="en-US"/>
        </w:rPr>
        <w:t>Ankersmit</w:t>
      </w:r>
      <w:proofErr w:type="spellEnd"/>
      <w:r w:rsidRPr="00C25760">
        <w:rPr>
          <w:rFonts w:ascii="Times New Roman" w:hAnsi="Times New Roman" w:cs="Times New Roman"/>
          <w:sz w:val="20"/>
          <w:szCs w:val="20"/>
          <w:lang w:val="en-US"/>
        </w:rPr>
        <w:t xml:space="preserve">, L. &amp; Peters, J. (2022). Public Access to Documents in EU External Relations. </w:t>
      </w:r>
      <w:r w:rsidR="00242992" w:rsidRPr="00C25760">
        <w:rPr>
          <w:rFonts w:ascii="Times New Roman" w:hAnsi="Times New Roman" w:cs="Times New Roman"/>
          <w:sz w:val="20"/>
          <w:szCs w:val="20"/>
          <w:lang w:val="en-US"/>
        </w:rPr>
        <w:t>Amsterdam Law School Legal Studies Research Paper</w:t>
      </w:r>
      <w:r w:rsidRPr="00C25760">
        <w:rPr>
          <w:rFonts w:ascii="Times New Roman" w:hAnsi="Times New Roman" w:cs="Times New Roman"/>
          <w:sz w:val="20"/>
          <w:szCs w:val="20"/>
          <w:lang w:val="en-US"/>
        </w:rPr>
        <w:t xml:space="preserve">, </w:t>
      </w:r>
      <w:r w:rsidR="00242992" w:rsidRPr="00C25760">
        <w:rPr>
          <w:rFonts w:ascii="Times New Roman" w:hAnsi="Times New Roman" w:cs="Times New Roman"/>
          <w:sz w:val="20"/>
          <w:szCs w:val="20"/>
          <w:lang w:val="en-US"/>
        </w:rPr>
        <w:t>08</w:t>
      </w:r>
      <w:r w:rsidRPr="00C25760">
        <w:rPr>
          <w:rFonts w:ascii="Times New Roman" w:hAnsi="Times New Roman" w:cs="Times New Roman"/>
          <w:sz w:val="20"/>
          <w:szCs w:val="20"/>
          <w:lang w:val="en-US"/>
        </w:rPr>
        <w:t xml:space="preserve">. </w:t>
      </w:r>
      <w:r w:rsidR="00242992" w:rsidRPr="00C25760">
        <w:rPr>
          <w:rFonts w:ascii="Times New Roman" w:hAnsi="Times New Roman" w:cs="Times New Roman"/>
          <w:sz w:val="20"/>
          <w:szCs w:val="20"/>
          <w:lang w:val="en-US"/>
        </w:rPr>
        <w:t xml:space="preserve"> </w:t>
      </w:r>
      <w:hyperlink r:id="rId11" w:history="1">
        <w:r w:rsidR="0039486B" w:rsidRPr="00C25760">
          <w:rPr>
            <w:rStyle w:val="Hiperligao"/>
            <w:rFonts w:ascii="Times New Roman" w:hAnsi="Times New Roman" w:cs="Times New Roman"/>
            <w:sz w:val="20"/>
            <w:szCs w:val="20"/>
            <w:lang w:val="en-US"/>
          </w:rPr>
          <w:t>https://ssrn.com/abstract=4063606</w:t>
        </w:r>
      </w:hyperlink>
      <w:r w:rsidR="0039486B" w:rsidRPr="00C25760">
        <w:rPr>
          <w:rFonts w:ascii="Times New Roman" w:hAnsi="Times New Roman" w:cs="Times New Roman"/>
          <w:sz w:val="20"/>
          <w:szCs w:val="20"/>
          <w:lang w:val="en-US"/>
        </w:rPr>
        <w:t xml:space="preserve"> </w:t>
      </w:r>
    </w:p>
    <w:p w14:paraId="4E2F6E61" w14:textId="19516E39" w:rsidR="00242992" w:rsidRPr="00C25760" w:rsidRDefault="008F099E" w:rsidP="00697804">
      <w:pPr>
        <w:spacing w:line="240" w:lineRule="auto"/>
        <w:jc w:val="both"/>
        <w:rPr>
          <w:rFonts w:ascii="Times New Roman" w:hAnsi="Times New Roman" w:cs="Times New Roman"/>
          <w:sz w:val="20"/>
          <w:szCs w:val="20"/>
          <w:lang w:val="en-US"/>
        </w:rPr>
      </w:pPr>
      <w:r w:rsidRPr="00C25760">
        <w:rPr>
          <w:rFonts w:ascii="Times New Roman" w:hAnsi="Times New Roman" w:cs="Times New Roman"/>
          <w:sz w:val="20"/>
          <w:szCs w:val="20"/>
          <w:lang w:val="en-US"/>
        </w:rPr>
        <w:t xml:space="preserve">Mendes, J. (2020). </w:t>
      </w:r>
      <w:r w:rsidR="00242992" w:rsidRPr="00C25760">
        <w:rPr>
          <w:rFonts w:ascii="Times New Roman" w:hAnsi="Times New Roman" w:cs="Times New Roman"/>
          <w:sz w:val="20"/>
          <w:szCs w:val="20"/>
          <w:lang w:val="en-US"/>
        </w:rPr>
        <w:t>The Principle of Transparency and</w:t>
      </w:r>
      <w:r w:rsidRPr="00C25760">
        <w:rPr>
          <w:rFonts w:ascii="Times New Roman" w:hAnsi="Times New Roman" w:cs="Times New Roman"/>
          <w:sz w:val="20"/>
          <w:szCs w:val="20"/>
          <w:lang w:val="en-US"/>
        </w:rPr>
        <w:t xml:space="preserve"> </w:t>
      </w:r>
      <w:r w:rsidR="00242992" w:rsidRPr="00C25760">
        <w:rPr>
          <w:rFonts w:ascii="Times New Roman" w:hAnsi="Times New Roman" w:cs="Times New Roman"/>
          <w:sz w:val="20"/>
          <w:szCs w:val="20"/>
          <w:lang w:val="en-US"/>
        </w:rPr>
        <w:t>Access to Documents in the EU:</w:t>
      </w:r>
      <w:r w:rsidRPr="00C25760">
        <w:rPr>
          <w:rFonts w:ascii="Times New Roman" w:hAnsi="Times New Roman" w:cs="Times New Roman"/>
          <w:sz w:val="20"/>
          <w:szCs w:val="20"/>
          <w:lang w:val="en-US"/>
        </w:rPr>
        <w:t xml:space="preserve"> </w:t>
      </w:r>
      <w:r w:rsidR="00242992" w:rsidRPr="00C25760">
        <w:rPr>
          <w:rFonts w:ascii="Times New Roman" w:hAnsi="Times New Roman" w:cs="Times New Roman"/>
          <w:sz w:val="20"/>
          <w:szCs w:val="20"/>
          <w:lang w:val="en-US"/>
        </w:rPr>
        <w:t>for what, for whom and of what?</w:t>
      </w:r>
      <w:r w:rsidRPr="00C25760">
        <w:rPr>
          <w:rFonts w:ascii="Times New Roman" w:hAnsi="Times New Roman" w:cs="Times New Roman"/>
          <w:sz w:val="20"/>
          <w:szCs w:val="20"/>
          <w:lang w:val="en-US"/>
        </w:rPr>
        <w:t xml:space="preserve"> University of Luxembourg Law Working Paper Series, 4. </w:t>
      </w:r>
      <w:hyperlink r:id="rId12" w:history="1">
        <w:r w:rsidR="0039486B" w:rsidRPr="00C25760">
          <w:rPr>
            <w:rStyle w:val="Hiperligao"/>
            <w:rFonts w:ascii="Times New Roman" w:hAnsi="Times New Roman" w:cs="Times New Roman"/>
            <w:sz w:val="20"/>
            <w:szCs w:val="20"/>
            <w:lang w:val="en-US"/>
          </w:rPr>
          <w:t>https://ssrn.com/abstract=3557795</w:t>
        </w:r>
      </w:hyperlink>
      <w:r w:rsidR="0039486B" w:rsidRPr="00C25760">
        <w:rPr>
          <w:rFonts w:ascii="Times New Roman" w:hAnsi="Times New Roman" w:cs="Times New Roman"/>
          <w:sz w:val="20"/>
          <w:szCs w:val="20"/>
          <w:lang w:val="en-US"/>
        </w:rPr>
        <w:t xml:space="preserve"> </w:t>
      </w:r>
    </w:p>
    <w:p w14:paraId="56FC8DBF" w14:textId="77777777" w:rsidR="00242992" w:rsidRPr="00697804" w:rsidRDefault="00242992" w:rsidP="00697804">
      <w:pPr>
        <w:spacing w:line="240" w:lineRule="auto"/>
        <w:jc w:val="both"/>
        <w:rPr>
          <w:rFonts w:ascii="Times New Roman" w:hAnsi="Times New Roman" w:cs="Times New Roman"/>
          <w:lang w:val="en-US"/>
        </w:rPr>
      </w:pPr>
    </w:p>
    <w:p w14:paraId="2E184EA2" w14:textId="11670BA4" w:rsidR="00B50CAC" w:rsidRPr="00697804" w:rsidRDefault="002A031E" w:rsidP="00697804">
      <w:pPr>
        <w:spacing w:line="360" w:lineRule="auto"/>
        <w:jc w:val="both"/>
        <w:rPr>
          <w:rFonts w:ascii="Times New Roman" w:hAnsi="Times New Roman" w:cs="Times New Roman"/>
          <w:b/>
          <w:bCs/>
        </w:rPr>
      </w:pPr>
      <w:r w:rsidRPr="00697804">
        <w:rPr>
          <w:rFonts w:ascii="Times New Roman" w:hAnsi="Times New Roman" w:cs="Times New Roman"/>
          <w:b/>
          <w:bCs/>
        </w:rPr>
        <w:t>Documentação</w:t>
      </w:r>
    </w:p>
    <w:p w14:paraId="240F077A" w14:textId="77777777" w:rsidR="00697804" w:rsidRPr="00C25760" w:rsidRDefault="00697804" w:rsidP="00697804">
      <w:pPr>
        <w:spacing w:line="240" w:lineRule="auto"/>
        <w:jc w:val="both"/>
        <w:rPr>
          <w:rFonts w:ascii="Times New Roman" w:hAnsi="Times New Roman" w:cs="Times New Roman"/>
          <w:b/>
          <w:bCs/>
        </w:rPr>
      </w:pPr>
      <w:r w:rsidRPr="00C25760">
        <w:rPr>
          <w:rFonts w:ascii="Times New Roman" w:hAnsi="Times New Roman" w:cs="Times New Roman"/>
        </w:rPr>
        <w:t>Comissão Europeia. Relatório da Comissão relativo à aplicação, em 2024, do Regulamento (CE) n.º 1049/2001 relativo ao acesso do público aos documentos do Parlamento Europeu, do Conselho e da Comissão.</w:t>
      </w:r>
      <w:r w:rsidRPr="00C25760">
        <w:rPr>
          <w:rFonts w:ascii="Times New Roman" w:hAnsi="Times New Roman" w:cs="Times New Roman"/>
          <w:b/>
          <w:bCs/>
        </w:rPr>
        <w:t xml:space="preserve"> </w:t>
      </w:r>
      <w:r w:rsidRPr="00C25760">
        <w:rPr>
          <w:rFonts w:ascii="Times New Roman" w:hAnsi="Times New Roman" w:cs="Times New Roman"/>
        </w:rPr>
        <w:t xml:space="preserve">COM/2025/239 final de 19.05.2025. </w:t>
      </w:r>
      <w:hyperlink r:id="rId13" w:history="1">
        <w:r w:rsidRPr="00C25760">
          <w:rPr>
            <w:rStyle w:val="Hiperligao"/>
            <w:rFonts w:ascii="Times New Roman" w:hAnsi="Times New Roman" w:cs="Times New Roman"/>
          </w:rPr>
          <w:t>https://eur-lex.europa.eu/legal-content/PT/TXT/?uri=CELEX%3A52025DC0239&amp;qid=1773352377014</w:t>
        </w:r>
      </w:hyperlink>
      <w:r w:rsidRPr="00C25760">
        <w:rPr>
          <w:rFonts w:ascii="Times New Roman" w:hAnsi="Times New Roman" w:cs="Times New Roman"/>
        </w:rPr>
        <w:t xml:space="preserve"> </w:t>
      </w:r>
    </w:p>
    <w:p w14:paraId="3BD42754" w14:textId="77777777" w:rsidR="00697804" w:rsidRPr="00C25760" w:rsidRDefault="00697804" w:rsidP="00697804">
      <w:pPr>
        <w:jc w:val="both"/>
        <w:rPr>
          <w:rFonts w:ascii="Times New Roman" w:hAnsi="Times New Roman" w:cs="Times New Roman"/>
          <w:lang w:val="en-US"/>
        </w:rPr>
      </w:pPr>
      <w:r w:rsidRPr="00C25760">
        <w:rPr>
          <w:rFonts w:ascii="Times New Roman" w:hAnsi="Times New Roman" w:cs="Times New Roman"/>
          <w:lang w:val="en-US"/>
        </w:rPr>
        <w:t xml:space="preserve">European Parliament (2026, march 10). Improving public access to documents in the EU. Press Releases. </w:t>
      </w:r>
      <w:hyperlink r:id="rId14" w:history="1">
        <w:r w:rsidRPr="00C25760">
          <w:rPr>
            <w:rStyle w:val="Hiperligao"/>
            <w:rFonts w:ascii="Times New Roman" w:hAnsi="Times New Roman" w:cs="Times New Roman"/>
            <w:lang w:val="en-US"/>
          </w:rPr>
          <w:t>https://www.europarl.europa.eu/news/en/press-room/20260306IPR37519/improving-public-access-to-documents-in-the-eu</w:t>
        </w:r>
      </w:hyperlink>
      <w:r w:rsidRPr="00C25760">
        <w:rPr>
          <w:rFonts w:ascii="Times New Roman" w:hAnsi="Times New Roman" w:cs="Times New Roman"/>
          <w:lang w:val="en-US"/>
        </w:rPr>
        <w:t xml:space="preserve"> </w:t>
      </w:r>
    </w:p>
    <w:p w14:paraId="1DB8110D" w14:textId="77777777" w:rsidR="00697804" w:rsidRPr="00C25760" w:rsidRDefault="00697804" w:rsidP="00697804">
      <w:pPr>
        <w:jc w:val="both"/>
        <w:rPr>
          <w:rFonts w:ascii="Times New Roman" w:hAnsi="Times New Roman" w:cs="Times New Roman"/>
          <w:lang w:val="en-US"/>
        </w:rPr>
      </w:pPr>
      <w:r w:rsidRPr="00C25760">
        <w:rPr>
          <w:rFonts w:ascii="Times New Roman" w:hAnsi="Times New Roman" w:cs="Times New Roman"/>
          <w:lang w:val="en-US"/>
        </w:rPr>
        <w:t xml:space="preserve">European Commission. (n.d.). Access to Information and Documents. EC Library Guides. </w:t>
      </w:r>
      <w:hyperlink r:id="rId15" w:history="1">
        <w:r w:rsidRPr="00C25760">
          <w:rPr>
            <w:rStyle w:val="Hiperligao"/>
            <w:rFonts w:ascii="Times New Roman" w:hAnsi="Times New Roman" w:cs="Times New Roman"/>
            <w:lang w:val="en-US"/>
          </w:rPr>
          <w:t>https://ec-europa-eu.libguides.com/EU_sources/access-to-documents</w:t>
        </w:r>
      </w:hyperlink>
      <w:r w:rsidRPr="00C25760">
        <w:rPr>
          <w:rFonts w:ascii="Times New Roman" w:hAnsi="Times New Roman" w:cs="Times New Roman"/>
          <w:lang w:val="en-US"/>
        </w:rPr>
        <w:t xml:space="preserve"> </w:t>
      </w:r>
    </w:p>
    <w:p w14:paraId="0FFACA96" w14:textId="0D8865C1" w:rsidR="00FE53E2" w:rsidRPr="00C25760" w:rsidRDefault="00981948" w:rsidP="00697804">
      <w:pPr>
        <w:jc w:val="both"/>
        <w:rPr>
          <w:rFonts w:ascii="Times New Roman" w:hAnsi="Times New Roman" w:cs="Times New Roman"/>
        </w:rPr>
      </w:pPr>
      <w:r w:rsidRPr="00C25760">
        <w:rPr>
          <w:rFonts w:ascii="Times New Roman" w:hAnsi="Times New Roman" w:cs="Times New Roman"/>
        </w:rPr>
        <w:t xml:space="preserve">Parlamento Europeu &amp; Conselho da União Europeia (2001). </w:t>
      </w:r>
      <w:r w:rsidR="00FE53E2" w:rsidRPr="00C25760">
        <w:rPr>
          <w:rFonts w:ascii="Times New Roman" w:hAnsi="Times New Roman" w:cs="Times New Roman"/>
        </w:rPr>
        <w:t xml:space="preserve">Regulamento (CE) </w:t>
      </w:r>
      <w:proofErr w:type="spellStart"/>
      <w:r w:rsidR="00FE53E2" w:rsidRPr="00C25760">
        <w:rPr>
          <w:rFonts w:ascii="Times New Roman" w:hAnsi="Times New Roman" w:cs="Times New Roman"/>
        </w:rPr>
        <w:t>n.°</w:t>
      </w:r>
      <w:proofErr w:type="spellEnd"/>
      <w:r w:rsidR="00FE53E2" w:rsidRPr="00C25760">
        <w:rPr>
          <w:rFonts w:ascii="Times New Roman" w:hAnsi="Times New Roman" w:cs="Times New Roman"/>
        </w:rPr>
        <w:t xml:space="preserve"> 1049/2001 do Parlamento Europeu e do Conselho, de 30 de </w:t>
      </w:r>
      <w:proofErr w:type="gramStart"/>
      <w:r w:rsidR="00FE53E2" w:rsidRPr="00C25760">
        <w:rPr>
          <w:rFonts w:ascii="Times New Roman" w:hAnsi="Times New Roman" w:cs="Times New Roman"/>
        </w:rPr>
        <w:t>Maio</w:t>
      </w:r>
      <w:proofErr w:type="gramEnd"/>
      <w:r w:rsidR="00FE53E2" w:rsidRPr="00C25760">
        <w:rPr>
          <w:rFonts w:ascii="Times New Roman" w:hAnsi="Times New Roman" w:cs="Times New Roman"/>
        </w:rPr>
        <w:t xml:space="preserve"> de 2001, relativo ao acesso do público aos documentos do Parlamento Europeu, do Conselho e da Comissão. J</w:t>
      </w:r>
      <w:r w:rsidRPr="00C25760">
        <w:rPr>
          <w:rFonts w:ascii="Times New Roman" w:hAnsi="Times New Roman" w:cs="Times New Roman"/>
        </w:rPr>
        <w:t>ornal Oficial da União Europeia</w:t>
      </w:r>
      <w:r w:rsidR="00FE53E2" w:rsidRPr="00C25760">
        <w:rPr>
          <w:rFonts w:ascii="Times New Roman" w:hAnsi="Times New Roman" w:cs="Times New Roman"/>
        </w:rPr>
        <w:t xml:space="preserve"> L 145 de 31.05.2001, 43-48</w:t>
      </w:r>
      <w:r w:rsidR="00FE53E2" w:rsidRPr="00C25760">
        <w:rPr>
          <w:rFonts w:ascii="Times New Roman" w:hAnsi="Times New Roman" w:cs="Times New Roman"/>
          <w:i/>
          <w:iCs/>
        </w:rPr>
        <w:t xml:space="preserve">. </w:t>
      </w:r>
      <w:hyperlink r:id="rId16" w:tooltip="Dá acesso a este documento através do respetivo URI do ELI." w:history="1">
        <w:r w:rsidR="00FE53E2" w:rsidRPr="00C25760">
          <w:rPr>
            <w:rStyle w:val="Hiperligao"/>
            <w:rFonts w:ascii="Times New Roman" w:hAnsi="Times New Roman" w:cs="Times New Roman"/>
          </w:rPr>
          <w:t>http://data.europa.eu/eli/reg/2001/1049/oj</w:t>
        </w:r>
      </w:hyperlink>
    </w:p>
    <w:p w14:paraId="3DDA0B93" w14:textId="77777777" w:rsidR="00697804" w:rsidRPr="00C25760" w:rsidRDefault="00697804" w:rsidP="00697804">
      <w:pPr>
        <w:jc w:val="both"/>
        <w:rPr>
          <w:rFonts w:ascii="Times New Roman" w:hAnsi="Times New Roman" w:cs="Times New Roman"/>
        </w:rPr>
      </w:pPr>
      <w:r w:rsidRPr="00C25760">
        <w:rPr>
          <w:rFonts w:ascii="Times New Roman" w:hAnsi="Times New Roman" w:cs="Times New Roman"/>
        </w:rPr>
        <w:t xml:space="preserve">Parlamento Europeu (2026). Resolução do Parlamento Europeu, de 10 de março de 2026, sobre o acesso do público aos documentos – relatório relativo ao período de 2022-2024 (2025/2137(INI)). </w:t>
      </w:r>
      <w:hyperlink r:id="rId17" w:history="1">
        <w:r w:rsidRPr="00C25760">
          <w:rPr>
            <w:rStyle w:val="Hiperligao"/>
            <w:rFonts w:ascii="Times New Roman" w:hAnsi="Times New Roman" w:cs="Times New Roman"/>
          </w:rPr>
          <w:t>https://www.europarl.europa.eu/doceo/document/TA-10-2026-0065_PT.html</w:t>
        </w:r>
      </w:hyperlink>
      <w:r w:rsidRPr="00C25760">
        <w:rPr>
          <w:rFonts w:ascii="Times New Roman" w:hAnsi="Times New Roman" w:cs="Times New Roman"/>
        </w:rPr>
        <w:t xml:space="preserve"> </w:t>
      </w:r>
    </w:p>
    <w:p w14:paraId="1A8DA8A3" w14:textId="77777777" w:rsidR="000F3202" w:rsidRPr="000F3202" w:rsidRDefault="000F3202" w:rsidP="002A031E">
      <w:pPr>
        <w:ind w:right="-1135"/>
        <w:jc w:val="both"/>
        <w:rPr>
          <w:rFonts w:ascii="Times New Roman" w:hAnsi="Times New Roman" w:cs="Times New Roman"/>
          <w:sz w:val="20"/>
          <w:szCs w:val="20"/>
        </w:rPr>
      </w:pPr>
    </w:p>
    <w:p w14:paraId="64F6666A" w14:textId="77777777" w:rsidR="001764B9" w:rsidRDefault="001764B9" w:rsidP="002A031E">
      <w:pPr>
        <w:ind w:right="-1135"/>
        <w:jc w:val="both"/>
        <w:rPr>
          <w:b/>
          <w:bCs/>
        </w:rPr>
      </w:pPr>
    </w:p>
    <w:p w14:paraId="03B1E6D9" w14:textId="6B0F5D83" w:rsidR="002A031E" w:rsidRPr="00C33E06" w:rsidRDefault="002A031E" w:rsidP="00C33E06">
      <w:pPr>
        <w:ind w:right="-1135"/>
        <w:jc w:val="both"/>
        <w:rPr>
          <w:b/>
          <w:bCs/>
        </w:rPr>
      </w:pPr>
      <w:r>
        <w:rPr>
          <w:b/>
          <w:bCs/>
        </w:rPr>
        <w:t>Breve nota académica d</w:t>
      </w:r>
      <w:r w:rsidR="00CA7E89">
        <w:rPr>
          <w:b/>
          <w:bCs/>
        </w:rPr>
        <w:t>os</w:t>
      </w:r>
      <w:r>
        <w:rPr>
          <w:b/>
          <w:bCs/>
        </w:rPr>
        <w:t xml:space="preserve"> autor</w:t>
      </w:r>
      <w:r w:rsidR="00CA7E89">
        <w:rPr>
          <w:b/>
          <w:bCs/>
        </w:rPr>
        <w:t>es</w:t>
      </w:r>
    </w:p>
    <w:p w14:paraId="5AF1D5E4" w14:textId="77777777" w:rsidR="002A031E" w:rsidRPr="00997EDE" w:rsidRDefault="002A031E" w:rsidP="002A031E">
      <w:pPr>
        <w:rPr>
          <w:rFonts w:ascii="Times New Roman" w:hAnsi="Times New Roman" w:cs="Times New Roman"/>
          <w:b/>
          <w:bCs/>
          <w:noProof/>
          <w:sz w:val="20"/>
          <w:szCs w:val="20"/>
          <w:u w:val="single"/>
        </w:rPr>
      </w:pPr>
      <w:r w:rsidRPr="00997EDE">
        <w:rPr>
          <w:rFonts w:ascii="Times New Roman" w:hAnsi="Times New Roman" w:cs="Times New Roman"/>
          <w:b/>
          <w:bCs/>
          <w:noProof/>
          <w:sz w:val="20"/>
          <w:szCs w:val="20"/>
          <w:u w:val="single"/>
        </w:rPr>
        <w:t>DORA RESENDE ALVES</w:t>
      </w:r>
    </w:p>
    <w:p w14:paraId="0AA77B7A" w14:textId="253478B6" w:rsidR="002A031E" w:rsidRPr="00997EDE" w:rsidRDefault="002A031E" w:rsidP="002A031E">
      <w:pPr>
        <w:spacing w:after="0" w:line="240" w:lineRule="auto"/>
        <w:jc w:val="both"/>
        <w:rPr>
          <w:sz w:val="20"/>
          <w:szCs w:val="20"/>
        </w:rPr>
      </w:pPr>
      <w:bookmarkStart w:id="0" w:name="_Hlk45608775"/>
      <w:r w:rsidRPr="00997EDE">
        <w:rPr>
          <w:sz w:val="20"/>
          <w:szCs w:val="20"/>
        </w:rPr>
        <w:t xml:space="preserve">Professora Associada do Departamento de Direito da Universidade Portucalense (UPT) desde 1993. </w:t>
      </w:r>
      <w:proofErr w:type="gramStart"/>
      <w:r w:rsidRPr="00997EDE">
        <w:rPr>
          <w:sz w:val="20"/>
          <w:szCs w:val="20"/>
        </w:rPr>
        <w:t xml:space="preserve">Doutora pela </w:t>
      </w:r>
      <w:proofErr w:type="spellStart"/>
      <w:r w:rsidRPr="00997EDE">
        <w:rPr>
          <w:sz w:val="20"/>
          <w:szCs w:val="20"/>
        </w:rPr>
        <w:t>Universidad</w:t>
      </w:r>
      <w:proofErr w:type="spellEnd"/>
      <w:r w:rsidRPr="00997EDE">
        <w:rPr>
          <w:sz w:val="20"/>
          <w:szCs w:val="20"/>
        </w:rPr>
        <w:t xml:space="preserve"> de Vigo (Espanha)</w:t>
      </w:r>
      <w:proofErr w:type="gramEnd"/>
      <w:r w:rsidRPr="00997EDE">
        <w:rPr>
          <w:sz w:val="20"/>
          <w:szCs w:val="20"/>
        </w:rPr>
        <w:t xml:space="preserve"> com tese sobre tema do direito da concorrência da União Europeia e Mestre em Direito, área de Integração Europeia, pela Faculdade de Direito da Universidade de </w:t>
      </w:r>
      <w:r w:rsidRPr="00997EDE">
        <w:rPr>
          <w:sz w:val="20"/>
          <w:szCs w:val="20"/>
        </w:rPr>
        <w:lastRenderedPageBreak/>
        <w:t>Coimbra. Autora de livros e artigos científicos. Orientadora de teses e dissertações. Revisora de revistas científicas. Investigadora como membro integrado do Instituto Jurídico Portucalense. Editora-adjunta da Revista Jurídica Portucalense.</w:t>
      </w:r>
      <w:bookmarkEnd w:id="0"/>
      <w:r w:rsidRPr="00997EDE">
        <w:rPr>
          <w:sz w:val="20"/>
          <w:szCs w:val="20"/>
        </w:rPr>
        <w:t xml:space="preserve"> </w:t>
      </w:r>
    </w:p>
    <w:p w14:paraId="56389D28" w14:textId="77777777" w:rsidR="002A031E" w:rsidRPr="00654315" w:rsidRDefault="002A031E" w:rsidP="002A031E">
      <w:pPr>
        <w:adjustRightInd w:val="0"/>
        <w:spacing w:after="0" w:line="240" w:lineRule="auto"/>
        <w:jc w:val="right"/>
        <w:rPr>
          <w:rStyle w:val="Hiperligao"/>
          <w:sz w:val="16"/>
          <w:szCs w:val="16"/>
        </w:rPr>
      </w:pPr>
      <w:r w:rsidRPr="00654315">
        <w:rPr>
          <w:sz w:val="16"/>
          <w:szCs w:val="16"/>
        </w:rPr>
        <w:t xml:space="preserve">ORCID – </w:t>
      </w:r>
      <w:r w:rsidRPr="005470BD">
        <w:rPr>
          <w:color w:val="1F497D"/>
          <w:sz w:val="16"/>
          <w:szCs w:val="16"/>
        </w:rPr>
        <w:t xml:space="preserve">0000-0003-4720-1400 </w:t>
      </w:r>
      <w:r w:rsidRPr="00654315">
        <w:rPr>
          <w:sz w:val="16"/>
          <w:szCs w:val="16"/>
        </w:rPr>
        <w:t xml:space="preserve"> </w:t>
      </w:r>
      <w:hyperlink r:id="rId18" w:tgtFrame="_blank" w:tooltip="Go to my personal page at http://orcid.org/" w:history="1">
        <w:r w:rsidRPr="00654315">
          <w:rPr>
            <w:rStyle w:val="Hiperligao"/>
            <w:rFonts w:cs="Arial"/>
            <w:sz w:val="16"/>
            <w:szCs w:val="16"/>
            <w:shd w:val="clear" w:color="auto" w:fill="FFFFFF"/>
          </w:rPr>
          <w:t>http://orcid.org/0000-0003-4720-1400</w:t>
        </w:r>
      </w:hyperlink>
    </w:p>
    <w:p w14:paraId="54F1FD51" w14:textId="77777777" w:rsidR="002A031E" w:rsidRDefault="002A031E" w:rsidP="002A031E">
      <w:pPr>
        <w:jc w:val="right"/>
        <w:rPr>
          <w:color w:val="000000"/>
          <w:sz w:val="16"/>
          <w:szCs w:val="16"/>
        </w:rPr>
      </w:pPr>
      <w:r w:rsidRPr="00654315">
        <w:rPr>
          <w:rStyle w:val="Hiperligao"/>
          <w:rFonts w:cs="Arial"/>
          <w:sz w:val="16"/>
          <w:szCs w:val="16"/>
          <w:shd w:val="clear" w:color="auto" w:fill="FFFFFF"/>
        </w:rPr>
        <w:t xml:space="preserve">Ciência Vitae - </w:t>
      </w:r>
      <w:hyperlink r:id="rId19" w:history="1">
        <w:r w:rsidRPr="00654315">
          <w:rPr>
            <w:rStyle w:val="Hiperligao"/>
            <w:sz w:val="16"/>
            <w:szCs w:val="16"/>
          </w:rPr>
          <w:t>http://www.cienciavitae.pt//CA1A-FE14-5CC1</w:t>
        </w:r>
      </w:hyperlink>
      <w:r w:rsidRPr="00654315">
        <w:rPr>
          <w:color w:val="000000"/>
          <w:sz w:val="16"/>
          <w:szCs w:val="16"/>
        </w:rPr>
        <w:t> </w:t>
      </w:r>
    </w:p>
    <w:p w14:paraId="628FFAF1" w14:textId="306521BC" w:rsidR="002A031E" w:rsidRDefault="002A031E" w:rsidP="002A031E">
      <w:pPr>
        <w:jc w:val="right"/>
        <w:rPr>
          <w:color w:val="000000"/>
          <w:sz w:val="16"/>
          <w:szCs w:val="16"/>
        </w:rPr>
      </w:pPr>
    </w:p>
    <w:p w14:paraId="489AECAE" w14:textId="2333A458" w:rsidR="002A031E" w:rsidRPr="00E06377" w:rsidRDefault="00E06377" w:rsidP="00CA7E89">
      <w:pPr>
        <w:rPr>
          <w:rFonts w:ascii="Times New Roman" w:hAnsi="Times New Roman" w:cs="Times New Roman"/>
          <w:b/>
          <w:bCs/>
          <w:noProof/>
          <w:sz w:val="20"/>
          <w:szCs w:val="20"/>
          <w:u w:val="single"/>
        </w:rPr>
      </w:pPr>
      <w:r w:rsidRPr="00E06377">
        <w:rPr>
          <w:rFonts w:ascii="Times New Roman" w:hAnsi="Times New Roman" w:cs="Times New Roman"/>
          <w:b/>
          <w:bCs/>
          <w:noProof/>
          <w:sz w:val="20"/>
          <w:szCs w:val="20"/>
          <w:u w:val="single"/>
        </w:rPr>
        <w:t>LUÍS TORREALBA</w:t>
      </w:r>
    </w:p>
    <w:p w14:paraId="160F71CE" w14:textId="42A52672" w:rsidR="00CA7E89" w:rsidRPr="00C25760" w:rsidRDefault="00653595" w:rsidP="00653595">
      <w:pPr>
        <w:jc w:val="both"/>
        <w:rPr>
          <w:sz w:val="20"/>
          <w:szCs w:val="20"/>
        </w:rPr>
      </w:pPr>
      <w:r w:rsidRPr="00C25760">
        <w:rPr>
          <w:sz w:val="20"/>
          <w:szCs w:val="20"/>
        </w:rPr>
        <w:t xml:space="preserve">Advogado. </w:t>
      </w:r>
      <w:r w:rsidR="00E06377" w:rsidRPr="00C25760">
        <w:rPr>
          <w:sz w:val="20"/>
          <w:szCs w:val="20"/>
        </w:rPr>
        <w:t>Mestrando em</w:t>
      </w:r>
      <w:r w:rsidR="002A0D63" w:rsidRPr="00C25760">
        <w:rPr>
          <w:sz w:val="20"/>
          <w:szCs w:val="20"/>
        </w:rPr>
        <w:t xml:space="preserve"> Direito Civil na Universidade Lusíada do Porto (Norte), </w:t>
      </w:r>
      <w:r w:rsidR="00E06377" w:rsidRPr="00C25760">
        <w:rPr>
          <w:sz w:val="20"/>
          <w:szCs w:val="20"/>
        </w:rPr>
        <w:t xml:space="preserve">licenciado pela Universidade Portucalense Infante D. Henrique. </w:t>
      </w:r>
      <w:r w:rsidR="002A0D63" w:rsidRPr="00C25760">
        <w:rPr>
          <w:sz w:val="20"/>
          <w:szCs w:val="20"/>
        </w:rPr>
        <w:t>Jurista na Direção Municipal de Bombeiros Sapadores e Proteção Civil da Câmara Municipal de Vila Nova de Gaia.</w:t>
      </w:r>
    </w:p>
    <w:p w14:paraId="03232187" w14:textId="05E9F722" w:rsidR="002A0D63" w:rsidRPr="00C25760" w:rsidRDefault="00C52591" w:rsidP="00C25760">
      <w:pPr>
        <w:spacing w:after="0" w:line="240" w:lineRule="auto"/>
        <w:jc w:val="right"/>
        <w:rPr>
          <w:sz w:val="20"/>
          <w:szCs w:val="20"/>
        </w:rPr>
      </w:pPr>
      <w:r w:rsidRPr="00C25760">
        <w:rPr>
          <w:sz w:val="20"/>
          <w:szCs w:val="20"/>
        </w:rPr>
        <w:t xml:space="preserve">ORCID - </w:t>
      </w:r>
      <w:hyperlink r:id="rId20" w:history="1">
        <w:r w:rsidRPr="00C25760">
          <w:rPr>
            <w:rStyle w:val="Hiperligao"/>
            <w:sz w:val="20"/>
            <w:szCs w:val="20"/>
          </w:rPr>
          <w:t>https://orcid.org/0000-0001-9196-6940</w:t>
        </w:r>
      </w:hyperlink>
      <w:r w:rsidRPr="00C25760">
        <w:rPr>
          <w:sz w:val="20"/>
          <w:szCs w:val="20"/>
        </w:rPr>
        <w:t xml:space="preserve"> </w:t>
      </w:r>
    </w:p>
    <w:p w14:paraId="39A41A00" w14:textId="32DBFE89" w:rsidR="00C52591" w:rsidRPr="00C25760" w:rsidRDefault="00C52591" w:rsidP="00C25760">
      <w:pPr>
        <w:spacing w:after="0" w:line="240" w:lineRule="auto"/>
        <w:jc w:val="right"/>
        <w:rPr>
          <w:sz w:val="20"/>
          <w:szCs w:val="20"/>
        </w:rPr>
      </w:pPr>
      <w:r w:rsidRPr="00C25760">
        <w:rPr>
          <w:sz w:val="20"/>
          <w:szCs w:val="20"/>
        </w:rPr>
        <w:t xml:space="preserve">Ciência Vitae - </w:t>
      </w:r>
      <w:hyperlink r:id="rId21" w:history="1">
        <w:r w:rsidRPr="00C25760">
          <w:rPr>
            <w:rStyle w:val="Hiperligao"/>
            <w:sz w:val="20"/>
            <w:szCs w:val="20"/>
          </w:rPr>
          <w:t>https://www.cienciavitae.pt//pt/F115-6247-2547</w:t>
        </w:r>
      </w:hyperlink>
      <w:r w:rsidRPr="00C25760">
        <w:rPr>
          <w:sz w:val="20"/>
          <w:szCs w:val="20"/>
        </w:rPr>
        <w:t xml:space="preserve"> </w:t>
      </w:r>
    </w:p>
    <w:p w14:paraId="373452E5" w14:textId="45D1D8BB" w:rsidR="002A031E" w:rsidRDefault="002A031E" w:rsidP="00A13A58">
      <w:pPr>
        <w:spacing w:line="240" w:lineRule="auto"/>
        <w:jc w:val="both"/>
        <w:rPr>
          <w:color w:val="000000"/>
          <w:sz w:val="16"/>
          <w:szCs w:val="16"/>
        </w:rPr>
      </w:pPr>
      <w:r w:rsidRPr="00654315">
        <w:rPr>
          <w:color w:val="000000"/>
          <w:sz w:val="16"/>
          <w:szCs w:val="16"/>
        </w:rPr>
        <w:t xml:space="preserve">    </w:t>
      </w:r>
    </w:p>
    <w:p w14:paraId="0CE6F13C" w14:textId="77777777" w:rsidR="00C25760" w:rsidRDefault="00C25760" w:rsidP="00A13A58">
      <w:pPr>
        <w:spacing w:line="240" w:lineRule="auto"/>
        <w:jc w:val="both"/>
        <w:rPr>
          <w:color w:val="000000"/>
          <w:sz w:val="16"/>
          <w:szCs w:val="16"/>
        </w:rPr>
      </w:pPr>
    </w:p>
    <w:p w14:paraId="1D983169" w14:textId="77777777" w:rsidR="00C25760" w:rsidRDefault="00C25760" w:rsidP="00A13A58">
      <w:pPr>
        <w:spacing w:line="240" w:lineRule="auto"/>
        <w:jc w:val="both"/>
        <w:rPr>
          <w:color w:val="000000"/>
          <w:sz w:val="16"/>
          <w:szCs w:val="16"/>
        </w:rPr>
      </w:pPr>
    </w:p>
    <w:p w14:paraId="56929AEE" w14:textId="77777777" w:rsidR="00C25760" w:rsidRDefault="00C25760" w:rsidP="00A13A58">
      <w:pPr>
        <w:spacing w:line="240" w:lineRule="auto"/>
        <w:jc w:val="both"/>
        <w:rPr>
          <w:color w:val="000000"/>
          <w:sz w:val="16"/>
          <w:szCs w:val="16"/>
        </w:rPr>
      </w:pPr>
    </w:p>
    <w:p w14:paraId="4BD225FD" w14:textId="77777777" w:rsidR="00C25760" w:rsidRPr="00A13A58" w:rsidRDefault="00C25760" w:rsidP="00A13A58">
      <w:pPr>
        <w:spacing w:line="240" w:lineRule="auto"/>
        <w:jc w:val="both"/>
        <w:rPr>
          <w:sz w:val="18"/>
          <w:szCs w:val="18"/>
        </w:rPr>
      </w:pPr>
    </w:p>
    <w:p w14:paraId="142D154B" w14:textId="27D58812" w:rsidR="00967E50" w:rsidRPr="00967E50" w:rsidRDefault="00967E50" w:rsidP="00967E50">
      <w:pPr>
        <w:pStyle w:val="NormalWeb"/>
        <w:shd w:val="clear" w:color="auto" w:fill="EFEFEF"/>
        <w:spacing w:before="0" w:after="0"/>
        <w:rPr>
          <w:rFonts w:ascii="Open Sans" w:hAnsi="Open Sans" w:cs="Open Sans"/>
          <w:color w:val="5E5E5E"/>
        </w:rPr>
      </w:pPr>
      <w:r w:rsidRPr="00967E50">
        <w:rPr>
          <w:rFonts w:ascii="Open Sans" w:hAnsi="Open Sans" w:cs="Open Sans"/>
          <w:b/>
          <w:bCs/>
          <w:color w:val="5E5E5E"/>
        </w:rPr>
        <w:t>PRAZO</w:t>
      </w:r>
      <w:r>
        <w:rPr>
          <w:rFonts w:ascii="Open Sans" w:hAnsi="Open Sans" w:cs="Open Sans"/>
          <w:b/>
          <w:bCs/>
          <w:color w:val="5E5E5E"/>
        </w:rPr>
        <w:t>S</w:t>
      </w:r>
      <w:r w:rsidRPr="00967E50">
        <w:rPr>
          <w:rFonts w:ascii="Open Sans" w:hAnsi="Open Sans" w:cs="Open Sans"/>
          <w:b/>
          <w:bCs/>
          <w:color w:val="5E5E5E"/>
        </w:rPr>
        <w:t xml:space="preserve"> </w:t>
      </w:r>
    </w:p>
    <w:p w14:paraId="2096A2CF" w14:textId="7AB725AE" w:rsidR="00967E50" w:rsidRPr="00967E50" w:rsidRDefault="00967E50" w:rsidP="00967E50">
      <w:pPr>
        <w:pStyle w:val="NormalWeb"/>
        <w:shd w:val="clear" w:color="auto" w:fill="EFEFEF"/>
        <w:spacing w:after="0"/>
        <w:rPr>
          <w:rFonts w:ascii="Open Sans" w:hAnsi="Open Sans" w:cs="Open Sans"/>
          <w:color w:val="5E5E5E"/>
        </w:rPr>
      </w:pPr>
      <w:r w:rsidRPr="00967E50">
        <w:rPr>
          <w:rFonts w:ascii="Open Sans" w:hAnsi="Open Sans" w:cs="Open Sans"/>
          <w:color w:val="5E5E5E"/>
        </w:rPr>
        <w:t>o </w:t>
      </w:r>
      <w:r w:rsidRPr="00967E50">
        <w:rPr>
          <w:rFonts w:ascii="Open Sans" w:hAnsi="Open Sans" w:cs="Open Sans"/>
          <w:b/>
          <w:bCs/>
          <w:color w:val="5E5E5E"/>
        </w:rPr>
        <w:t>resumo</w:t>
      </w:r>
      <w:r w:rsidRPr="00967E50">
        <w:rPr>
          <w:rFonts w:ascii="Open Sans" w:hAnsi="Open Sans" w:cs="Open Sans"/>
          <w:color w:val="5E5E5E"/>
        </w:rPr>
        <w:t> até </w:t>
      </w:r>
      <w:r w:rsidR="00C1137D">
        <w:rPr>
          <w:rFonts w:ascii="Open Sans" w:hAnsi="Open Sans" w:cs="Open Sans"/>
          <w:b/>
          <w:bCs/>
          <w:color w:val="5E5E5E"/>
          <w:highlight w:val="yellow"/>
        </w:rPr>
        <w:t>30</w:t>
      </w:r>
      <w:r w:rsidRPr="00967E50">
        <w:rPr>
          <w:rFonts w:ascii="Open Sans" w:hAnsi="Open Sans" w:cs="Open Sans"/>
          <w:b/>
          <w:bCs/>
          <w:color w:val="5E5E5E"/>
          <w:highlight w:val="yellow"/>
        </w:rPr>
        <w:t>.03.2026</w:t>
      </w:r>
      <w:r w:rsidRPr="00967E50">
        <w:rPr>
          <w:rFonts w:ascii="Open Sans" w:hAnsi="Open Sans" w:cs="Open Sans"/>
          <w:b/>
          <w:bCs/>
          <w:color w:val="5E5E5E"/>
        </w:rPr>
        <w:t> </w:t>
      </w:r>
      <w:r w:rsidRPr="00967E50">
        <w:rPr>
          <w:rFonts w:ascii="Open Sans" w:hAnsi="Open Sans" w:cs="Open Sans"/>
          <w:color w:val="5E5E5E"/>
        </w:rPr>
        <w:t>ao e-mail: </w:t>
      </w:r>
      <w:hyperlink r:id="rId22" w:history="1">
        <w:r w:rsidRPr="00967E50">
          <w:rPr>
            <w:rStyle w:val="Hiperligao"/>
            <w:rFonts w:ascii="Open Sans" w:hAnsi="Open Sans" w:cs="Open Sans"/>
          </w:rPr>
          <w:t>eventos@iberojur.com </w:t>
        </w:r>
      </w:hyperlink>
    </w:p>
    <w:p w14:paraId="4DF09A64" w14:textId="4515AAD8" w:rsidR="00967E50" w:rsidRPr="00967E50" w:rsidRDefault="00967E50" w:rsidP="00967E50">
      <w:pPr>
        <w:pStyle w:val="NormalWeb"/>
        <w:shd w:val="clear" w:color="auto" w:fill="EFEFEF"/>
        <w:spacing w:after="0"/>
        <w:rPr>
          <w:rFonts w:ascii="Open Sans" w:hAnsi="Open Sans" w:cs="Open Sans"/>
          <w:color w:val="5E5E5E"/>
        </w:rPr>
      </w:pPr>
      <w:r w:rsidRPr="00967E50">
        <w:rPr>
          <w:rFonts w:ascii="Open Sans" w:hAnsi="Open Sans" w:cs="Open Sans"/>
          <w:color w:val="5E5E5E"/>
        </w:rPr>
        <w:t>A </w:t>
      </w:r>
      <w:r w:rsidRPr="00967E50">
        <w:rPr>
          <w:rFonts w:ascii="Open Sans" w:hAnsi="Open Sans" w:cs="Open Sans"/>
          <w:b/>
          <w:bCs/>
          <w:color w:val="5E5E5E"/>
        </w:rPr>
        <w:t>lista</w:t>
      </w:r>
      <w:r w:rsidRPr="00967E50">
        <w:rPr>
          <w:rFonts w:ascii="Open Sans" w:hAnsi="Open Sans" w:cs="Open Sans"/>
          <w:color w:val="5E5E5E"/>
        </w:rPr>
        <w:t> de aprovados será publicada no dia</w:t>
      </w:r>
      <w:r w:rsidRPr="00967E50">
        <w:rPr>
          <w:rFonts w:ascii="Open Sans" w:hAnsi="Open Sans" w:cs="Open Sans"/>
          <w:b/>
          <w:bCs/>
          <w:color w:val="5E5E5E"/>
        </w:rPr>
        <w:t> </w:t>
      </w:r>
      <w:r w:rsidR="00C1137D">
        <w:rPr>
          <w:rFonts w:ascii="Open Sans" w:hAnsi="Open Sans" w:cs="Open Sans"/>
          <w:b/>
          <w:bCs/>
          <w:color w:val="5E5E5E"/>
        </w:rPr>
        <w:t>02</w:t>
      </w:r>
      <w:r w:rsidRPr="00967E50">
        <w:rPr>
          <w:rFonts w:ascii="Open Sans" w:hAnsi="Open Sans" w:cs="Open Sans"/>
          <w:b/>
          <w:bCs/>
          <w:color w:val="5E5E5E"/>
        </w:rPr>
        <w:t>.0</w:t>
      </w:r>
      <w:r w:rsidR="00C1137D">
        <w:rPr>
          <w:rFonts w:ascii="Open Sans" w:hAnsi="Open Sans" w:cs="Open Sans"/>
          <w:b/>
          <w:bCs/>
          <w:color w:val="5E5E5E"/>
        </w:rPr>
        <w:t>4</w:t>
      </w:r>
      <w:r w:rsidRPr="00967E50">
        <w:rPr>
          <w:rFonts w:ascii="Open Sans" w:hAnsi="Open Sans" w:cs="Open Sans"/>
          <w:b/>
          <w:bCs/>
          <w:color w:val="5E5E5E"/>
        </w:rPr>
        <w:t>.2026</w:t>
      </w:r>
    </w:p>
    <w:p w14:paraId="52690A72" w14:textId="1CC4C853" w:rsidR="00967E50" w:rsidRPr="00967E50" w:rsidRDefault="00967E50" w:rsidP="00967E50">
      <w:pPr>
        <w:pStyle w:val="NormalWeb"/>
        <w:shd w:val="clear" w:color="auto" w:fill="EFEFEF"/>
        <w:spacing w:after="0"/>
        <w:rPr>
          <w:rFonts w:ascii="Open Sans" w:hAnsi="Open Sans" w:cs="Open Sans"/>
          <w:color w:val="5E5E5E"/>
        </w:rPr>
      </w:pPr>
      <w:r w:rsidRPr="00967E50">
        <w:rPr>
          <w:rFonts w:ascii="Open Sans" w:hAnsi="Open Sans" w:cs="Open Sans"/>
          <w:color w:val="5E5E5E"/>
        </w:rPr>
        <w:t>Data do evento:</w:t>
      </w:r>
      <w:r w:rsidRPr="00967E50">
        <w:rPr>
          <w:rFonts w:ascii="Open Sans" w:hAnsi="Open Sans" w:cs="Open Sans"/>
          <w:b/>
          <w:bCs/>
          <w:color w:val="5E5E5E"/>
        </w:rPr>
        <w:t> </w:t>
      </w:r>
      <w:r w:rsidR="00C1137D">
        <w:rPr>
          <w:rFonts w:ascii="Open Sans" w:hAnsi="Open Sans" w:cs="Open Sans"/>
          <w:b/>
          <w:bCs/>
          <w:color w:val="5E5E5E"/>
          <w:highlight w:val="yellow"/>
        </w:rPr>
        <w:t>1</w:t>
      </w:r>
      <w:r w:rsidRPr="00967E50">
        <w:rPr>
          <w:rFonts w:ascii="Open Sans" w:hAnsi="Open Sans" w:cs="Open Sans"/>
          <w:b/>
          <w:bCs/>
          <w:color w:val="5E5E5E"/>
          <w:highlight w:val="yellow"/>
        </w:rPr>
        <w:t xml:space="preserve">7 e </w:t>
      </w:r>
      <w:r w:rsidR="00C1137D">
        <w:rPr>
          <w:rFonts w:ascii="Open Sans" w:hAnsi="Open Sans" w:cs="Open Sans"/>
          <w:b/>
          <w:bCs/>
          <w:color w:val="5E5E5E"/>
          <w:highlight w:val="yellow"/>
        </w:rPr>
        <w:t>1</w:t>
      </w:r>
      <w:r w:rsidRPr="00967E50">
        <w:rPr>
          <w:rFonts w:ascii="Open Sans" w:hAnsi="Open Sans" w:cs="Open Sans"/>
          <w:b/>
          <w:bCs/>
          <w:color w:val="5E5E5E"/>
          <w:highlight w:val="yellow"/>
        </w:rPr>
        <w:t xml:space="preserve">8 de </w:t>
      </w:r>
      <w:r w:rsidR="00C1137D">
        <w:rPr>
          <w:rFonts w:ascii="Open Sans" w:hAnsi="Open Sans" w:cs="Open Sans"/>
          <w:b/>
          <w:bCs/>
          <w:color w:val="5E5E5E"/>
          <w:highlight w:val="yellow"/>
        </w:rPr>
        <w:t>abril</w:t>
      </w:r>
      <w:r w:rsidRPr="00967E50">
        <w:rPr>
          <w:rFonts w:ascii="Open Sans" w:hAnsi="Open Sans" w:cs="Open Sans"/>
          <w:b/>
          <w:bCs/>
          <w:color w:val="5E5E5E"/>
          <w:highlight w:val="yellow"/>
        </w:rPr>
        <w:t xml:space="preserve"> de 2026</w:t>
      </w:r>
      <w:r w:rsidRPr="00967E50">
        <w:rPr>
          <w:rFonts w:ascii="Open Sans" w:hAnsi="Open Sans" w:cs="Open Sans"/>
          <w:b/>
          <w:bCs/>
          <w:color w:val="5E5E5E"/>
        </w:rPr>
        <w:t xml:space="preserve"> </w:t>
      </w:r>
      <w:r w:rsidRPr="00DB598A">
        <w:rPr>
          <w:rFonts w:ascii="Open Sans" w:hAnsi="Open Sans" w:cs="Open Sans"/>
          <w:color w:val="5E5E5E"/>
        </w:rPr>
        <w:t>(presencial e online)</w:t>
      </w:r>
    </w:p>
    <w:p w14:paraId="1B964FF2" w14:textId="1A6EC0BB" w:rsidR="00967E50" w:rsidRPr="00967E50" w:rsidRDefault="00967E50" w:rsidP="00967E50">
      <w:pPr>
        <w:pStyle w:val="NormalWeb"/>
        <w:shd w:val="clear" w:color="auto" w:fill="EFEFEF"/>
        <w:spacing w:after="0"/>
        <w:rPr>
          <w:rFonts w:ascii="Open Sans" w:hAnsi="Open Sans" w:cs="Open Sans"/>
          <w:color w:val="5E5E5E"/>
        </w:rPr>
      </w:pPr>
      <w:r w:rsidRPr="00967E50">
        <w:rPr>
          <w:rFonts w:ascii="Open Sans" w:hAnsi="Open Sans" w:cs="Open Sans"/>
          <w:b/>
          <w:bCs/>
          <w:color w:val="5E5E5E"/>
        </w:rPr>
        <w:t>TAXA DE INSCRIÇÃO DE AUTORES: </w:t>
      </w:r>
      <w:r w:rsidRPr="00967E50">
        <w:rPr>
          <w:rFonts w:ascii="Open Sans" w:hAnsi="Open Sans" w:cs="Open Sans"/>
          <w:color w:val="5E5E5E"/>
        </w:rPr>
        <w:t> </w:t>
      </w:r>
      <w:r w:rsidRPr="00967E50">
        <w:rPr>
          <w:rFonts w:ascii="Open Sans" w:hAnsi="Open Sans" w:cs="Open Sans"/>
          <w:b/>
          <w:bCs/>
          <w:color w:val="5E5E5E"/>
        </w:rPr>
        <w:t xml:space="preserve">75 </w:t>
      </w:r>
      <w:proofErr w:type="gramStart"/>
      <w:r w:rsidRPr="00967E50">
        <w:rPr>
          <w:rFonts w:ascii="Open Sans" w:hAnsi="Open Sans" w:cs="Open Sans"/>
          <w:b/>
          <w:bCs/>
          <w:color w:val="5E5E5E"/>
        </w:rPr>
        <w:t xml:space="preserve">euros </w:t>
      </w:r>
      <w:r w:rsidRPr="00967E50">
        <w:rPr>
          <w:rFonts w:ascii="Open Sans" w:hAnsi="Open Sans" w:cs="Open Sans"/>
          <w:color w:val="5E5E5E"/>
        </w:rPr>
        <w:t>,</w:t>
      </w:r>
      <w:proofErr w:type="gramEnd"/>
      <w:r w:rsidRPr="00967E50">
        <w:rPr>
          <w:rFonts w:ascii="Open Sans" w:hAnsi="Open Sans" w:cs="Open Sans"/>
          <w:color w:val="5E5E5E"/>
        </w:rPr>
        <w:t xml:space="preserve"> o </w:t>
      </w:r>
      <w:r w:rsidRPr="00967E50">
        <w:rPr>
          <w:rFonts w:ascii="Open Sans" w:hAnsi="Open Sans" w:cs="Open Sans"/>
          <w:b/>
          <w:bCs/>
          <w:color w:val="5E5E5E"/>
        </w:rPr>
        <w:t>pagamento individual por autor</w:t>
      </w:r>
      <w:r w:rsidRPr="00967E50">
        <w:rPr>
          <w:rFonts w:ascii="Open Sans" w:hAnsi="Open Sans" w:cs="Open Sans"/>
          <w:color w:val="5E5E5E"/>
        </w:rPr>
        <w:t xml:space="preserve"> deverá ser feito até o dia </w:t>
      </w:r>
      <w:r w:rsidR="00C1137D">
        <w:rPr>
          <w:rFonts w:ascii="Open Sans" w:hAnsi="Open Sans" w:cs="Open Sans"/>
          <w:color w:val="5E5E5E"/>
        </w:rPr>
        <w:t>0</w:t>
      </w:r>
      <w:r w:rsidRPr="00967E50">
        <w:rPr>
          <w:rFonts w:ascii="Open Sans" w:hAnsi="Open Sans" w:cs="Open Sans"/>
          <w:color w:val="5E5E5E"/>
        </w:rPr>
        <w:t>7.0</w:t>
      </w:r>
      <w:r w:rsidR="00C1137D">
        <w:rPr>
          <w:rFonts w:ascii="Open Sans" w:hAnsi="Open Sans" w:cs="Open Sans"/>
          <w:color w:val="5E5E5E"/>
        </w:rPr>
        <w:t>4</w:t>
      </w:r>
      <w:r w:rsidRPr="00967E50">
        <w:rPr>
          <w:rFonts w:ascii="Open Sans" w:hAnsi="Open Sans" w:cs="Open Sans"/>
          <w:color w:val="5E5E5E"/>
        </w:rPr>
        <w:t>.2026  no site </w:t>
      </w:r>
      <w:hyperlink r:id="rId23" w:history="1">
        <w:r w:rsidRPr="00967E50">
          <w:rPr>
            <w:rStyle w:val="Hiperligao"/>
            <w:rFonts w:ascii="Open Sans" w:hAnsi="Open Sans" w:cs="Open Sans"/>
          </w:rPr>
          <w:t>www.iberojur.com</w:t>
        </w:r>
      </w:hyperlink>
    </w:p>
    <w:p w14:paraId="7085B687" w14:textId="149839D9" w:rsidR="00967E50" w:rsidRPr="00967E50" w:rsidRDefault="00967E50" w:rsidP="00967E50">
      <w:pPr>
        <w:pStyle w:val="NormalWeb"/>
        <w:shd w:val="clear" w:color="auto" w:fill="EFEFEF"/>
        <w:spacing w:after="0"/>
        <w:rPr>
          <w:rFonts w:ascii="Open Sans" w:hAnsi="Open Sans" w:cs="Open Sans"/>
          <w:color w:val="5E5E5E"/>
        </w:rPr>
      </w:pPr>
      <w:r w:rsidRPr="00967E50">
        <w:rPr>
          <w:rFonts w:ascii="Open Sans" w:hAnsi="Open Sans" w:cs="Open Sans"/>
          <w:color w:val="5E5E5E"/>
        </w:rPr>
        <w:t>A versão final do texto deve ser enviada até o dia </w:t>
      </w:r>
      <w:r w:rsidR="00C1137D">
        <w:rPr>
          <w:rFonts w:ascii="Open Sans" w:hAnsi="Open Sans" w:cs="Open Sans"/>
          <w:b/>
          <w:bCs/>
          <w:color w:val="5E5E5E"/>
          <w:highlight w:val="yellow"/>
        </w:rPr>
        <w:t>1</w:t>
      </w:r>
      <w:r w:rsidRPr="00967E50">
        <w:rPr>
          <w:rFonts w:ascii="Open Sans" w:hAnsi="Open Sans" w:cs="Open Sans"/>
          <w:b/>
          <w:bCs/>
          <w:color w:val="5E5E5E"/>
          <w:highlight w:val="yellow"/>
        </w:rPr>
        <w:t>8.0</w:t>
      </w:r>
      <w:r w:rsidR="00C1137D">
        <w:rPr>
          <w:rFonts w:ascii="Open Sans" w:hAnsi="Open Sans" w:cs="Open Sans"/>
          <w:b/>
          <w:bCs/>
          <w:color w:val="5E5E5E"/>
          <w:highlight w:val="yellow"/>
        </w:rPr>
        <w:t>5</w:t>
      </w:r>
      <w:r w:rsidRPr="00967E50">
        <w:rPr>
          <w:rFonts w:ascii="Open Sans" w:hAnsi="Open Sans" w:cs="Open Sans"/>
          <w:b/>
          <w:bCs/>
          <w:color w:val="5E5E5E"/>
          <w:highlight w:val="yellow"/>
        </w:rPr>
        <w:t>.</w:t>
      </w:r>
      <w:r w:rsidRPr="00967E50">
        <w:rPr>
          <w:rFonts w:ascii="Open Sans" w:hAnsi="Open Sans" w:cs="Open Sans"/>
          <w:b/>
          <w:bCs/>
          <w:color w:val="5E5E5E"/>
        </w:rPr>
        <w:t>2026. </w:t>
      </w:r>
    </w:p>
    <w:sectPr w:rsidR="00967E50" w:rsidRPr="00967E5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D61AC"/>
    <w:multiLevelType w:val="multilevel"/>
    <w:tmpl w:val="797E705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E234CD5"/>
    <w:multiLevelType w:val="multilevel"/>
    <w:tmpl w:val="0C4E48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056534C"/>
    <w:multiLevelType w:val="multilevel"/>
    <w:tmpl w:val="8C40E6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C17"/>
    <w:rsid w:val="00004D20"/>
    <w:rsid w:val="000203E6"/>
    <w:rsid w:val="00026601"/>
    <w:rsid w:val="00064088"/>
    <w:rsid w:val="00064382"/>
    <w:rsid w:val="00074E91"/>
    <w:rsid w:val="000836D9"/>
    <w:rsid w:val="000A655D"/>
    <w:rsid w:val="000F3202"/>
    <w:rsid w:val="001074DC"/>
    <w:rsid w:val="00125B12"/>
    <w:rsid w:val="001443E5"/>
    <w:rsid w:val="00160B76"/>
    <w:rsid w:val="001764B9"/>
    <w:rsid w:val="001C17F0"/>
    <w:rsid w:val="001E1EA4"/>
    <w:rsid w:val="001F6412"/>
    <w:rsid w:val="001F6A53"/>
    <w:rsid w:val="00206805"/>
    <w:rsid w:val="00242992"/>
    <w:rsid w:val="00252DF7"/>
    <w:rsid w:val="0026124C"/>
    <w:rsid w:val="002822D3"/>
    <w:rsid w:val="0028376C"/>
    <w:rsid w:val="00286BFC"/>
    <w:rsid w:val="002A031E"/>
    <w:rsid w:val="002A0D63"/>
    <w:rsid w:val="002D5486"/>
    <w:rsid w:val="00303F91"/>
    <w:rsid w:val="003160D0"/>
    <w:rsid w:val="00340666"/>
    <w:rsid w:val="00384F4F"/>
    <w:rsid w:val="0039486B"/>
    <w:rsid w:val="003C0621"/>
    <w:rsid w:val="003D48F3"/>
    <w:rsid w:val="00411946"/>
    <w:rsid w:val="0041746B"/>
    <w:rsid w:val="004201E6"/>
    <w:rsid w:val="00432AB2"/>
    <w:rsid w:val="00434A8E"/>
    <w:rsid w:val="00441DBF"/>
    <w:rsid w:val="00455618"/>
    <w:rsid w:val="00494B5D"/>
    <w:rsid w:val="004A42CB"/>
    <w:rsid w:val="004B25AC"/>
    <w:rsid w:val="004B4093"/>
    <w:rsid w:val="004B4A59"/>
    <w:rsid w:val="004D3510"/>
    <w:rsid w:val="004F0E36"/>
    <w:rsid w:val="00507D15"/>
    <w:rsid w:val="00516795"/>
    <w:rsid w:val="0052452A"/>
    <w:rsid w:val="00527C3D"/>
    <w:rsid w:val="0054201A"/>
    <w:rsid w:val="005470BD"/>
    <w:rsid w:val="00562AD1"/>
    <w:rsid w:val="00566B29"/>
    <w:rsid w:val="00570E7B"/>
    <w:rsid w:val="005C1A3E"/>
    <w:rsid w:val="005D5B08"/>
    <w:rsid w:val="005E7F1C"/>
    <w:rsid w:val="005F30BF"/>
    <w:rsid w:val="006227D8"/>
    <w:rsid w:val="0063715B"/>
    <w:rsid w:val="00653595"/>
    <w:rsid w:val="006564A9"/>
    <w:rsid w:val="00661A4F"/>
    <w:rsid w:val="00664A0C"/>
    <w:rsid w:val="00697804"/>
    <w:rsid w:val="006B2489"/>
    <w:rsid w:val="006B474A"/>
    <w:rsid w:val="006D08C9"/>
    <w:rsid w:val="006D395A"/>
    <w:rsid w:val="006E18E1"/>
    <w:rsid w:val="006E3D28"/>
    <w:rsid w:val="00717F91"/>
    <w:rsid w:val="0072345F"/>
    <w:rsid w:val="007316EF"/>
    <w:rsid w:val="00764D0E"/>
    <w:rsid w:val="00787D82"/>
    <w:rsid w:val="007B7F80"/>
    <w:rsid w:val="007E478F"/>
    <w:rsid w:val="007E6D8D"/>
    <w:rsid w:val="0080052C"/>
    <w:rsid w:val="008132C3"/>
    <w:rsid w:val="00824F98"/>
    <w:rsid w:val="0084143D"/>
    <w:rsid w:val="0084462A"/>
    <w:rsid w:val="00851613"/>
    <w:rsid w:val="00861035"/>
    <w:rsid w:val="00865CE9"/>
    <w:rsid w:val="0087344F"/>
    <w:rsid w:val="008A17CD"/>
    <w:rsid w:val="008A6CE8"/>
    <w:rsid w:val="008C32A9"/>
    <w:rsid w:val="008F099E"/>
    <w:rsid w:val="008F11BF"/>
    <w:rsid w:val="008F7BDE"/>
    <w:rsid w:val="00914A3E"/>
    <w:rsid w:val="0092058D"/>
    <w:rsid w:val="00967E50"/>
    <w:rsid w:val="00974B6C"/>
    <w:rsid w:val="00981948"/>
    <w:rsid w:val="0099297F"/>
    <w:rsid w:val="00995AA2"/>
    <w:rsid w:val="0099791B"/>
    <w:rsid w:val="009A11D4"/>
    <w:rsid w:val="009A4E67"/>
    <w:rsid w:val="009B5A7A"/>
    <w:rsid w:val="009B6DC8"/>
    <w:rsid w:val="009C1FC3"/>
    <w:rsid w:val="009C6DE6"/>
    <w:rsid w:val="009E3E81"/>
    <w:rsid w:val="009E677A"/>
    <w:rsid w:val="009F649D"/>
    <w:rsid w:val="00A01484"/>
    <w:rsid w:val="00A13A58"/>
    <w:rsid w:val="00A22ADD"/>
    <w:rsid w:val="00A71353"/>
    <w:rsid w:val="00A82D3A"/>
    <w:rsid w:val="00AC2ACE"/>
    <w:rsid w:val="00AE1A4E"/>
    <w:rsid w:val="00AE5462"/>
    <w:rsid w:val="00AF1988"/>
    <w:rsid w:val="00B0778E"/>
    <w:rsid w:val="00B133CA"/>
    <w:rsid w:val="00B13537"/>
    <w:rsid w:val="00B14F78"/>
    <w:rsid w:val="00B20BF7"/>
    <w:rsid w:val="00B50CAC"/>
    <w:rsid w:val="00B56A25"/>
    <w:rsid w:val="00B925A2"/>
    <w:rsid w:val="00BA0A5A"/>
    <w:rsid w:val="00BA4170"/>
    <w:rsid w:val="00BB396C"/>
    <w:rsid w:val="00BF67EC"/>
    <w:rsid w:val="00C02E27"/>
    <w:rsid w:val="00C04309"/>
    <w:rsid w:val="00C1137D"/>
    <w:rsid w:val="00C178E4"/>
    <w:rsid w:val="00C20F8D"/>
    <w:rsid w:val="00C25760"/>
    <w:rsid w:val="00C33E06"/>
    <w:rsid w:val="00C52591"/>
    <w:rsid w:val="00C5384E"/>
    <w:rsid w:val="00C61FB4"/>
    <w:rsid w:val="00C71E6A"/>
    <w:rsid w:val="00C722E8"/>
    <w:rsid w:val="00C7263F"/>
    <w:rsid w:val="00C732CF"/>
    <w:rsid w:val="00C852DE"/>
    <w:rsid w:val="00C860F5"/>
    <w:rsid w:val="00CA0968"/>
    <w:rsid w:val="00CA6BB4"/>
    <w:rsid w:val="00CA7E89"/>
    <w:rsid w:val="00CB4DE2"/>
    <w:rsid w:val="00CC5294"/>
    <w:rsid w:val="00CF02C7"/>
    <w:rsid w:val="00D063F5"/>
    <w:rsid w:val="00D13EF2"/>
    <w:rsid w:val="00D16956"/>
    <w:rsid w:val="00D43508"/>
    <w:rsid w:val="00D60F63"/>
    <w:rsid w:val="00D80DBE"/>
    <w:rsid w:val="00D80DCA"/>
    <w:rsid w:val="00D8574E"/>
    <w:rsid w:val="00D96B91"/>
    <w:rsid w:val="00DB598A"/>
    <w:rsid w:val="00DC72EC"/>
    <w:rsid w:val="00DC7308"/>
    <w:rsid w:val="00DD709A"/>
    <w:rsid w:val="00DF0C96"/>
    <w:rsid w:val="00E06377"/>
    <w:rsid w:val="00E17283"/>
    <w:rsid w:val="00E426A8"/>
    <w:rsid w:val="00E55419"/>
    <w:rsid w:val="00E66D78"/>
    <w:rsid w:val="00E75C17"/>
    <w:rsid w:val="00E81B18"/>
    <w:rsid w:val="00E95018"/>
    <w:rsid w:val="00E965D3"/>
    <w:rsid w:val="00EA225A"/>
    <w:rsid w:val="00EB38EE"/>
    <w:rsid w:val="00ED0A4F"/>
    <w:rsid w:val="00ED3C41"/>
    <w:rsid w:val="00EE4CF5"/>
    <w:rsid w:val="00EE5051"/>
    <w:rsid w:val="00EF251A"/>
    <w:rsid w:val="00F04A1D"/>
    <w:rsid w:val="00F146D3"/>
    <w:rsid w:val="00F2775E"/>
    <w:rsid w:val="00F30361"/>
    <w:rsid w:val="00F354E6"/>
    <w:rsid w:val="00F6328E"/>
    <w:rsid w:val="00F84DEB"/>
    <w:rsid w:val="00FE53E2"/>
    <w:rsid w:val="00FE59D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0CD1D"/>
  <w15:chartTrackingRefBased/>
  <w15:docId w15:val="{0D8FEFE2-E831-4526-92C4-CEC1F146E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E75C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ter"/>
    <w:uiPriority w:val="9"/>
    <w:semiHidden/>
    <w:unhideWhenUsed/>
    <w:qFormat/>
    <w:rsid w:val="00E75C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ter"/>
    <w:uiPriority w:val="9"/>
    <w:semiHidden/>
    <w:unhideWhenUsed/>
    <w:qFormat/>
    <w:rsid w:val="00E75C1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ter"/>
    <w:uiPriority w:val="9"/>
    <w:semiHidden/>
    <w:unhideWhenUsed/>
    <w:qFormat/>
    <w:rsid w:val="00E75C1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ter"/>
    <w:uiPriority w:val="9"/>
    <w:semiHidden/>
    <w:unhideWhenUsed/>
    <w:qFormat/>
    <w:rsid w:val="00E75C1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ter"/>
    <w:uiPriority w:val="9"/>
    <w:semiHidden/>
    <w:unhideWhenUsed/>
    <w:qFormat/>
    <w:rsid w:val="00E75C1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ter"/>
    <w:uiPriority w:val="9"/>
    <w:semiHidden/>
    <w:unhideWhenUsed/>
    <w:qFormat/>
    <w:rsid w:val="00E75C1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ter"/>
    <w:uiPriority w:val="9"/>
    <w:semiHidden/>
    <w:unhideWhenUsed/>
    <w:qFormat/>
    <w:rsid w:val="00E75C1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ter"/>
    <w:uiPriority w:val="9"/>
    <w:semiHidden/>
    <w:unhideWhenUsed/>
    <w:qFormat/>
    <w:rsid w:val="00E75C17"/>
    <w:pPr>
      <w:keepNext/>
      <w:keepLines/>
      <w:spacing w:after="0"/>
      <w:outlineLvl w:val="8"/>
    </w:pPr>
    <w:rPr>
      <w:rFonts w:eastAsiaTheme="majorEastAsia" w:cstheme="majorBidi"/>
      <w:color w:val="272727" w:themeColor="text1" w:themeTint="D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E75C17"/>
    <w:rPr>
      <w:rFonts w:asciiTheme="majorHAnsi" w:eastAsiaTheme="majorEastAsia" w:hAnsiTheme="majorHAnsi" w:cstheme="majorBidi"/>
      <w:color w:val="0F4761" w:themeColor="accent1" w:themeShade="BF"/>
      <w:sz w:val="40"/>
      <w:szCs w:val="40"/>
    </w:rPr>
  </w:style>
  <w:style w:type="character" w:customStyle="1" w:styleId="Ttulo2Carter">
    <w:name w:val="Título 2 Caráter"/>
    <w:basedOn w:val="Tipodeletrapredefinidodopargrafo"/>
    <w:link w:val="Ttulo2"/>
    <w:uiPriority w:val="9"/>
    <w:semiHidden/>
    <w:rsid w:val="00E75C17"/>
    <w:rPr>
      <w:rFonts w:asciiTheme="majorHAnsi" w:eastAsiaTheme="majorEastAsia" w:hAnsiTheme="majorHAnsi" w:cstheme="majorBidi"/>
      <w:color w:val="0F4761" w:themeColor="accent1" w:themeShade="BF"/>
      <w:sz w:val="32"/>
      <w:szCs w:val="32"/>
    </w:rPr>
  </w:style>
  <w:style w:type="character" w:customStyle="1" w:styleId="Ttulo3Carter">
    <w:name w:val="Título 3 Caráter"/>
    <w:basedOn w:val="Tipodeletrapredefinidodopargrafo"/>
    <w:link w:val="Ttulo3"/>
    <w:uiPriority w:val="9"/>
    <w:semiHidden/>
    <w:rsid w:val="00E75C17"/>
    <w:rPr>
      <w:rFonts w:eastAsiaTheme="majorEastAsia" w:cstheme="majorBidi"/>
      <w:color w:val="0F4761" w:themeColor="accent1" w:themeShade="BF"/>
      <w:sz w:val="28"/>
      <w:szCs w:val="28"/>
    </w:rPr>
  </w:style>
  <w:style w:type="character" w:customStyle="1" w:styleId="Ttulo4Carter">
    <w:name w:val="Título 4 Caráter"/>
    <w:basedOn w:val="Tipodeletrapredefinidodopargrafo"/>
    <w:link w:val="Ttulo4"/>
    <w:uiPriority w:val="9"/>
    <w:semiHidden/>
    <w:rsid w:val="00E75C17"/>
    <w:rPr>
      <w:rFonts w:eastAsiaTheme="majorEastAsia" w:cstheme="majorBidi"/>
      <w:i/>
      <w:iCs/>
      <w:color w:val="0F4761" w:themeColor="accent1" w:themeShade="BF"/>
    </w:rPr>
  </w:style>
  <w:style w:type="character" w:customStyle="1" w:styleId="Ttulo5Carter">
    <w:name w:val="Título 5 Caráter"/>
    <w:basedOn w:val="Tipodeletrapredefinidodopargrafo"/>
    <w:link w:val="Ttulo5"/>
    <w:uiPriority w:val="9"/>
    <w:semiHidden/>
    <w:rsid w:val="00E75C17"/>
    <w:rPr>
      <w:rFonts w:eastAsiaTheme="majorEastAsia" w:cstheme="majorBidi"/>
      <w:color w:val="0F4761" w:themeColor="accent1" w:themeShade="BF"/>
    </w:rPr>
  </w:style>
  <w:style w:type="character" w:customStyle="1" w:styleId="Ttulo6Carter">
    <w:name w:val="Título 6 Caráter"/>
    <w:basedOn w:val="Tipodeletrapredefinidodopargrafo"/>
    <w:link w:val="Ttulo6"/>
    <w:uiPriority w:val="9"/>
    <w:semiHidden/>
    <w:rsid w:val="00E75C17"/>
    <w:rPr>
      <w:rFonts w:eastAsiaTheme="majorEastAsia" w:cstheme="majorBidi"/>
      <w:i/>
      <w:iCs/>
      <w:color w:val="595959" w:themeColor="text1" w:themeTint="A6"/>
    </w:rPr>
  </w:style>
  <w:style w:type="character" w:customStyle="1" w:styleId="Ttulo7Carter">
    <w:name w:val="Título 7 Caráter"/>
    <w:basedOn w:val="Tipodeletrapredefinidodopargrafo"/>
    <w:link w:val="Ttulo7"/>
    <w:uiPriority w:val="9"/>
    <w:semiHidden/>
    <w:rsid w:val="00E75C17"/>
    <w:rPr>
      <w:rFonts w:eastAsiaTheme="majorEastAsia" w:cstheme="majorBidi"/>
      <w:color w:val="595959" w:themeColor="text1" w:themeTint="A6"/>
    </w:rPr>
  </w:style>
  <w:style w:type="character" w:customStyle="1" w:styleId="Ttulo8Carter">
    <w:name w:val="Título 8 Caráter"/>
    <w:basedOn w:val="Tipodeletrapredefinidodopargrafo"/>
    <w:link w:val="Ttulo8"/>
    <w:uiPriority w:val="9"/>
    <w:semiHidden/>
    <w:rsid w:val="00E75C17"/>
    <w:rPr>
      <w:rFonts w:eastAsiaTheme="majorEastAsia" w:cstheme="majorBidi"/>
      <w:i/>
      <w:iCs/>
      <w:color w:val="272727" w:themeColor="text1" w:themeTint="D8"/>
    </w:rPr>
  </w:style>
  <w:style w:type="character" w:customStyle="1" w:styleId="Ttulo9Carter">
    <w:name w:val="Título 9 Caráter"/>
    <w:basedOn w:val="Tipodeletrapredefinidodopargrafo"/>
    <w:link w:val="Ttulo9"/>
    <w:uiPriority w:val="9"/>
    <w:semiHidden/>
    <w:rsid w:val="00E75C17"/>
    <w:rPr>
      <w:rFonts w:eastAsiaTheme="majorEastAsia" w:cstheme="majorBidi"/>
      <w:color w:val="272727" w:themeColor="text1" w:themeTint="D8"/>
    </w:rPr>
  </w:style>
  <w:style w:type="paragraph" w:styleId="Ttulo">
    <w:name w:val="Title"/>
    <w:basedOn w:val="Normal"/>
    <w:next w:val="Normal"/>
    <w:link w:val="TtuloCarter"/>
    <w:uiPriority w:val="10"/>
    <w:qFormat/>
    <w:rsid w:val="00E75C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ter">
    <w:name w:val="Título Caráter"/>
    <w:basedOn w:val="Tipodeletrapredefinidodopargrafo"/>
    <w:link w:val="Ttulo"/>
    <w:uiPriority w:val="10"/>
    <w:rsid w:val="00E75C1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ter"/>
    <w:uiPriority w:val="11"/>
    <w:qFormat/>
    <w:rsid w:val="00E75C17"/>
    <w:pPr>
      <w:numPr>
        <w:ilvl w:val="1"/>
      </w:numPr>
    </w:pPr>
    <w:rPr>
      <w:rFonts w:eastAsiaTheme="majorEastAsia" w:cstheme="majorBidi"/>
      <w:color w:val="595959" w:themeColor="text1" w:themeTint="A6"/>
      <w:spacing w:val="15"/>
      <w:sz w:val="28"/>
      <w:szCs w:val="28"/>
    </w:rPr>
  </w:style>
  <w:style w:type="character" w:customStyle="1" w:styleId="SubttuloCarter">
    <w:name w:val="Subtítulo Caráter"/>
    <w:basedOn w:val="Tipodeletrapredefinidodopargrafo"/>
    <w:link w:val="Subttulo"/>
    <w:uiPriority w:val="11"/>
    <w:rsid w:val="00E75C17"/>
    <w:rPr>
      <w:rFonts w:eastAsiaTheme="majorEastAsia" w:cstheme="majorBidi"/>
      <w:color w:val="595959" w:themeColor="text1" w:themeTint="A6"/>
      <w:spacing w:val="15"/>
      <w:sz w:val="28"/>
      <w:szCs w:val="28"/>
    </w:rPr>
  </w:style>
  <w:style w:type="paragraph" w:styleId="Citao">
    <w:name w:val="Quote"/>
    <w:basedOn w:val="Normal"/>
    <w:next w:val="Normal"/>
    <w:link w:val="CitaoCarter"/>
    <w:uiPriority w:val="29"/>
    <w:qFormat/>
    <w:rsid w:val="00E75C17"/>
    <w:pPr>
      <w:spacing w:before="160"/>
      <w:jc w:val="center"/>
    </w:pPr>
    <w:rPr>
      <w:i/>
      <w:iCs/>
      <w:color w:val="404040" w:themeColor="text1" w:themeTint="BF"/>
    </w:rPr>
  </w:style>
  <w:style w:type="character" w:customStyle="1" w:styleId="CitaoCarter">
    <w:name w:val="Citação Caráter"/>
    <w:basedOn w:val="Tipodeletrapredefinidodopargrafo"/>
    <w:link w:val="Citao"/>
    <w:uiPriority w:val="29"/>
    <w:rsid w:val="00E75C17"/>
    <w:rPr>
      <w:i/>
      <w:iCs/>
      <w:color w:val="404040" w:themeColor="text1" w:themeTint="BF"/>
    </w:rPr>
  </w:style>
  <w:style w:type="paragraph" w:styleId="PargrafodaLista">
    <w:name w:val="List Paragraph"/>
    <w:basedOn w:val="Normal"/>
    <w:uiPriority w:val="34"/>
    <w:qFormat/>
    <w:rsid w:val="00E75C17"/>
    <w:pPr>
      <w:ind w:left="720"/>
      <w:contextualSpacing/>
    </w:pPr>
  </w:style>
  <w:style w:type="character" w:styleId="nfaseIntensa">
    <w:name w:val="Intense Emphasis"/>
    <w:basedOn w:val="Tipodeletrapredefinidodopargrafo"/>
    <w:uiPriority w:val="21"/>
    <w:qFormat/>
    <w:rsid w:val="00E75C17"/>
    <w:rPr>
      <w:i/>
      <w:iCs/>
      <w:color w:val="0F4761" w:themeColor="accent1" w:themeShade="BF"/>
    </w:rPr>
  </w:style>
  <w:style w:type="paragraph" w:styleId="CitaoIntensa">
    <w:name w:val="Intense Quote"/>
    <w:basedOn w:val="Normal"/>
    <w:next w:val="Normal"/>
    <w:link w:val="CitaoIntensaCarter"/>
    <w:uiPriority w:val="30"/>
    <w:qFormat/>
    <w:rsid w:val="00E75C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arter">
    <w:name w:val="Citação Intensa Caráter"/>
    <w:basedOn w:val="Tipodeletrapredefinidodopargrafo"/>
    <w:link w:val="CitaoIntensa"/>
    <w:uiPriority w:val="30"/>
    <w:rsid w:val="00E75C17"/>
    <w:rPr>
      <w:i/>
      <w:iCs/>
      <w:color w:val="0F4761" w:themeColor="accent1" w:themeShade="BF"/>
    </w:rPr>
  </w:style>
  <w:style w:type="character" w:styleId="RefernciaIntensa">
    <w:name w:val="Intense Reference"/>
    <w:basedOn w:val="Tipodeletrapredefinidodopargrafo"/>
    <w:uiPriority w:val="32"/>
    <w:qFormat/>
    <w:rsid w:val="00E75C17"/>
    <w:rPr>
      <w:b/>
      <w:bCs/>
      <w:smallCaps/>
      <w:color w:val="0F4761" w:themeColor="accent1" w:themeShade="BF"/>
      <w:spacing w:val="5"/>
    </w:rPr>
  </w:style>
  <w:style w:type="character" w:styleId="Hiperligao">
    <w:name w:val="Hyperlink"/>
    <w:basedOn w:val="Tipodeletrapredefinidodopargrafo"/>
    <w:uiPriority w:val="99"/>
    <w:unhideWhenUsed/>
    <w:qFormat/>
    <w:rsid w:val="00E75C17"/>
    <w:rPr>
      <w:color w:val="467886" w:themeColor="hyperlink"/>
      <w:u w:val="single"/>
    </w:rPr>
  </w:style>
  <w:style w:type="character" w:styleId="MenoNoResolvida">
    <w:name w:val="Unresolved Mention"/>
    <w:basedOn w:val="Tipodeletrapredefinidodopargrafo"/>
    <w:uiPriority w:val="99"/>
    <w:semiHidden/>
    <w:unhideWhenUsed/>
    <w:rsid w:val="00E75C17"/>
    <w:rPr>
      <w:color w:val="605E5C"/>
      <w:shd w:val="clear" w:color="auto" w:fill="E1DFDD"/>
    </w:rPr>
  </w:style>
  <w:style w:type="paragraph" w:customStyle="1" w:styleId="Default">
    <w:name w:val="Default"/>
    <w:rsid w:val="002A031E"/>
    <w:pPr>
      <w:autoSpaceDE w:val="0"/>
      <w:autoSpaceDN w:val="0"/>
      <w:adjustRightInd w:val="0"/>
      <w:spacing w:after="0" w:line="240" w:lineRule="auto"/>
    </w:pPr>
    <w:rPr>
      <w:rFonts w:ascii="EUAlbertina" w:eastAsia="Times New Roman" w:hAnsi="EUAlbertina" w:cs="EUAlbertina"/>
      <w:color w:val="000000"/>
      <w:kern w:val="0"/>
      <w:sz w:val="24"/>
      <w:szCs w:val="24"/>
      <w:lang w:eastAsia="pt-PT"/>
      <w14:ligatures w14:val="none"/>
    </w:rPr>
  </w:style>
  <w:style w:type="character" w:styleId="Forte">
    <w:name w:val="Strong"/>
    <w:uiPriority w:val="22"/>
    <w:qFormat/>
    <w:rsid w:val="002A031E"/>
    <w:rPr>
      <w:b/>
      <w:bCs/>
    </w:rPr>
  </w:style>
  <w:style w:type="paragraph" w:styleId="NormalWeb">
    <w:name w:val="Normal (Web)"/>
    <w:basedOn w:val="Normal"/>
    <w:uiPriority w:val="99"/>
    <w:unhideWhenUsed/>
    <w:rsid w:val="002A031E"/>
    <w:pPr>
      <w:spacing w:before="100" w:beforeAutospacing="1" w:after="100" w:afterAutospacing="1" w:line="240" w:lineRule="auto"/>
    </w:pPr>
    <w:rPr>
      <w:rFonts w:ascii="Times New Roman" w:eastAsia="Times New Roman" w:hAnsi="Times New Roman" w:cs="Times New Roman"/>
      <w:kern w:val="0"/>
      <w:sz w:val="24"/>
      <w:szCs w:val="24"/>
      <w:lang w:eastAsia="pt-PT"/>
      <w14:ligatures w14:val="none"/>
    </w:rPr>
  </w:style>
  <w:style w:type="paragraph" w:styleId="Corpodetexto">
    <w:name w:val="Body Text"/>
    <w:basedOn w:val="Normal"/>
    <w:link w:val="CorpodetextoCarter"/>
    <w:uiPriority w:val="1"/>
    <w:qFormat/>
    <w:rsid w:val="002A031E"/>
    <w:pPr>
      <w:widowControl w:val="0"/>
      <w:autoSpaceDE w:val="0"/>
      <w:autoSpaceDN w:val="0"/>
      <w:adjustRightInd w:val="0"/>
      <w:spacing w:after="0" w:line="240" w:lineRule="auto"/>
      <w:ind w:left="122" w:firstLine="566"/>
    </w:pPr>
    <w:rPr>
      <w:rFonts w:ascii="Calibri" w:eastAsia="Times New Roman" w:hAnsi="Calibri" w:cs="Calibri"/>
      <w:kern w:val="0"/>
      <w:sz w:val="24"/>
      <w:szCs w:val="24"/>
      <w:lang w:val="pt-BR" w:eastAsia="pt-BR"/>
      <w14:ligatures w14:val="none"/>
    </w:rPr>
  </w:style>
  <w:style w:type="character" w:customStyle="1" w:styleId="CorpodetextoCarter">
    <w:name w:val="Corpo de texto Caráter"/>
    <w:basedOn w:val="Tipodeletrapredefinidodopargrafo"/>
    <w:link w:val="Corpodetexto"/>
    <w:uiPriority w:val="1"/>
    <w:rsid w:val="002A031E"/>
    <w:rPr>
      <w:rFonts w:ascii="Calibri" w:eastAsia="Times New Roman" w:hAnsi="Calibri" w:cs="Calibri"/>
      <w:kern w:val="0"/>
      <w:sz w:val="24"/>
      <w:szCs w:val="24"/>
      <w:lang w:val="pt-BR" w:eastAsia="pt-BR"/>
      <w14:ligatures w14:val="none"/>
    </w:rPr>
  </w:style>
  <w:style w:type="character" w:customStyle="1" w:styleId="text">
    <w:name w:val="text"/>
    <w:rsid w:val="002A031E"/>
    <w:rPr>
      <w:rFonts w:cs="Times New Roman"/>
    </w:rPr>
  </w:style>
  <w:style w:type="character" w:styleId="Hiperligaovisitada">
    <w:name w:val="FollowedHyperlink"/>
    <w:basedOn w:val="Tipodeletrapredefinidodopargrafo"/>
    <w:uiPriority w:val="99"/>
    <w:semiHidden/>
    <w:unhideWhenUsed/>
    <w:rsid w:val="00B50CA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isprtorrealba@outlook.com" TargetMode="External"/><Relationship Id="rId13" Type="http://schemas.openxmlformats.org/officeDocument/2006/relationships/hyperlink" Target="https://eur-lex.europa.eu/legal-content/PT/TXT/?uri=CELEX%3A52025DC0239&amp;qid=1773352377014" TargetMode="External"/><Relationship Id="rId18" Type="http://schemas.openxmlformats.org/officeDocument/2006/relationships/hyperlink" Target="http://orcid.org/0000-0003-4720-1400" TargetMode="External"/><Relationship Id="rId3" Type="http://schemas.openxmlformats.org/officeDocument/2006/relationships/settings" Target="settings.xml"/><Relationship Id="rId21" Type="http://schemas.openxmlformats.org/officeDocument/2006/relationships/hyperlink" Target="https://www.cienciavitae.pt//pt/F115-6247-2547" TargetMode="External"/><Relationship Id="rId7" Type="http://schemas.openxmlformats.org/officeDocument/2006/relationships/hyperlink" Target="mailto:dra@upt.pt" TargetMode="External"/><Relationship Id="rId12" Type="http://schemas.openxmlformats.org/officeDocument/2006/relationships/hyperlink" Target="https://ssrn.com/abstract=3557795" TargetMode="External"/><Relationship Id="rId17" Type="http://schemas.openxmlformats.org/officeDocument/2006/relationships/hyperlink" Target="https://www.europarl.europa.eu/doceo/document/TA-10-2026-0065_PT.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ata.europa.eu/eli/reg/2001/1049/oj" TargetMode="External"/><Relationship Id="rId20" Type="http://schemas.openxmlformats.org/officeDocument/2006/relationships/hyperlink" Target="https://orcid.org/0000-0001-9196-6940" TargetMode="External"/><Relationship Id="rId1" Type="http://schemas.openxmlformats.org/officeDocument/2006/relationships/numbering" Target="numbering.xml"/><Relationship Id="rId6" Type="http://schemas.openxmlformats.org/officeDocument/2006/relationships/hyperlink" Target="https://eventos.iberojur.com/evento/vii-futurelaw/" TargetMode="External"/><Relationship Id="rId11" Type="http://schemas.openxmlformats.org/officeDocument/2006/relationships/hyperlink" Target="https://ssrn.com/abstract=4063606" TargetMode="External"/><Relationship Id="rId24" Type="http://schemas.openxmlformats.org/officeDocument/2006/relationships/fontTable" Target="fontTable.xml"/><Relationship Id="rId5" Type="http://schemas.openxmlformats.org/officeDocument/2006/relationships/image" Target="https://stratus.campaign-image.eu/images/77232000014323006_zc_v1_1771417028876_vii_futurelaw_capa_3_640x384.png" TargetMode="External"/><Relationship Id="rId15" Type="http://schemas.openxmlformats.org/officeDocument/2006/relationships/hyperlink" Target="https://ec-europa-eu.libguides.com/EU_sources/access-to-documents" TargetMode="External"/><Relationship Id="rId23" Type="http://schemas.openxmlformats.org/officeDocument/2006/relationships/hyperlink" Target="https://www.iberojur.com/" TargetMode="External"/><Relationship Id="rId10" Type="http://schemas.openxmlformats.org/officeDocument/2006/relationships/hyperlink" Target="https://parc.ipp.pt/index.php/rebules/issue/view/123" TargetMode="External"/><Relationship Id="rId19" Type="http://schemas.openxmlformats.org/officeDocument/2006/relationships/hyperlink" Target="http://www.cienciavitae.pt//CA1A-FE14-5CC1" TargetMode="External"/><Relationship Id="rId4" Type="http://schemas.openxmlformats.org/officeDocument/2006/relationships/webSettings" Target="webSettings.xml"/><Relationship Id="rId9" Type="http://schemas.openxmlformats.org/officeDocument/2006/relationships/hyperlink" Target="http://hdl.handle.net/11328/1992" TargetMode="External"/><Relationship Id="rId14" Type="http://schemas.openxmlformats.org/officeDocument/2006/relationships/hyperlink" Target="https://www.europarl.europa.eu/news/en/press-room/20260306IPR37519/improving-public-access-to-documents-in-the-eu" TargetMode="External"/><Relationship Id="rId22" Type="http://schemas.openxmlformats.org/officeDocument/2006/relationships/hyperlink" Target="mailto:eventos@iberojur.co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1595</Words>
  <Characters>8619</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Resende Alves</dc:creator>
  <cp:keywords/>
  <dc:description/>
  <cp:lastModifiedBy>Filipa Maria Sousa Marinho da Silva</cp:lastModifiedBy>
  <cp:revision>2</cp:revision>
  <dcterms:created xsi:type="dcterms:W3CDTF">2026-04-20T11:05:00Z</dcterms:created>
  <dcterms:modified xsi:type="dcterms:W3CDTF">2026-04-20T11:05:00Z</dcterms:modified>
</cp:coreProperties>
</file>