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6C6E30" w14:textId="43AE2444" w:rsidR="006F1ECA" w:rsidRDefault="008C1AF1" w:rsidP="001C5538">
      <w:pPr>
        <w:jc w:val="center"/>
      </w:pPr>
      <w:r>
        <w:rPr>
          <w:noProof/>
        </w:rPr>
        <w:drawing>
          <wp:inline distT="0" distB="0" distL="0" distR="0" wp14:anchorId="6199AF1C" wp14:editId="776A9E23">
            <wp:extent cx="5400040" cy="3461385"/>
            <wp:effectExtent l="0" t="0" r="0" b="5715"/>
            <wp:docPr id="366714865" name="Imagem 1" descr="Uma imagem com texto, captura de ecrã, Billboard, ar livre&#10;&#10;Os conteúdos gerados por IA poderão estar incorret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6714865" name="Imagem 1" descr="Uma imagem com texto, captura de ecrã, Billboard, ar livre&#10;&#10;Os conteúdos gerados por IA poderão estar incorretos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346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A004E" w14:textId="77777777" w:rsidR="003F4AC3" w:rsidRDefault="003F4AC3" w:rsidP="003F4AC3">
      <w:pPr>
        <w:spacing w:after="0" w:line="360" w:lineRule="auto"/>
        <w:jc w:val="center"/>
      </w:pPr>
      <w:r>
        <w:t>VI Congresso Internacional sobre o Futuro do Direito</w:t>
      </w:r>
    </w:p>
    <w:p w14:paraId="22E50391" w14:textId="25CBE892" w:rsidR="003F4AC3" w:rsidRDefault="003F4AC3" w:rsidP="003F4AC3">
      <w:pPr>
        <w:spacing w:after="0" w:line="360" w:lineRule="auto"/>
        <w:jc w:val="center"/>
      </w:pPr>
      <w:r>
        <w:t>VI FUTURELAW</w:t>
      </w:r>
    </w:p>
    <w:p w14:paraId="46C6A66B" w14:textId="5AB9EE2B" w:rsidR="003F4AC3" w:rsidRDefault="003F4AC3" w:rsidP="003F4AC3">
      <w:pPr>
        <w:spacing w:after="0" w:line="360" w:lineRule="auto"/>
        <w:jc w:val="center"/>
      </w:pPr>
      <w:r>
        <w:t xml:space="preserve"> ISCAP – Politécnico do Porto </w:t>
      </w:r>
    </w:p>
    <w:p w14:paraId="55398AF3" w14:textId="274F3C60" w:rsidR="003F4AC3" w:rsidRDefault="003F4AC3" w:rsidP="003F4AC3">
      <w:pPr>
        <w:spacing w:after="0" w:line="360" w:lineRule="auto"/>
        <w:jc w:val="center"/>
      </w:pPr>
      <w:r>
        <w:t xml:space="preserve">4 e 5 de abril de 2025 </w:t>
      </w:r>
    </w:p>
    <w:p w14:paraId="23990814" w14:textId="1B946765" w:rsidR="001C5538" w:rsidRDefault="003F4AC3" w:rsidP="003F4AC3">
      <w:pPr>
        <w:spacing w:after="0" w:line="360" w:lineRule="auto"/>
        <w:jc w:val="center"/>
      </w:pPr>
      <w:r>
        <w:t>Modalidade híbrida (presencial e on-line)</w:t>
      </w:r>
    </w:p>
    <w:p w14:paraId="60266DF3" w14:textId="6A24F389" w:rsidR="00692C08" w:rsidRDefault="00ED6A6F" w:rsidP="003F4AC3">
      <w:pPr>
        <w:spacing w:after="0" w:line="360" w:lineRule="auto"/>
        <w:jc w:val="center"/>
        <w:rPr>
          <w:rFonts w:ascii="Arial" w:hAnsi="Arial" w:cs="Arial"/>
          <w:bCs/>
          <w:u w:val="single"/>
        </w:rPr>
      </w:pPr>
      <w:hyperlink r:id="rId8" w:history="1">
        <w:r w:rsidR="008C1AF1" w:rsidRPr="008E55F4">
          <w:rPr>
            <w:rStyle w:val="Hiperligao"/>
            <w:rFonts w:ascii="Arial" w:hAnsi="Arial" w:cs="Arial"/>
            <w:bCs/>
          </w:rPr>
          <w:t>https://iberojur.com/event/vi-futurelaw-porto/</w:t>
        </w:r>
      </w:hyperlink>
      <w:r w:rsidR="008C1AF1">
        <w:rPr>
          <w:rFonts w:ascii="Arial" w:hAnsi="Arial" w:cs="Arial"/>
          <w:bCs/>
          <w:u w:val="single"/>
        </w:rPr>
        <w:t xml:space="preserve"> </w:t>
      </w:r>
    </w:p>
    <w:p w14:paraId="7CF8C789" w14:textId="55FD8ABB" w:rsidR="0095075C" w:rsidRDefault="00ED6A6F" w:rsidP="003F4AC3">
      <w:pPr>
        <w:spacing w:after="0" w:line="360" w:lineRule="auto"/>
        <w:jc w:val="center"/>
        <w:rPr>
          <w:rFonts w:ascii="Arial" w:hAnsi="Arial" w:cs="Arial"/>
          <w:bCs/>
          <w:u w:val="single"/>
        </w:rPr>
      </w:pPr>
      <w:hyperlink r:id="rId9" w:history="1">
        <w:r w:rsidR="0095075C" w:rsidRPr="008E55F4">
          <w:rPr>
            <w:rStyle w:val="Hiperligao"/>
            <w:rFonts w:ascii="Arial" w:hAnsi="Arial" w:cs="Arial"/>
            <w:bCs/>
          </w:rPr>
          <w:t>https://iberojur.com/futurelaw6/</w:t>
        </w:r>
      </w:hyperlink>
      <w:r w:rsidR="0095075C">
        <w:rPr>
          <w:rFonts w:ascii="Arial" w:hAnsi="Arial" w:cs="Arial"/>
          <w:bCs/>
          <w:u w:val="single"/>
        </w:rPr>
        <w:t xml:space="preserve"> </w:t>
      </w:r>
    </w:p>
    <w:p w14:paraId="09FF76BB" w14:textId="77777777" w:rsidR="00A765AB" w:rsidRDefault="00A765AB" w:rsidP="003F4AC3">
      <w:pPr>
        <w:spacing w:after="0" w:line="360" w:lineRule="auto"/>
        <w:jc w:val="center"/>
        <w:rPr>
          <w:rFonts w:ascii="Arial" w:hAnsi="Arial" w:cs="Arial"/>
          <w:bCs/>
          <w:u w:val="single"/>
        </w:rPr>
      </w:pPr>
    </w:p>
    <w:p w14:paraId="4AE87B42" w14:textId="77777777" w:rsidR="00CE647F" w:rsidRDefault="00CE647F" w:rsidP="00A765AB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  <w:bookmarkStart w:id="0" w:name="_Hlk193016513"/>
      <w:bookmarkStart w:id="1" w:name="_Hlk118376631"/>
      <w:r w:rsidRPr="000B58F7">
        <w:rPr>
          <w:rFonts w:ascii="Garamond" w:hAnsi="Garamond"/>
          <w:b/>
          <w:bCs/>
          <w:sz w:val="24"/>
          <w:szCs w:val="24"/>
          <w:u w:val="single"/>
        </w:rPr>
        <w:t xml:space="preserve">O Direito da Concorrência da União Europeia e </w:t>
      </w:r>
    </w:p>
    <w:p w14:paraId="066E96FA" w14:textId="64784733" w:rsidR="00CE647F" w:rsidRPr="00A765AB" w:rsidRDefault="00CE647F" w:rsidP="00A765AB">
      <w:pPr>
        <w:jc w:val="center"/>
        <w:rPr>
          <w:rFonts w:ascii="Garamond" w:hAnsi="Garamond"/>
          <w:b/>
          <w:bCs/>
          <w:sz w:val="24"/>
          <w:szCs w:val="24"/>
          <w:u w:val="single"/>
        </w:rPr>
      </w:pPr>
      <w:r w:rsidRPr="000B58F7">
        <w:rPr>
          <w:rFonts w:ascii="Garamond" w:hAnsi="Garamond"/>
          <w:b/>
          <w:bCs/>
          <w:sz w:val="24"/>
          <w:szCs w:val="24"/>
          <w:u w:val="single"/>
        </w:rPr>
        <w:t xml:space="preserve">o </w:t>
      </w:r>
      <w:r w:rsidR="008C1D79">
        <w:rPr>
          <w:rFonts w:ascii="Garamond" w:hAnsi="Garamond"/>
          <w:b/>
          <w:bCs/>
          <w:sz w:val="24"/>
          <w:szCs w:val="24"/>
          <w:u w:val="single"/>
        </w:rPr>
        <w:t>c</w:t>
      </w:r>
      <w:r w:rsidRPr="000B58F7">
        <w:rPr>
          <w:rFonts w:ascii="Garamond" w:hAnsi="Garamond"/>
          <w:b/>
          <w:bCs/>
          <w:sz w:val="24"/>
          <w:szCs w:val="24"/>
          <w:u w:val="single"/>
        </w:rPr>
        <w:t xml:space="preserve">idadão: </w:t>
      </w:r>
      <w:r>
        <w:rPr>
          <w:rFonts w:ascii="Garamond" w:hAnsi="Garamond"/>
          <w:b/>
          <w:bCs/>
          <w:sz w:val="24"/>
          <w:szCs w:val="24"/>
          <w:u w:val="single"/>
        </w:rPr>
        <w:t>u</w:t>
      </w:r>
      <w:r w:rsidRPr="000B58F7">
        <w:rPr>
          <w:rFonts w:ascii="Garamond" w:hAnsi="Garamond"/>
          <w:b/>
          <w:bCs/>
          <w:sz w:val="24"/>
          <w:szCs w:val="24"/>
          <w:u w:val="single"/>
        </w:rPr>
        <w:t xml:space="preserve">m </w:t>
      </w:r>
      <w:r>
        <w:rPr>
          <w:rFonts w:ascii="Garamond" w:hAnsi="Garamond"/>
          <w:b/>
          <w:bCs/>
          <w:sz w:val="24"/>
          <w:szCs w:val="24"/>
          <w:u w:val="single"/>
        </w:rPr>
        <w:t>e</w:t>
      </w:r>
      <w:r w:rsidRPr="000B58F7">
        <w:rPr>
          <w:rFonts w:ascii="Garamond" w:hAnsi="Garamond"/>
          <w:b/>
          <w:bCs/>
          <w:sz w:val="24"/>
          <w:szCs w:val="24"/>
          <w:u w:val="single"/>
        </w:rPr>
        <w:t xml:space="preserve">ntendimento </w:t>
      </w:r>
      <w:r>
        <w:rPr>
          <w:rFonts w:ascii="Garamond" w:hAnsi="Garamond"/>
          <w:b/>
          <w:bCs/>
          <w:sz w:val="24"/>
          <w:szCs w:val="24"/>
          <w:u w:val="single"/>
        </w:rPr>
        <w:t>e</w:t>
      </w:r>
      <w:r w:rsidRPr="000B58F7">
        <w:rPr>
          <w:rFonts w:ascii="Garamond" w:hAnsi="Garamond"/>
          <w:b/>
          <w:bCs/>
          <w:sz w:val="24"/>
          <w:szCs w:val="24"/>
          <w:u w:val="single"/>
        </w:rPr>
        <w:t>ssencial</w:t>
      </w:r>
      <w:bookmarkEnd w:id="0"/>
    </w:p>
    <w:bookmarkEnd w:id="1"/>
    <w:p w14:paraId="1D9A2E3D" w14:textId="37CBD0E3" w:rsidR="00207533" w:rsidRDefault="00207533" w:rsidP="00F44414">
      <w:pPr>
        <w:spacing w:line="360" w:lineRule="auto"/>
        <w:jc w:val="both"/>
      </w:pPr>
    </w:p>
    <w:p w14:paraId="3EECA730" w14:textId="4DC680F8" w:rsidR="00207533" w:rsidRPr="00DC703E" w:rsidRDefault="00F44414" w:rsidP="00DC703E">
      <w:pPr>
        <w:spacing w:line="360" w:lineRule="auto"/>
        <w:ind w:firstLine="708"/>
        <w:jc w:val="both"/>
        <w:rPr>
          <w:sz w:val="20"/>
          <w:szCs w:val="20"/>
        </w:rPr>
      </w:pPr>
      <w:r w:rsidRPr="009D7094">
        <w:rPr>
          <w:rFonts w:ascii="Times New Roman" w:eastAsia="Times New Roman" w:hAnsi="Times New Roman" w:cs="Times New Roman"/>
          <w:i/>
          <w:iCs/>
          <w:sz w:val="24"/>
          <w:szCs w:val="24"/>
          <w:lang w:eastAsia="pt-PT"/>
        </w:rPr>
        <w:t xml:space="preserve">Dora Resende Alves, </w:t>
      </w:r>
      <w:r w:rsidRPr="00A47CE4">
        <w:rPr>
          <w:rFonts w:ascii="Times New Roman" w:eastAsia="Times New Roman" w:hAnsi="Times New Roman" w:cs="Times New Roman"/>
          <w:sz w:val="24"/>
          <w:szCs w:val="24"/>
          <w:lang w:eastAsia="pt-PT"/>
        </w:rPr>
        <w:t>PhD</w:t>
      </w:r>
      <w:r w:rsidRPr="00A47CE4">
        <w:t xml:space="preserve">  </w:t>
      </w:r>
      <w:r w:rsidRPr="004E0BFA">
        <w:rPr>
          <w:i/>
          <w:iCs/>
        </w:rPr>
        <w:t xml:space="preserve"> </w:t>
      </w:r>
      <w:r w:rsidRPr="004E0BFA"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hyperlink r:id="rId10" w:history="1">
        <w:r w:rsidRPr="007C0A8C">
          <w:rPr>
            <w:rStyle w:val="Hiperligao"/>
            <w:sz w:val="20"/>
            <w:szCs w:val="20"/>
          </w:rPr>
          <w:t>dra@upt.pt</w:t>
        </w:r>
      </w:hyperlink>
      <w:r w:rsidRPr="004E0BFA">
        <w:t xml:space="preserve">       </w:t>
      </w:r>
    </w:p>
    <w:p w14:paraId="6567B200" w14:textId="77777777" w:rsidR="00F44414" w:rsidRDefault="00F44414" w:rsidP="00207533">
      <w:pPr>
        <w:pStyle w:val="Default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7D6ABCA" w14:textId="21195F3F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DF1FA9">
        <w:rPr>
          <w:rFonts w:ascii="Times New Roman" w:hAnsi="Times New Roman" w:cs="Times New Roman"/>
          <w:b/>
          <w:bCs/>
          <w:sz w:val="20"/>
          <w:szCs w:val="20"/>
        </w:rPr>
        <w:t>FILIA</w:t>
      </w:r>
      <w:r>
        <w:rPr>
          <w:rFonts w:ascii="Times New Roman" w:hAnsi="Times New Roman" w:cs="Times New Roman"/>
          <w:b/>
          <w:bCs/>
          <w:sz w:val="20"/>
          <w:szCs w:val="20"/>
        </w:rPr>
        <w:t>ÇÃO</w:t>
      </w:r>
      <w:r w:rsidRPr="00DF1FA9">
        <w:rPr>
          <w:rFonts w:ascii="Times New Roman" w:hAnsi="Times New Roman" w:cs="Times New Roman"/>
          <w:b/>
          <w:bCs/>
          <w:color w:val="auto"/>
          <w:sz w:val="20"/>
          <w:szCs w:val="20"/>
        </w:rPr>
        <w:t>:</w:t>
      </w:r>
      <w:r w:rsidRPr="008D2A9C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14:paraId="25732CEE" w14:textId="77777777" w:rsidR="00207533" w:rsidRDefault="00207533" w:rsidP="00207533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14:paraId="6E5FE800" w14:textId="6B03C381" w:rsidR="00207533" w:rsidRDefault="00207533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Departamento de Direito,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  <w:r>
        <w:rPr>
          <w:rFonts w:ascii="Times New Roman" w:hAnsi="Times New Roman" w:cs="Times New Roman"/>
          <w:sz w:val="20"/>
          <w:szCs w:val="20"/>
        </w:rPr>
        <w:t>, +351225572474.</w:t>
      </w:r>
    </w:p>
    <w:p w14:paraId="0A701C56" w14:textId="77777777" w:rsidR="006623EA" w:rsidRDefault="006623EA" w:rsidP="00207533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</w:p>
    <w:p w14:paraId="6B6E6FB4" w14:textId="7F49A152" w:rsidR="00207533" w:rsidRDefault="00207533" w:rsidP="006623EA">
      <w:pPr>
        <w:pStyle w:val="Default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Instituto Jurídico Portucalense, </w:t>
      </w:r>
      <w:r w:rsidRPr="008D2A9C">
        <w:rPr>
          <w:rFonts w:ascii="Times New Roman" w:hAnsi="Times New Roman" w:cs="Times New Roman"/>
          <w:sz w:val="20"/>
          <w:szCs w:val="20"/>
        </w:rPr>
        <w:t>Universidade Por</w:t>
      </w:r>
      <w:r>
        <w:rPr>
          <w:rFonts w:ascii="Times New Roman" w:hAnsi="Times New Roman" w:cs="Times New Roman"/>
          <w:sz w:val="20"/>
          <w:szCs w:val="20"/>
        </w:rPr>
        <w:t>tucalense Infante D. Henrique, P</w:t>
      </w:r>
      <w:r w:rsidRPr="008D2A9C">
        <w:rPr>
          <w:rFonts w:ascii="Times New Roman" w:hAnsi="Times New Roman" w:cs="Times New Roman"/>
          <w:sz w:val="20"/>
          <w:szCs w:val="20"/>
        </w:rPr>
        <w:t>orto, Portugal</w:t>
      </w:r>
    </w:p>
    <w:p w14:paraId="46BEC62B" w14:textId="77777777" w:rsidR="006623EA" w:rsidRPr="006623EA" w:rsidRDefault="006623EA" w:rsidP="006623EA">
      <w:pPr>
        <w:pStyle w:val="Default"/>
        <w:jc w:val="both"/>
        <w:rPr>
          <w:rFonts w:ascii="Times New Roman" w:hAnsi="Times New Roman" w:cs="Times New Roman"/>
          <w:color w:val="auto"/>
          <w:sz w:val="20"/>
          <w:szCs w:val="20"/>
        </w:rPr>
      </w:pPr>
    </w:p>
    <w:p w14:paraId="780F361E" w14:textId="77777777" w:rsidR="00163401" w:rsidRPr="006B0A59" w:rsidRDefault="00163401" w:rsidP="00207533">
      <w:pPr>
        <w:rPr>
          <w:b/>
          <w:bCs/>
        </w:rPr>
      </w:pPr>
    </w:p>
    <w:p w14:paraId="06C038D1" w14:textId="4C25F6B5" w:rsidR="00207533" w:rsidRDefault="00A10663" w:rsidP="00207533">
      <w:pPr>
        <w:jc w:val="both"/>
        <w:rPr>
          <w:b/>
          <w:bCs/>
          <w:lang w:val="es-ES"/>
        </w:rPr>
      </w:pPr>
      <w:proofErr w:type="spellStart"/>
      <w:r>
        <w:rPr>
          <w:b/>
          <w:bCs/>
          <w:lang w:val="es-ES"/>
        </w:rPr>
        <w:t>Eixo</w:t>
      </w:r>
      <w:proofErr w:type="spellEnd"/>
      <w:r w:rsidR="00207533">
        <w:rPr>
          <w:b/>
          <w:bCs/>
          <w:lang w:val="es-ES"/>
        </w:rPr>
        <w:t xml:space="preserve"> temátic</w:t>
      </w:r>
      <w:r>
        <w:rPr>
          <w:b/>
          <w:bCs/>
          <w:lang w:val="es-ES"/>
        </w:rPr>
        <w:t>o</w:t>
      </w:r>
      <w:r w:rsidR="00207533" w:rsidRPr="00ED6672">
        <w:rPr>
          <w:b/>
          <w:bCs/>
          <w:lang w:val="es-ES"/>
        </w:rPr>
        <w:t>:</w:t>
      </w:r>
      <w:r w:rsidR="00207533">
        <w:rPr>
          <w:b/>
          <w:bCs/>
          <w:lang w:val="es-ES"/>
        </w:rPr>
        <w:t xml:space="preserve">  </w:t>
      </w:r>
    </w:p>
    <w:p w14:paraId="7071DD77" w14:textId="77777777" w:rsidR="003143E3" w:rsidRPr="003143E3" w:rsidRDefault="003143E3" w:rsidP="003143E3">
      <w:pPr>
        <w:rPr>
          <w:rFonts w:ascii="Open Sans" w:eastAsia="Times New Roman" w:hAnsi="Open Sans" w:cs="Open Sans"/>
          <w:b/>
          <w:bCs/>
          <w:color w:val="AEAAAA" w:themeColor="background2" w:themeShade="BF"/>
          <w:sz w:val="24"/>
          <w:szCs w:val="24"/>
          <w:lang w:eastAsia="pt-PT"/>
        </w:rPr>
      </w:pPr>
      <w:r w:rsidRPr="003143E3">
        <w:rPr>
          <w:rFonts w:ascii="Open Sans" w:eastAsia="Times New Roman" w:hAnsi="Open Sans" w:cs="Open Sans"/>
          <w:b/>
          <w:bCs/>
          <w:color w:val="AEAAAA" w:themeColor="background2" w:themeShade="BF"/>
          <w:sz w:val="24"/>
          <w:szCs w:val="24"/>
          <w:lang w:eastAsia="pt-PT"/>
        </w:rPr>
        <w:t>Painel 06 – DIREITO DA UNIÃO EUROPEIA</w:t>
      </w:r>
    </w:p>
    <w:p w14:paraId="3693EAE2" w14:textId="604E25A5" w:rsidR="003143E3" w:rsidRPr="003143E3" w:rsidRDefault="00C10895" w:rsidP="003143E3">
      <w:pPr>
        <w:rPr>
          <w:rFonts w:ascii="Open Sans" w:eastAsia="Times New Roman" w:hAnsi="Open Sans" w:cs="Open Sans"/>
          <w:b/>
          <w:bCs/>
          <w:color w:val="AEAAAA" w:themeColor="background2" w:themeShade="BF"/>
          <w:sz w:val="24"/>
          <w:szCs w:val="24"/>
          <w:lang w:eastAsia="pt-PT"/>
        </w:rPr>
      </w:pPr>
      <w:r w:rsidRPr="00C10895">
        <w:rPr>
          <w:rFonts w:ascii="Open Sans" w:eastAsia="Times New Roman" w:hAnsi="Open Sans" w:cs="Open Sans"/>
          <w:b/>
          <w:bCs/>
          <w:color w:val="AEAAAA" w:themeColor="background2" w:themeShade="BF"/>
          <w:sz w:val="24"/>
          <w:szCs w:val="24"/>
          <w:lang w:eastAsia="pt-PT"/>
        </w:rPr>
        <w:lastRenderedPageBreak/>
        <w:t>6. Desafios presentes e futuros da integração europeia</w:t>
      </w:r>
    </w:p>
    <w:p w14:paraId="4FD091FF" w14:textId="77777777" w:rsidR="002A7133" w:rsidRDefault="002A7133" w:rsidP="007F351B">
      <w:pPr>
        <w:rPr>
          <w:b/>
          <w:bCs/>
        </w:rPr>
      </w:pPr>
    </w:p>
    <w:p w14:paraId="5AF60463" w14:textId="239989FD" w:rsidR="00207533" w:rsidRPr="007F351B" w:rsidRDefault="00207533" w:rsidP="007F351B">
      <w:pPr>
        <w:rPr>
          <w:b/>
          <w:bCs/>
        </w:rPr>
      </w:pPr>
      <w:r w:rsidRPr="00843F90">
        <w:rPr>
          <w:b/>
          <w:bCs/>
        </w:rPr>
        <w:t>Resumo:</w:t>
      </w:r>
      <w:r>
        <w:rPr>
          <w:b/>
          <w:bCs/>
        </w:rPr>
        <w:t xml:space="preserve">    </w:t>
      </w:r>
      <w:r w:rsidR="008D2417">
        <w:rPr>
          <w:b/>
          <w:bCs/>
        </w:rPr>
        <w:t xml:space="preserve">   </w:t>
      </w:r>
    </w:p>
    <w:p w14:paraId="75483FE2" w14:textId="36860C50" w:rsidR="00B50273" w:rsidRDefault="00F517A9" w:rsidP="0003771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bookmarkStart w:id="2" w:name="_Hlk193016073"/>
      <w:r>
        <w:rPr>
          <w:rFonts w:ascii="Garamond" w:hAnsi="Garamond"/>
          <w:sz w:val="24"/>
          <w:szCs w:val="24"/>
        </w:rPr>
        <w:t xml:space="preserve">Pretende </w:t>
      </w:r>
      <w:r w:rsidR="00DC703E">
        <w:rPr>
          <w:rFonts w:ascii="Garamond" w:hAnsi="Garamond"/>
          <w:sz w:val="24"/>
          <w:szCs w:val="24"/>
        </w:rPr>
        <w:t>a</w:t>
      </w:r>
      <w:r>
        <w:rPr>
          <w:rFonts w:ascii="Garamond" w:hAnsi="Garamond"/>
          <w:sz w:val="24"/>
          <w:szCs w:val="24"/>
        </w:rPr>
        <w:t xml:space="preserve"> autor</w:t>
      </w:r>
      <w:r w:rsidR="00DC703E">
        <w:rPr>
          <w:rFonts w:ascii="Garamond" w:hAnsi="Garamond"/>
          <w:sz w:val="24"/>
          <w:szCs w:val="24"/>
        </w:rPr>
        <w:t>a</w:t>
      </w:r>
      <w:r>
        <w:rPr>
          <w:rFonts w:ascii="Garamond" w:hAnsi="Garamond"/>
          <w:sz w:val="24"/>
          <w:szCs w:val="24"/>
        </w:rPr>
        <w:t xml:space="preserve"> relembrar os contornos gerais e atuais do Direito da Concorrência, nos seus âmbitos nacional e europeu, com foco no direito da União Europeia</w:t>
      </w:r>
      <w:r w:rsidR="00D521A6"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sz w:val="24"/>
          <w:szCs w:val="24"/>
        </w:rPr>
        <w:t xml:space="preserve"> </w:t>
      </w:r>
      <w:r w:rsidR="002B02FA">
        <w:rPr>
          <w:rFonts w:ascii="Garamond" w:hAnsi="Garamond"/>
          <w:sz w:val="24"/>
          <w:szCs w:val="24"/>
        </w:rPr>
        <w:t>A</w:t>
      </w:r>
      <w:r w:rsidR="002B02FA" w:rsidRPr="002B02FA">
        <w:rPr>
          <w:rFonts w:ascii="Garamond" w:hAnsi="Garamond"/>
          <w:sz w:val="24"/>
          <w:szCs w:val="24"/>
        </w:rPr>
        <w:t xml:space="preserve"> regulação comunitária da política da concorrência</w:t>
      </w:r>
      <w:r w:rsidR="002B02FA">
        <w:rPr>
          <w:rFonts w:ascii="Garamond" w:hAnsi="Garamond"/>
          <w:sz w:val="24"/>
          <w:szCs w:val="24"/>
        </w:rPr>
        <w:t>: q</w:t>
      </w:r>
      <w:r>
        <w:rPr>
          <w:rFonts w:ascii="Garamond" w:hAnsi="Garamond"/>
          <w:sz w:val="24"/>
          <w:szCs w:val="24"/>
        </w:rPr>
        <w:t>ual o seu significado, quais os seus objetivos, quais os órgãos envolvidos na política da concorrência e qual a legislação aplicável</w:t>
      </w:r>
      <w:r w:rsidR="00EC41AA">
        <w:rPr>
          <w:rFonts w:ascii="Garamond" w:hAnsi="Garamond"/>
          <w:sz w:val="24"/>
          <w:szCs w:val="24"/>
        </w:rPr>
        <w:t xml:space="preserve"> desde ramo do direito indissociável da visão económica e de efeitos transnacionais</w:t>
      </w:r>
      <w:r>
        <w:rPr>
          <w:rFonts w:ascii="Garamond" w:hAnsi="Garamond"/>
          <w:sz w:val="24"/>
          <w:szCs w:val="24"/>
        </w:rPr>
        <w:t>.</w:t>
      </w:r>
      <w:r w:rsidR="00614584">
        <w:rPr>
          <w:rFonts w:ascii="Garamond" w:hAnsi="Garamond"/>
          <w:sz w:val="24"/>
          <w:szCs w:val="24"/>
        </w:rPr>
        <w:t xml:space="preserve"> </w:t>
      </w:r>
      <w:r w:rsidR="002B02FA">
        <w:rPr>
          <w:rFonts w:ascii="Garamond" w:hAnsi="Garamond"/>
          <w:sz w:val="24"/>
          <w:szCs w:val="24"/>
        </w:rPr>
        <w:t>E q</w:t>
      </w:r>
      <w:r w:rsidR="00614584">
        <w:rPr>
          <w:rFonts w:ascii="Garamond" w:hAnsi="Garamond"/>
          <w:sz w:val="24"/>
          <w:szCs w:val="24"/>
        </w:rPr>
        <w:t xml:space="preserve">uais as suas </w:t>
      </w:r>
      <w:r w:rsidR="00614584" w:rsidRPr="00614584">
        <w:rPr>
          <w:rFonts w:ascii="Garamond" w:hAnsi="Garamond"/>
          <w:sz w:val="24"/>
          <w:szCs w:val="24"/>
        </w:rPr>
        <w:t>mais recentes vertentes e preocupações?</w:t>
      </w:r>
      <w:r w:rsidR="002B02FA">
        <w:rPr>
          <w:rFonts w:ascii="Garamond" w:hAnsi="Garamond"/>
          <w:sz w:val="24"/>
          <w:szCs w:val="24"/>
        </w:rPr>
        <w:t xml:space="preserve"> </w:t>
      </w:r>
    </w:p>
    <w:p w14:paraId="6A1C5AF8" w14:textId="176DC2B1" w:rsidR="00F517A9" w:rsidRDefault="00F517A9" w:rsidP="0003771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Passando pelos tratados fundadores da União Europeia, que logo na origem traçaram de modo visionário o </w:t>
      </w:r>
      <w:r w:rsidR="00EC41AA">
        <w:rPr>
          <w:rFonts w:ascii="Garamond" w:hAnsi="Garamond"/>
          <w:sz w:val="24"/>
          <w:szCs w:val="24"/>
        </w:rPr>
        <w:t>regime jurídico</w:t>
      </w:r>
      <w:r>
        <w:rPr>
          <w:rFonts w:ascii="Garamond" w:hAnsi="Garamond"/>
          <w:sz w:val="24"/>
          <w:szCs w:val="24"/>
        </w:rPr>
        <w:t xml:space="preserve"> de aplicação desta política</w:t>
      </w:r>
      <w:r w:rsidR="00EC41AA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essencial para a construção do previsto mercado interno.</w:t>
      </w:r>
      <w:r w:rsidR="00DA4549">
        <w:rPr>
          <w:rFonts w:ascii="Garamond" w:hAnsi="Garamond"/>
          <w:sz w:val="24"/>
          <w:szCs w:val="24"/>
        </w:rPr>
        <w:t xml:space="preserve"> Regras </w:t>
      </w:r>
      <w:r w:rsidR="000403F8">
        <w:rPr>
          <w:rFonts w:ascii="Garamond" w:hAnsi="Garamond"/>
          <w:sz w:val="24"/>
          <w:szCs w:val="24"/>
        </w:rPr>
        <w:t xml:space="preserve">de princípio </w:t>
      </w:r>
      <w:r w:rsidR="00DA4549">
        <w:rPr>
          <w:rFonts w:ascii="Garamond" w:hAnsi="Garamond"/>
          <w:sz w:val="24"/>
          <w:szCs w:val="24"/>
        </w:rPr>
        <w:t xml:space="preserve">previstas no Tratado da União Europeia (TUE) e mais </w:t>
      </w:r>
      <w:r w:rsidR="000403F8">
        <w:rPr>
          <w:rFonts w:ascii="Garamond" w:hAnsi="Garamond"/>
          <w:sz w:val="24"/>
          <w:szCs w:val="24"/>
        </w:rPr>
        <w:t>em pormenor</w:t>
      </w:r>
      <w:r w:rsidR="00DA4549">
        <w:rPr>
          <w:rFonts w:ascii="Garamond" w:hAnsi="Garamond"/>
          <w:sz w:val="24"/>
          <w:szCs w:val="24"/>
        </w:rPr>
        <w:t xml:space="preserve"> no Tratado sobre o Funcionamento da União Europeia (TFUE)</w:t>
      </w:r>
      <w:r w:rsidR="000403F8">
        <w:rPr>
          <w:rFonts w:ascii="Garamond" w:hAnsi="Garamond"/>
          <w:sz w:val="24"/>
          <w:szCs w:val="24"/>
        </w:rPr>
        <w:t xml:space="preserve"> no sentido de prever comportamentos</w:t>
      </w:r>
      <w:r w:rsidR="005271B0">
        <w:rPr>
          <w:rFonts w:ascii="Garamond" w:hAnsi="Garamond"/>
          <w:sz w:val="24"/>
          <w:szCs w:val="24"/>
        </w:rPr>
        <w:t xml:space="preserve"> – anti concorrenciais, individuais ou </w:t>
      </w:r>
      <w:proofErr w:type="spellStart"/>
      <w:r w:rsidR="005271B0">
        <w:rPr>
          <w:rFonts w:ascii="Garamond" w:hAnsi="Garamond"/>
          <w:sz w:val="24"/>
          <w:szCs w:val="24"/>
        </w:rPr>
        <w:t>colectivos</w:t>
      </w:r>
      <w:proofErr w:type="spellEnd"/>
      <w:r w:rsidR="005271B0">
        <w:rPr>
          <w:rFonts w:ascii="Garamond" w:hAnsi="Garamond"/>
          <w:sz w:val="24"/>
          <w:szCs w:val="24"/>
        </w:rPr>
        <w:t xml:space="preserve"> e mesmo por parte do Estado –</w:t>
      </w:r>
      <w:r w:rsidR="000403F8">
        <w:rPr>
          <w:rFonts w:ascii="Garamond" w:hAnsi="Garamond"/>
          <w:sz w:val="24"/>
          <w:szCs w:val="24"/>
        </w:rPr>
        <w:t xml:space="preserve"> que coloquem em causa o funcionamento desse mercado interno e relativos a conluios entre empresas, abusos de posição dominante e auxílios estatais</w:t>
      </w:r>
      <w:r w:rsidR="00DA4549">
        <w:rPr>
          <w:rFonts w:ascii="Garamond" w:hAnsi="Garamond"/>
          <w:sz w:val="24"/>
          <w:szCs w:val="24"/>
        </w:rPr>
        <w:t>.</w:t>
      </w:r>
      <w:r>
        <w:rPr>
          <w:rFonts w:ascii="Garamond" w:hAnsi="Garamond"/>
          <w:sz w:val="24"/>
          <w:szCs w:val="24"/>
        </w:rPr>
        <w:t xml:space="preserve"> </w:t>
      </w:r>
      <w:r w:rsidR="005271B0">
        <w:rPr>
          <w:rFonts w:ascii="Garamond" w:hAnsi="Garamond"/>
          <w:sz w:val="24"/>
          <w:szCs w:val="24"/>
        </w:rPr>
        <w:t>Num q</w:t>
      </w:r>
      <w:r>
        <w:rPr>
          <w:rFonts w:ascii="Garamond" w:hAnsi="Garamond"/>
          <w:sz w:val="24"/>
          <w:szCs w:val="24"/>
        </w:rPr>
        <w:t>uadro jurídico que se manteve praticamente inalterado até aos dias presentes e que através do direito derivado alcançou uma execução que acompanhou toda a integração europeia.</w:t>
      </w:r>
      <w:r w:rsidR="00DA4549">
        <w:rPr>
          <w:rFonts w:ascii="Garamond" w:hAnsi="Garamond"/>
          <w:sz w:val="24"/>
          <w:szCs w:val="24"/>
        </w:rPr>
        <w:t xml:space="preserve"> Nos atos legislativos europeus, de salientar o </w:t>
      </w:r>
      <w:r w:rsidR="00A954A1" w:rsidRPr="00A954A1">
        <w:rPr>
          <w:rFonts w:ascii="Garamond" w:hAnsi="Garamond"/>
          <w:sz w:val="24"/>
          <w:szCs w:val="24"/>
        </w:rPr>
        <w:t xml:space="preserve">Regulamento (CE) </w:t>
      </w:r>
      <w:proofErr w:type="spellStart"/>
      <w:r w:rsidR="00A954A1" w:rsidRPr="00A954A1">
        <w:rPr>
          <w:rFonts w:ascii="Garamond" w:hAnsi="Garamond"/>
          <w:sz w:val="24"/>
          <w:szCs w:val="24"/>
        </w:rPr>
        <w:t>n.°</w:t>
      </w:r>
      <w:proofErr w:type="spellEnd"/>
      <w:r w:rsidR="00A954A1" w:rsidRPr="00A954A1">
        <w:rPr>
          <w:rFonts w:ascii="Garamond" w:hAnsi="Garamond"/>
          <w:sz w:val="24"/>
          <w:szCs w:val="24"/>
        </w:rPr>
        <w:t xml:space="preserve"> 1</w:t>
      </w:r>
      <w:r w:rsidR="00FA728B">
        <w:rPr>
          <w:rFonts w:ascii="Garamond" w:hAnsi="Garamond"/>
          <w:sz w:val="24"/>
          <w:szCs w:val="24"/>
        </w:rPr>
        <w:t>/</w:t>
      </w:r>
      <w:r w:rsidR="00A954A1" w:rsidRPr="00A954A1">
        <w:rPr>
          <w:rFonts w:ascii="Garamond" w:hAnsi="Garamond"/>
          <w:sz w:val="24"/>
          <w:szCs w:val="24"/>
        </w:rPr>
        <w:t xml:space="preserve">2003 do Conselho </w:t>
      </w:r>
      <w:r w:rsidR="00DA4549">
        <w:rPr>
          <w:rFonts w:ascii="Garamond" w:hAnsi="Garamond"/>
          <w:sz w:val="24"/>
          <w:szCs w:val="24"/>
        </w:rPr>
        <w:t xml:space="preserve">sobre a execução dos artigos do TFUE aplicáveis às empresas e o </w:t>
      </w:r>
      <w:r w:rsidR="00A954A1" w:rsidRPr="00A954A1">
        <w:rPr>
          <w:rFonts w:ascii="Garamond" w:hAnsi="Garamond"/>
          <w:sz w:val="24"/>
          <w:szCs w:val="24"/>
        </w:rPr>
        <w:t>Regulamento (CE) n.º 139/2004 do Conselho</w:t>
      </w:r>
      <w:r w:rsidR="00DA4549">
        <w:rPr>
          <w:rFonts w:ascii="Garamond" w:hAnsi="Garamond"/>
          <w:sz w:val="24"/>
          <w:szCs w:val="24"/>
        </w:rPr>
        <w:t xml:space="preserve"> quanto à concentração de empresas.</w:t>
      </w:r>
    </w:p>
    <w:p w14:paraId="6100D980" w14:textId="23F39C72" w:rsidR="00EF68C3" w:rsidRDefault="00EF68C3" w:rsidP="002B02FA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Anualmente, podemos acompanhar o progresso da política da concorrência através de relatório</w:t>
      </w:r>
      <w:r w:rsidR="001C3507">
        <w:rPr>
          <w:rFonts w:ascii="Garamond" w:hAnsi="Garamond"/>
          <w:sz w:val="24"/>
          <w:szCs w:val="24"/>
        </w:rPr>
        <w:t>s</w:t>
      </w:r>
      <w:r>
        <w:rPr>
          <w:rFonts w:ascii="Garamond" w:hAnsi="Garamond"/>
          <w:sz w:val="24"/>
          <w:szCs w:val="24"/>
        </w:rPr>
        <w:t xml:space="preserve"> da Comissão Europeia, no </w:t>
      </w:r>
      <w:r w:rsidR="001C3507">
        <w:rPr>
          <w:rFonts w:ascii="Garamond" w:hAnsi="Garamond"/>
          <w:sz w:val="24"/>
          <w:szCs w:val="24"/>
        </w:rPr>
        <w:t>mais rec</w:t>
      </w:r>
      <w:r>
        <w:rPr>
          <w:rFonts w:ascii="Garamond" w:hAnsi="Garamond"/>
          <w:sz w:val="24"/>
          <w:szCs w:val="24"/>
        </w:rPr>
        <w:t xml:space="preserve">ente o </w:t>
      </w:r>
      <w:r w:rsidR="001C3507" w:rsidRPr="001C3507">
        <w:rPr>
          <w:rFonts w:ascii="Garamond" w:hAnsi="Garamond"/>
          <w:i/>
          <w:iCs/>
          <w:sz w:val="24"/>
          <w:szCs w:val="24"/>
        </w:rPr>
        <w:t>Relatório da Comissão</w:t>
      </w:r>
      <w:r w:rsidR="001C3507" w:rsidRPr="001C3507">
        <w:rPr>
          <w:rFonts w:ascii="Garamond" w:hAnsi="Garamond"/>
          <w:sz w:val="24"/>
          <w:szCs w:val="24"/>
        </w:rPr>
        <w:t xml:space="preserve"> </w:t>
      </w:r>
      <w:r w:rsidR="001C3507" w:rsidRPr="001C3507">
        <w:rPr>
          <w:rFonts w:ascii="Garamond" w:hAnsi="Garamond"/>
          <w:i/>
          <w:iCs/>
          <w:sz w:val="24"/>
          <w:szCs w:val="24"/>
        </w:rPr>
        <w:t>sobre a Política de Concorrência 2023</w:t>
      </w:r>
      <w:r w:rsidR="001C3507" w:rsidRPr="001C3507">
        <w:rPr>
          <w:rFonts w:ascii="Garamond" w:hAnsi="Garamond"/>
          <w:sz w:val="24"/>
          <w:szCs w:val="24"/>
        </w:rPr>
        <w:t xml:space="preserve"> de 06.03.2024</w:t>
      </w:r>
      <w:r>
        <w:rPr>
          <w:rFonts w:ascii="Garamond" w:hAnsi="Garamond"/>
          <w:sz w:val="24"/>
          <w:szCs w:val="24"/>
        </w:rPr>
        <w:t>.</w:t>
      </w:r>
      <w:r w:rsidR="00FA728B">
        <w:rPr>
          <w:rFonts w:ascii="Garamond" w:hAnsi="Garamond"/>
          <w:sz w:val="24"/>
          <w:szCs w:val="24"/>
        </w:rPr>
        <w:t xml:space="preserve"> Pois é esta a instituição responsável pela aplicação da política da concorrência.</w:t>
      </w:r>
      <w:r w:rsidR="00835DFF">
        <w:rPr>
          <w:rFonts w:ascii="Garamond" w:hAnsi="Garamond"/>
          <w:sz w:val="24"/>
          <w:szCs w:val="24"/>
        </w:rPr>
        <w:t xml:space="preserve"> E aí se encontram as novas vertentes são incorporadas nas preocupações do direito da concorrência tais como os desafios digitais e a sustentabilidade</w:t>
      </w:r>
      <w:r w:rsidR="002B02FA">
        <w:rPr>
          <w:rFonts w:ascii="Garamond" w:hAnsi="Garamond"/>
          <w:sz w:val="24"/>
          <w:szCs w:val="24"/>
        </w:rPr>
        <w:t xml:space="preserve"> num</w:t>
      </w:r>
      <w:r w:rsidR="002B02FA" w:rsidRPr="002B02FA">
        <w:rPr>
          <w:rFonts w:ascii="Garamond" w:hAnsi="Garamond"/>
          <w:sz w:val="24"/>
          <w:szCs w:val="24"/>
        </w:rPr>
        <w:t xml:space="preserve">a UE regional </w:t>
      </w:r>
      <w:r w:rsidR="002B02FA">
        <w:rPr>
          <w:rFonts w:ascii="Garamond" w:hAnsi="Garamond"/>
          <w:sz w:val="24"/>
          <w:szCs w:val="24"/>
        </w:rPr>
        <w:t>para</w:t>
      </w:r>
      <w:r w:rsidR="002B02FA" w:rsidRPr="002B02FA">
        <w:rPr>
          <w:rFonts w:ascii="Garamond" w:hAnsi="Garamond"/>
          <w:sz w:val="24"/>
          <w:szCs w:val="24"/>
        </w:rPr>
        <w:t xml:space="preserve"> um modelo de governança internacional</w:t>
      </w:r>
      <w:r w:rsidR="002B02FA">
        <w:rPr>
          <w:rFonts w:ascii="Garamond" w:hAnsi="Garamond"/>
          <w:sz w:val="24"/>
          <w:szCs w:val="24"/>
        </w:rPr>
        <w:t>.</w:t>
      </w:r>
    </w:p>
    <w:p w14:paraId="53E731D2" w14:textId="16FEF8D6" w:rsidR="00DA4549" w:rsidRDefault="00DA4549" w:rsidP="0003771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Sem esquecer uma visão sobre a jurisprudência do Tribunal de Justiça da União Europeia (TJUE), que neste campo, como em toda a integração europeia, se tem demonstrado vital para explicitar e densificar os conceitos inerentes ao direito da concorrência.</w:t>
      </w:r>
    </w:p>
    <w:p w14:paraId="72BFE06F" w14:textId="5532D171" w:rsidR="00DA4549" w:rsidRDefault="00DA4549" w:rsidP="00037719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lastRenderedPageBreak/>
        <w:t xml:space="preserve">Com esta visão </w:t>
      </w:r>
      <w:proofErr w:type="spellStart"/>
      <w:r>
        <w:rPr>
          <w:rFonts w:ascii="Garamond" w:hAnsi="Garamond"/>
          <w:sz w:val="24"/>
          <w:szCs w:val="24"/>
        </w:rPr>
        <w:t>eurocomunitária</w:t>
      </w:r>
      <w:proofErr w:type="spellEnd"/>
      <w:r>
        <w:rPr>
          <w:rFonts w:ascii="Garamond" w:hAnsi="Garamond"/>
          <w:sz w:val="24"/>
          <w:szCs w:val="24"/>
        </w:rPr>
        <w:t xml:space="preserve">, necessariamente resulta uma consequência no direito nacional português, no caso pela </w:t>
      </w:r>
      <w:r w:rsidR="00A954A1" w:rsidRPr="00A954A1">
        <w:rPr>
          <w:rFonts w:ascii="Garamond" w:hAnsi="Garamond"/>
          <w:sz w:val="24"/>
          <w:szCs w:val="24"/>
        </w:rPr>
        <w:t>Lei n.º 19/2012 (na sua versão atualizada)</w:t>
      </w:r>
      <w:r w:rsidRPr="00A954A1">
        <w:rPr>
          <w:rFonts w:ascii="Garamond" w:hAnsi="Garamond"/>
          <w:sz w:val="24"/>
          <w:szCs w:val="24"/>
        </w:rPr>
        <w:t xml:space="preserve"> e</w:t>
      </w:r>
      <w:r>
        <w:rPr>
          <w:rFonts w:ascii="Garamond" w:hAnsi="Garamond"/>
          <w:sz w:val="24"/>
          <w:szCs w:val="24"/>
        </w:rPr>
        <w:t xml:space="preserve"> aplicação pela Autoridade da Concorrência nacional.</w:t>
      </w:r>
    </w:p>
    <w:p w14:paraId="0BA67E18" w14:textId="30052AAD" w:rsidR="00F517A9" w:rsidRDefault="00DA4549" w:rsidP="005271B0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Num trabalho em progresso, </w:t>
      </w:r>
      <w:r w:rsidR="00DC703E">
        <w:rPr>
          <w:rFonts w:ascii="Garamond" w:hAnsi="Garamond"/>
          <w:sz w:val="24"/>
          <w:szCs w:val="24"/>
        </w:rPr>
        <w:t>busca</w:t>
      </w:r>
      <w:r>
        <w:rPr>
          <w:rFonts w:ascii="Garamond" w:hAnsi="Garamond"/>
          <w:sz w:val="24"/>
          <w:szCs w:val="24"/>
        </w:rPr>
        <w:t xml:space="preserve"> </w:t>
      </w:r>
      <w:r w:rsidR="00DC703E">
        <w:rPr>
          <w:rFonts w:ascii="Garamond" w:hAnsi="Garamond"/>
          <w:sz w:val="24"/>
          <w:szCs w:val="24"/>
        </w:rPr>
        <w:t>a</w:t>
      </w:r>
      <w:r>
        <w:rPr>
          <w:rFonts w:ascii="Garamond" w:hAnsi="Garamond"/>
          <w:sz w:val="24"/>
          <w:szCs w:val="24"/>
        </w:rPr>
        <w:t xml:space="preserve"> autor</w:t>
      </w:r>
      <w:r w:rsidR="00DC703E">
        <w:rPr>
          <w:rFonts w:ascii="Garamond" w:hAnsi="Garamond"/>
          <w:sz w:val="24"/>
          <w:szCs w:val="24"/>
        </w:rPr>
        <w:t>a</w:t>
      </w:r>
      <w:r>
        <w:rPr>
          <w:rFonts w:ascii="Garamond" w:hAnsi="Garamond"/>
          <w:sz w:val="24"/>
          <w:szCs w:val="24"/>
        </w:rPr>
        <w:t xml:space="preserve"> tornar percetível a abordagem ao mundo do direito da concorrência, a que</w:t>
      </w:r>
      <w:r w:rsidR="00FA728B">
        <w:rPr>
          <w:rFonts w:ascii="Garamond" w:hAnsi="Garamond"/>
          <w:sz w:val="24"/>
          <w:szCs w:val="24"/>
        </w:rPr>
        <w:t>, por vezes,</w:t>
      </w:r>
      <w:r>
        <w:rPr>
          <w:rFonts w:ascii="Garamond" w:hAnsi="Garamond"/>
          <w:sz w:val="24"/>
          <w:szCs w:val="24"/>
        </w:rPr>
        <w:t xml:space="preserve"> só especialistas têm acesso</w:t>
      </w:r>
      <w:r w:rsidR="00A954A1">
        <w:rPr>
          <w:rFonts w:ascii="Garamond" w:hAnsi="Garamond"/>
          <w:sz w:val="24"/>
          <w:szCs w:val="24"/>
        </w:rPr>
        <w:t xml:space="preserve"> e, contudo, se reflete no quotidiano dos consumidores europeus</w:t>
      </w:r>
      <w:r>
        <w:rPr>
          <w:rFonts w:ascii="Garamond" w:hAnsi="Garamond"/>
          <w:sz w:val="24"/>
          <w:szCs w:val="24"/>
        </w:rPr>
        <w:t>.</w:t>
      </w:r>
      <w:r w:rsidR="000403F8">
        <w:rPr>
          <w:rFonts w:ascii="Garamond" w:hAnsi="Garamond"/>
          <w:sz w:val="24"/>
          <w:szCs w:val="24"/>
        </w:rPr>
        <w:t xml:space="preserve"> </w:t>
      </w:r>
      <w:r w:rsidR="00FA728B">
        <w:rPr>
          <w:rFonts w:ascii="Garamond" w:hAnsi="Garamond"/>
          <w:sz w:val="24"/>
          <w:szCs w:val="24"/>
        </w:rPr>
        <w:t xml:space="preserve">Porque se a política da concorrência busca o </w:t>
      </w:r>
      <w:proofErr w:type="gramStart"/>
      <w:r w:rsidR="00FA728B">
        <w:rPr>
          <w:rFonts w:ascii="Garamond" w:hAnsi="Garamond"/>
          <w:sz w:val="24"/>
          <w:szCs w:val="24"/>
        </w:rPr>
        <w:t>bem estar</w:t>
      </w:r>
      <w:proofErr w:type="gramEnd"/>
      <w:r w:rsidR="00FA728B">
        <w:rPr>
          <w:rFonts w:ascii="Garamond" w:hAnsi="Garamond"/>
          <w:sz w:val="24"/>
          <w:szCs w:val="24"/>
        </w:rPr>
        <w:t xml:space="preserve"> dos consumidores, o futuro do direito passa pelo entendimento</w:t>
      </w:r>
      <w:r w:rsidR="005271B0">
        <w:rPr>
          <w:rFonts w:ascii="Garamond" w:hAnsi="Garamond"/>
          <w:sz w:val="24"/>
          <w:szCs w:val="24"/>
        </w:rPr>
        <w:t xml:space="preserve"> por todos eles</w:t>
      </w:r>
      <w:r w:rsidR="00FA728B">
        <w:rPr>
          <w:rFonts w:ascii="Garamond" w:hAnsi="Garamond"/>
          <w:sz w:val="24"/>
          <w:szCs w:val="24"/>
        </w:rPr>
        <w:t xml:space="preserve"> </w:t>
      </w:r>
      <w:r w:rsidR="00CD506B">
        <w:rPr>
          <w:rFonts w:ascii="Garamond" w:hAnsi="Garamond"/>
          <w:sz w:val="24"/>
          <w:szCs w:val="24"/>
        </w:rPr>
        <w:t xml:space="preserve">sobre o conteúdo e </w:t>
      </w:r>
      <w:r w:rsidR="00FA728B">
        <w:rPr>
          <w:rFonts w:ascii="Garamond" w:hAnsi="Garamond"/>
          <w:sz w:val="24"/>
          <w:szCs w:val="24"/>
        </w:rPr>
        <w:t>a importância do direito da concorrência.</w:t>
      </w:r>
    </w:p>
    <w:p w14:paraId="3D5A93F4" w14:textId="1BE4A858" w:rsidR="00835DFF" w:rsidRDefault="00835DFF" w:rsidP="005271B0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Também por ser esse foco de acessibilidade, se fundamenta o trabalho em doutrina sólida recente que traduz essa preocupação de ligação com o leitor, e não exclusivamente nos manuais demasiado técnicos.</w:t>
      </w:r>
      <w:r w:rsidR="009F7F51">
        <w:rPr>
          <w:rFonts w:ascii="Garamond" w:hAnsi="Garamond"/>
          <w:sz w:val="24"/>
          <w:szCs w:val="24"/>
        </w:rPr>
        <w:t xml:space="preserve"> E não se prescinde dos materiais institucionais europeus, de grande </w:t>
      </w:r>
      <w:proofErr w:type="gramStart"/>
      <w:r w:rsidR="009F7F51">
        <w:rPr>
          <w:rFonts w:ascii="Garamond" w:hAnsi="Garamond"/>
          <w:sz w:val="24"/>
          <w:szCs w:val="24"/>
        </w:rPr>
        <w:t>rigor</w:t>
      </w:r>
      <w:proofErr w:type="gramEnd"/>
      <w:r w:rsidR="009F7F51">
        <w:rPr>
          <w:rFonts w:ascii="Garamond" w:hAnsi="Garamond"/>
          <w:sz w:val="24"/>
          <w:szCs w:val="24"/>
        </w:rPr>
        <w:t xml:space="preserve"> mas destinados a todos os cidadãos europeus no sentido de uma educação para </w:t>
      </w:r>
      <w:r w:rsidR="00CE647F">
        <w:rPr>
          <w:rFonts w:ascii="Garamond" w:hAnsi="Garamond"/>
          <w:sz w:val="24"/>
          <w:szCs w:val="24"/>
        </w:rPr>
        <w:t>um</w:t>
      </w:r>
      <w:r w:rsidR="009F7F51">
        <w:rPr>
          <w:rFonts w:ascii="Garamond" w:hAnsi="Garamond"/>
          <w:sz w:val="24"/>
          <w:szCs w:val="24"/>
        </w:rPr>
        <w:t>a</w:t>
      </w:r>
      <w:r w:rsidR="00CE647F">
        <w:rPr>
          <w:rFonts w:ascii="Garamond" w:hAnsi="Garamond"/>
          <w:sz w:val="24"/>
          <w:szCs w:val="24"/>
        </w:rPr>
        <w:t xml:space="preserve"> mais completa</w:t>
      </w:r>
      <w:r w:rsidR="009F7F51">
        <w:rPr>
          <w:rFonts w:ascii="Garamond" w:hAnsi="Garamond"/>
          <w:sz w:val="24"/>
          <w:szCs w:val="24"/>
        </w:rPr>
        <w:t xml:space="preserve"> cidadania</w:t>
      </w:r>
      <w:r w:rsidR="00CE647F">
        <w:rPr>
          <w:rFonts w:ascii="Garamond" w:hAnsi="Garamond"/>
          <w:sz w:val="24"/>
          <w:szCs w:val="24"/>
        </w:rPr>
        <w:t xml:space="preserve"> futura</w:t>
      </w:r>
      <w:r w:rsidR="009F7F51">
        <w:rPr>
          <w:rFonts w:ascii="Garamond" w:hAnsi="Garamond"/>
          <w:sz w:val="24"/>
          <w:szCs w:val="24"/>
        </w:rPr>
        <w:t>.</w:t>
      </w:r>
    </w:p>
    <w:bookmarkEnd w:id="2"/>
    <w:p w14:paraId="5F663D4E" w14:textId="77777777" w:rsidR="005271B0" w:rsidRPr="00037719" w:rsidRDefault="005271B0" w:rsidP="005271B0">
      <w:pPr>
        <w:spacing w:line="360" w:lineRule="auto"/>
        <w:ind w:firstLine="708"/>
        <w:jc w:val="both"/>
        <w:rPr>
          <w:rFonts w:ascii="Garamond" w:hAnsi="Garamond"/>
          <w:sz w:val="24"/>
          <w:szCs w:val="24"/>
        </w:rPr>
      </w:pPr>
    </w:p>
    <w:p w14:paraId="4BE2BF4F" w14:textId="27D1FACB" w:rsidR="00207533" w:rsidRDefault="00207533" w:rsidP="00207533">
      <w:pPr>
        <w:spacing w:line="360" w:lineRule="auto"/>
        <w:jc w:val="both"/>
      </w:pPr>
      <w:r w:rsidRPr="00773CF6">
        <w:rPr>
          <w:b/>
          <w:bCs/>
        </w:rPr>
        <w:t xml:space="preserve">Palavras-chave: </w:t>
      </w:r>
      <w:bookmarkStart w:id="3" w:name="_Hlk193016101"/>
      <w:r w:rsidR="00FA728B" w:rsidRPr="00FA728B">
        <w:t>Comissão Europeia;</w:t>
      </w:r>
      <w:r w:rsidR="00FA728B">
        <w:rPr>
          <w:b/>
          <w:bCs/>
        </w:rPr>
        <w:t xml:space="preserve"> </w:t>
      </w:r>
      <w:r w:rsidR="00FA728B">
        <w:t>concorrência</w:t>
      </w:r>
      <w:r w:rsidR="00C9780B" w:rsidRPr="00C9780B">
        <w:t>;</w:t>
      </w:r>
      <w:r w:rsidR="00FA728B">
        <w:t xml:space="preserve"> mercado interno;</w:t>
      </w:r>
      <w:r w:rsidR="00C9780B" w:rsidRPr="00C9780B">
        <w:t xml:space="preserve"> União Europeia</w:t>
      </w:r>
      <w:bookmarkEnd w:id="3"/>
      <w:r w:rsidR="00D521A6">
        <w:t>.</w:t>
      </w:r>
    </w:p>
    <w:p w14:paraId="1CFC0783" w14:textId="77777777" w:rsidR="00207533" w:rsidRDefault="00207533" w:rsidP="00207533">
      <w:pPr>
        <w:spacing w:line="360" w:lineRule="auto"/>
        <w:jc w:val="both"/>
      </w:pPr>
    </w:p>
    <w:p w14:paraId="75116BBB" w14:textId="385EDC25" w:rsidR="00E4192F" w:rsidRPr="00E4192F" w:rsidRDefault="00207533" w:rsidP="00E4192F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Referências breves</w:t>
      </w:r>
    </w:p>
    <w:p w14:paraId="23D00F4F" w14:textId="13078572" w:rsidR="00DC703E" w:rsidRPr="000D5F6C" w:rsidRDefault="000D5F6C" w:rsidP="000D5F6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F7EE2">
        <w:rPr>
          <w:rFonts w:ascii="Times New Roman" w:hAnsi="Times New Roman" w:cs="Times New Roman"/>
          <w:sz w:val="20"/>
          <w:szCs w:val="20"/>
        </w:rPr>
        <w:t>ALVES</w:t>
      </w:r>
      <w:r w:rsidR="00DC703E" w:rsidRPr="00FF7EE2">
        <w:rPr>
          <w:rFonts w:ascii="Times New Roman" w:hAnsi="Times New Roman" w:cs="Times New Roman"/>
          <w:sz w:val="20"/>
          <w:szCs w:val="20"/>
        </w:rPr>
        <w:t>, D</w:t>
      </w:r>
      <w:r>
        <w:rPr>
          <w:rFonts w:ascii="Times New Roman" w:hAnsi="Times New Roman" w:cs="Times New Roman"/>
          <w:sz w:val="20"/>
          <w:szCs w:val="20"/>
        </w:rPr>
        <w:t>ora</w:t>
      </w:r>
      <w:r w:rsidR="00DC703E" w:rsidRPr="00FF7EE2">
        <w:rPr>
          <w:rFonts w:ascii="Times New Roman" w:hAnsi="Times New Roman" w:cs="Times New Roman"/>
          <w:sz w:val="20"/>
          <w:szCs w:val="20"/>
        </w:rPr>
        <w:t xml:space="preserve"> R</w:t>
      </w:r>
      <w:r>
        <w:rPr>
          <w:rFonts w:ascii="Times New Roman" w:hAnsi="Times New Roman" w:cs="Times New Roman"/>
          <w:sz w:val="20"/>
          <w:szCs w:val="20"/>
        </w:rPr>
        <w:t>esende</w:t>
      </w:r>
      <w:r w:rsidR="00DC703E" w:rsidRPr="00FF7EE2">
        <w:rPr>
          <w:rFonts w:ascii="Times New Roman" w:hAnsi="Times New Roman" w:cs="Times New Roman"/>
          <w:sz w:val="20"/>
          <w:szCs w:val="20"/>
        </w:rPr>
        <w:t>. Concorrência e regulação: harmonia e conceitos</w:t>
      </w:r>
      <w:r w:rsidR="00DC703E" w:rsidRPr="00FF7EE2">
        <w:rPr>
          <w:rFonts w:ascii="Times New Roman" w:hAnsi="Times New Roman" w:cs="Times New Roman"/>
          <w:i/>
          <w:iCs/>
          <w:sz w:val="20"/>
          <w:szCs w:val="20"/>
        </w:rPr>
        <w:t>.</w:t>
      </w:r>
      <w:r w:rsidR="00DC703E" w:rsidRPr="00FF7EE2">
        <w:rPr>
          <w:rFonts w:ascii="Times New Roman" w:hAnsi="Times New Roman" w:cs="Times New Roman"/>
          <w:sz w:val="20"/>
          <w:szCs w:val="20"/>
        </w:rPr>
        <w:t xml:space="preserve"> </w:t>
      </w:r>
      <w:r w:rsidR="00DC703E" w:rsidRPr="00FF7EE2">
        <w:rPr>
          <w:rFonts w:ascii="Times New Roman" w:hAnsi="Times New Roman" w:cs="Times New Roman"/>
          <w:i/>
          <w:iCs/>
          <w:sz w:val="20"/>
          <w:szCs w:val="20"/>
        </w:rPr>
        <w:t>Revista de Ciências Empresariais e Jurídicas</w:t>
      </w:r>
      <w:r w:rsidR="00DC703E" w:rsidRPr="00FF7EE2">
        <w:rPr>
          <w:rFonts w:ascii="Times New Roman" w:hAnsi="Times New Roman" w:cs="Times New Roman"/>
          <w:sz w:val="20"/>
          <w:szCs w:val="20"/>
        </w:rPr>
        <w:t xml:space="preserve">, (31), </w:t>
      </w:r>
      <w:r>
        <w:rPr>
          <w:rFonts w:ascii="Times New Roman" w:hAnsi="Times New Roman" w:cs="Times New Roman"/>
          <w:sz w:val="20"/>
          <w:szCs w:val="20"/>
        </w:rPr>
        <w:t xml:space="preserve">2021, </w:t>
      </w:r>
      <w:r w:rsidR="00DC703E" w:rsidRPr="00FF7EE2">
        <w:rPr>
          <w:rFonts w:ascii="Times New Roman" w:hAnsi="Times New Roman" w:cs="Times New Roman"/>
          <w:sz w:val="20"/>
          <w:szCs w:val="20"/>
        </w:rPr>
        <w:t xml:space="preserve">229-269. </w:t>
      </w:r>
      <w:hyperlink r:id="rId11" w:history="1">
        <w:r w:rsidR="00DC703E" w:rsidRPr="000D5F6C">
          <w:rPr>
            <w:rStyle w:val="Hiperligao"/>
            <w:rFonts w:ascii="Times New Roman" w:hAnsi="Times New Roman" w:cs="Times New Roman"/>
            <w:sz w:val="20"/>
            <w:szCs w:val="20"/>
          </w:rPr>
          <w:t>https://parc.ipp.pt/index.php/rebules/issue/view/173</w:t>
        </w:r>
      </w:hyperlink>
      <w:r w:rsidRPr="000D5F6C">
        <w:rPr>
          <w:rFonts w:ascii="Times New Roman" w:hAnsi="Times New Roman" w:cs="Times New Roman"/>
          <w:sz w:val="20"/>
          <w:szCs w:val="20"/>
        </w:rPr>
        <w:t xml:space="preserve"> </w:t>
      </w:r>
      <w:r w:rsidR="00DC703E" w:rsidRPr="000D5F6C">
        <w:rPr>
          <w:rFonts w:ascii="Times New Roman" w:hAnsi="Times New Roman" w:cs="Times New Roman"/>
          <w:sz w:val="20"/>
          <w:szCs w:val="20"/>
        </w:rPr>
        <w:t>DOI: </w:t>
      </w:r>
      <w:hyperlink r:id="rId12" w:history="1">
        <w:r w:rsidR="00DC703E" w:rsidRPr="000D5F6C">
          <w:rPr>
            <w:rStyle w:val="Hiperligao"/>
            <w:rFonts w:ascii="Times New Roman" w:hAnsi="Times New Roman" w:cs="Times New Roman"/>
            <w:sz w:val="20"/>
            <w:szCs w:val="20"/>
          </w:rPr>
          <w:t>https://doi.org/10.26537/rcej.vi31</w:t>
        </w:r>
      </w:hyperlink>
      <w:r w:rsidR="00DC703E" w:rsidRPr="000D5F6C">
        <w:rPr>
          <w:rFonts w:ascii="Times New Roman" w:hAnsi="Times New Roman" w:cs="Times New Roman"/>
          <w:sz w:val="20"/>
          <w:szCs w:val="20"/>
        </w:rPr>
        <w:t xml:space="preserve"> ISSN: 1646-1029 </w:t>
      </w:r>
    </w:p>
    <w:p w14:paraId="7EF121D6" w14:textId="77777777" w:rsidR="00DC703E" w:rsidRPr="000D5F6C" w:rsidRDefault="00DC703E" w:rsidP="00FF7EE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03273ACD" w14:textId="77777777" w:rsidR="00784F6D" w:rsidRDefault="000D5F6C" w:rsidP="000D5F6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F7EE2">
        <w:rPr>
          <w:rFonts w:ascii="Times New Roman" w:hAnsi="Times New Roman" w:cs="Times New Roman"/>
          <w:sz w:val="20"/>
          <w:szCs w:val="20"/>
        </w:rPr>
        <w:t>ALVES, D</w:t>
      </w:r>
      <w:r>
        <w:rPr>
          <w:rFonts w:ascii="Times New Roman" w:hAnsi="Times New Roman" w:cs="Times New Roman"/>
          <w:sz w:val="20"/>
          <w:szCs w:val="20"/>
        </w:rPr>
        <w:t>ora</w:t>
      </w:r>
      <w:r w:rsidRPr="00FF7EE2">
        <w:rPr>
          <w:rFonts w:ascii="Times New Roman" w:hAnsi="Times New Roman" w:cs="Times New Roman"/>
          <w:sz w:val="20"/>
          <w:szCs w:val="20"/>
        </w:rPr>
        <w:t xml:space="preserve"> R</w:t>
      </w:r>
      <w:r>
        <w:rPr>
          <w:rFonts w:ascii="Times New Roman" w:hAnsi="Times New Roman" w:cs="Times New Roman"/>
          <w:sz w:val="20"/>
          <w:szCs w:val="20"/>
        </w:rPr>
        <w:t>esende</w:t>
      </w:r>
      <w:r w:rsidRPr="00FF7EE2">
        <w:rPr>
          <w:rFonts w:ascii="Times New Roman" w:hAnsi="Times New Roman" w:cs="Times New Roman"/>
          <w:sz w:val="20"/>
          <w:szCs w:val="20"/>
        </w:rPr>
        <w:t xml:space="preserve">. </w:t>
      </w:r>
      <w:r>
        <w:rPr>
          <w:rFonts w:ascii="Times New Roman" w:hAnsi="Times New Roman" w:cs="Times New Roman"/>
          <w:sz w:val="20"/>
          <w:szCs w:val="20"/>
        </w:rPr>
        <w:t>e</w:t>
      </w:r>
      <w:r w:rsidR="00DC703E" w:rsidRPr="00FF7EE2">
        <w:rPr>
          <w:rFonts w:ascii="Times New Roman" w:hAnsi="Times New Roman" w:cs="Times New Roman"/>
          <w:sz w:val="20"/>
          <w:szCs w:val="20"/>
        </w:rPr>
        <w:t xml:space="preserve"> </w:t>
      </w:r>
      <w:r w:rsidRPr="00FF7EE2">
        <w:rPr>
          <w:rFonts w:ascii="Times New Roman" w:hAnsi="Times New Roman" w:cs="Times New Roman"/>
          <w:sz w:val="20"/>
          <w:szCs w:val="20"/>
        </w:rPr>
        <w:t>SOUSA</w:t>
      </w:r>
      <w:r w:rsidR="00DC703E" w:rsidRPr="00FF7EE2">
        <w:rPr>
          <w:rFonts w:ascii="Times New Roman" w:hAnsi="Times New Roman" w:cs="Times New Roman"/>
          <w:sz w:val="20"/>
          <w:szCs w:val="20"/>
        </w:rPr>
        <w:t>, J</w:t>
      </w:r>
      <w:r>
        <w:rPr>
          <w:rFonts w:ascii="Times New Roman" w:hAnsi="Times New Roman" w:cs="Times New Roman"/>
          <w:sz w:val="20"/>
          <w:szCs w:val="20"/>
        </w:rPr>
        <w:t>oão Pedro</w:t>
      </w:r>
      <w:r w:rsidR="00DC703E" w:rsidRPr="00FF7EE2">
        <w:rPr>
          <w:rFonts w:ascii="Times New Roman" w:hAnsi="Times New Roman" w:cs="Times New Roman"/>
          <w:sz w:val="20"/>
          <w:szCs w:val="20"/>
        </w:rPr>
        <w:t xml:space="preserve">. A aplicação do Direito da União Europeia: Tópicos de Soft </w:t>
      </w:r>
      <w:proofErr w:type="spellStart"/>
      <w:r w:rsidR="00DC703E" w:rsidRPr="00FF7EE2">
        <w:rPr>
          <w:rFonts w:ascii="Times New Roman" w:hAnsi="Times New Roman" w:cs="Times New Roman"/>
          <w:sz w:val="20"/>
          <w:szCs w:val="20"/>
        </w:rPr>
        <w:t>Law</w:t>
      </w:r>
      <w:proofErr w:type="spellEnd"/>
      <w:r w:rsidR="00DC703E" w:rsidRPr="00FF7EE2">
        <w:rPr>
          <w:rFonts w:ascii="Times New Roman" w:hAnsi="Times New Roman" w:cs="Times New Roman"/>
          <w:sz w:val="20"/>
          <w:szCs w:val="20"/>
        </w:rPr>
        <w:t xml:space="preserve"> e o caso do Direito do Consumo. </w:t>
      </w:r>
      <w:r w:rsidR="00DC703E" w:rsidRPr="00FF7EE2">
        <w:rPr>
          <w:rFonts w:ascii="Times New Roman" w:hAnsi="Times New Roman" w:cs="Times New Roman"/>
          <w:i/>
          <w:iCs/>
          <w:sz w:val="20"/>
          <w:szCs w:val="20"/>
        </w:rPr>
        <w:t xml:space="preserve">Revista de Direito da ULP = ULP </w:t>
      </w:r>
      <w:proofErr w:type="spellStart"/>
      <w:r w:rsidR="00DC703E" w:rsidRPr="00FF7EE2">
        <w:rPr>
          <w:rFonts w:ascii="Times New Roman" w:hAnsi="Times New Roman" w:cs="Times New Roman"/>
          <w:i/>
          <w:iCs/>
          <w:sz w:val="20"/>
          <w:szCs w:val="20"/>
        </w:rPr>
        <w:t>Law</w:t>
      </w:r>
      <w:proofErr w:type="spellEnd"/>
      <w:r w:rsidR="00DC703E" w:rsidRPr="00FF7EE2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="00DC703E" w:rsidRPr="00FF7EE2">
        <w:rPr>
          <w:rFonts w:ascii="Times New Roman" w:hAnsi="Times New Roman" w:cs="Times New Roman"/>
          <w:i/>
          <w:iCs/>
          <w:sz w:val="20"/>
          <w:szCs w:val="20"/>
        </w:rPr>
        <w:t>Review</w:t>
      </w:r>
      <w:proofErr w:type="spellEnd"/>
      <w:r w:rsidR="00DC703E" w:rsidRPr="00FF7EE2">
        <w:rPr>
          <w:rFonts w:ascii="Times New Roman" w:hAnsi="Times New Roman" w:cs="Times New Roman"/>
          <w:sz w:val="20"/>
          <w:szCs w:val="20"/>
        </w:rPr>
        <w:t xml:space="preserve">, 17(1), </w:t>
      </w:r>
      <w:r>
        <w:rPr>
          <w:rFonts w:ascii="Times New Roman" w:hAnsi="Times New Roman" w:cs="Times New Roman"/>
          <w:sz w:val="20"/>
          <w:szCs w:val="20"/>
        </w:rPr>
        <w:t xml:space="preserve">2024, </w:t>
      </w:r>
      <w:r w:rsidR="00DC703E" w:rsidRPr="00FF7EE2">
        <w:rPr>
          <w:rFonts w:ascii="Times New Roman" w:hAnsi="Times New Roman" w:cs="Times New Roman"/>
          <w:sz w:val="20"/>
          <w:szCs w:val="20"/>
        </w:rPr>
        <w:t>46-67.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hyperlink r:id="rId13" w:history="1">
        <w:r w:rsidRPr="002318F4">
          <w:rPr>
            <w:rStyle w:val="Hiperligao"/>
            <w:rFonts w:ascii="Times New Roman" w:hAnsi="Times New Roman" w:cs="Times New Roman"/>
            <w:sz w:val="20"/>
            <w:szCs w:val="20"/>
          </w:rPr>
          <w:t>https://doi.org/10.46294/ul-plr%20-%20rdul-p.v17i1.9087</w:t>
        </w:r>
      </w:hyperlink>
      <w:r w:rsidR="00DC703E" w:rsidRPr="00FF7EE2">
        <w:rPr>
          <w:rFonts w:ascii="Times New Roman" w:hAnsi="Times New Roman" w:cs="Times New Roman"/>
          <w:sz w:val="20"/>
          <w:szCs w:val="20"/>
        </w:rPr>
        <w:t>.</w:t>
      </w:r>
    </w:p>
    <w:p w14:paraId="38254ED1" w14:textId="4284FE94" w:rsidR="008C1AF1" w:rsidRPr="000D5F6C" w:rsidRDefault="00ED6A6F" w:rsidP="000D5F6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hyperlink r:id="rId14" w:history="1">
        <w:r w:rsidR="00DC703E" w:rsidRPr="000D5F6C">
          <w:rPr>
            <w:rStyle w:val="Hiperligao"/>
            <w:rFonts w:ascii="Times New Roman" w:hAnsi="Times New Roman" w:cs="Times New Roman"/>
            <w:sz w:val="20"/>
            <w:szCs w:val="20"/>
          </w:rPr>
          <w:t>https://revistas.ulusofona.pt/index.php/rfdulp/issue/view/869</w:t>
        </w:r>
      </w:hyperlink>
      <w:r w:rsidR="00DC703E" w:rsidRPr="000D5F6C">
        <w:rPr>
          <w:rFonts w:ascii="Times New Roman" w:hAnsi="Times New Roman" w:cs="Times New Roman"/>
          <w:sz w:val="20"/>
          <w:szCs w:val="20"/>
        </w:rPr>
        <w:t xml:space="preserve"> </w:t>
      </w:r>
      <w:bookmarkStart w:id="4" w:name="_Hlk177074266"/>
      <w:r w:rsidR="00DC703E" w:rsidRPr="000D5F6C">
        <w:rPr>
          <w:rFonts w:ascii="Times New Roman" w:hAnsi="Times New Roman" w:cs="Times New Roman"/>
          <w:sz w:val="20"/>
          <w:szCs w:val="20"/>
        </w:rPr>
        <w:t>ISSN: 2795-5257</w:t>
      </w:r>
      <w:bookmarkEnd w:id="4"/>
    </w:p>
    <w:p w14:paraId="6C8AD7B2" w14:textId="77777777" w:rsidR="008B29AC" w:rsidRPr="00FF7EE2" w:rsidRDefault="008B29AC" w:rsidP="00FF7EE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7E2EFB2C" w14:textId="209B76C5" w:rsidR="00FA728B" w:rsidRPr="00FF7EE2" w:rsidRDefault="000D5F6C" w:rsidP="00FF7EE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FF7EE2">
        <w:rPr>
          <w:rFonts w:ascii="Times New Roman" w:hAnsi="Times New Roman" w:cs="Times New Roman"/>
          <w:sz w:val="20"/>
          <w:szCs w:val="20"/>
        </w:rPr>
        <w:t>BALTAZAR</w:t>
      </w:r>
      <w:r w:rsidR="00FA728B" w:rsidRPr="00FF7EE2">
        <w:rPr>
          <w:rFonts w:ascii="Times New Roman" w:hAnsi="Times New Roman" w:cs="Times New Roman"/>
          <w:sz w:val="20"/>
          <w:szCs w:val="20"/>
        </w:rPr>
        <w:t xml:space="preserve">, Isabel e </w:t>
      </w:r>
      <w:r w:rsidRPr="00FF7EE2">
        <w:rPr>
          <w:rFonts w:ascii="Times New Roman" w:hAnsi="Times New Roman" w:cs="Times New Roman"/>
          <w:sz w:val="20"/>
          <w:szCs w:val="20"/>
        </w:rPr>
        <w:t>PACHECO</w:t>
      </w:r>
      <w:r w:rsidR="00FA728B" w:rsidRPr="00FF7EE2">
        <w:rPr>
          <w:rFonts w:ascii="Times New Roman" w:hAnsi="Times New Roman" w:cs="Times New Roman"/>
          <w:sz w:val="20"/>
          <w:szCs w:val="20"/>
        </w:rPr>
        <w:t>, Fátima (</w:t>
      </w:r>
      <w:proofErr w:type="spellStart"/>
      <w:r w:rsidR="00FA728B" w:rsidRPr="00FF7EE2">
        <w:rPr>
          <w:rFonts w:ascii="Times New Roman" w:hAnsi="Times New Roman" w:cs="Times New Roman"/>
          <w:sz w:val="20"/>
          <w:szCs w:val="20"/>
        </w:rPr>
        <w:t>Coord</w:t>
      </w:r>
      <w:proofErr w:type="spellEnd"/>
      <w:r w:rsidR="00FA728B" w:rsidRPr="00FF7EE2">
        <w:rPr>
          <w:rFonts w:ascii="Times New Roman" w:hAnsi="Times New Roman" w:cs="Times New Roman"/>
          <w:sz w:val="20"/>
          <w:szCs w:val="20"/>
        </w:rPr>
        <w:t xml:space="preserve">.), </w:t>
      </w:r>
      <w:r w:rsidR="00FA728B" w:rsidRPr="00FF7EE2">
        <w:rPr>
          <w:rFonts w:ascii="Times New Roman" w:hAnsi="Times New Roman" w:cs="Times New Roman"/>
          <w:i/>
          <w:iCs/>
          <w:sz w:val="20"/>
          <w:szCs w:val="20"/>
        </w:rPr>
        <w:t>Dicionário de Valores Europeus</w:t>
      </w:r>
      <w:r w:rsidR="00FA728B" w:rsidRPr="00FF7EE2">
        <w:rPr>
          <w:rFonts w:ascii="Times New Roman" w:hAnsi="Times New Roman" w:cs="Times New Roman"/>
          <w:sz w:val="20"/>
          <w:szCs w:val="20"/>
        </w:rPr>
        <w:t xml:space="preserve">. </w:t>
      </w:r>
      <w:proofErr w:type="spellStart"/>
      <w:r w:rsidR="00FA728B" w:rsidRPr="00FF7EE2">
        <w:rPr>
          <w:rFonts w:ascii="Times New Roman" w:hAnsi="Times New Roman" w:cs="Times New Roman"/>
          <w:sz w:val="20"/>
          <w:szCs w:val="20"/>
        </w:rPr>
        <w:t>Petrony</w:t>
      </w:r>
      <w:proofErr w:type="spellEnd"/>
      <w:r w:rsidR="00FA728B" w:rsidRPr="00FF7EE2">
        <w:rPr>
          <w:rFonts w:ascii="Times New Roman" w:hAnsi="Times New Roman" w:cs="Times New Roman"/>
          <w:sz w:val="20"/>
          <w:szCs w:val="20"/>
        </w:rPr>
        <w:t>, 2025. ISBN 978-972-685-347-3</w:t>
      </w:r>
    </w:p>
    <w:p w14:paraId="39B798BA" w14:textId="77777777" w:rsidR="00FA728B" w:rsidRPr="00FF7EE2" w:rsidRDefault="00FA728B" w:rsidP="00FF7EE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4003F2FE" w14:textId="4FEC8C90" w:rsidR="00FF7EE2" w:rsidRPr="00FF7EE2" w:rsidRDefault="00FF7EE2" w:rsidP="003C57E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A6A88">
        <w:rPr>
          <w:rFonts w:ascii="Times New Roman" w:hAnsi="Times New Roman" w:cs="Times New Roman"/>
          <w:sz w:val="20"/>
          <w:szCs w:val="20"/>
          <w:lang w:eastAsia="pt-PT"/>
        </w:rPr>
        <w:t xml:space="preserve">BRANDÃO, Ana Paula; COUTINHO, Francisco Pereira; CAMISÃO, Isabel; ABREU, Joana Covelo (coord.). </w:t>
      </w:r>
      <w:r w:rsidRPr="00FF7EE2">
        <w:rPr>
          <w:rFonts w:ascii="Times New Roman" w:hAnsi="Times New Roman" w:cs="Times New Roman"/>
          <w:i/>
          <w:iCs/>
          <w:sz w:val="20"/>
          <w:szCs w:val="20"/>
        </w:rPr>
        <w:t xml:space="preserve">Enciclopédia da </w:t>
      </w:r>
      <w:proofErr w:type="gramStart"/>
      <w:r w:rsidRPr="00FF7EE2">
        <w:rPr>
          <w:rFonts w:ascii="Times New Roman" w:hAnsi="Times New Roman" w:cs="Times New Roman"/>
          <w:i/>
          <w:iCs/>
          <w:sz w:val="20"/>
          <w:szCs w:val="20"/>
        </w:rPr>
        <w:t>União  Europeia</w:t>
      </w:r>
      <w:proofErr w:type="gramEnd"/>
      <w:r w:rsidRPr="00FF7EE2">
        <w:rPr>
          <w:rFonts w:ascii="Times New Roman" w:hAnsi="Times New Roman" w:cs="Times New Roman"/>
          <w:i/>
          <w:iCs/>
          <w:sz w:val="20"/>
          <w:szCs w:val="20"/>
        </w:rPr>
        <w:t>,</w:t>
      </w:r>
      <w:r w:rsidRPr="00FF7EE2">
        <w:rPr>
          <w:rFonts w:ascii="Times New Roman" w:hAnsi="Times New Roman" w:cs="Times New Roman"/>
          <w:sz w:val="20"/>
          <w:szCs w:val="20"/>
        </w:rPr>
        <w:t xml:space="preserve"> Editora </w:t>
      </w:r>
      <w:proofErr w:type="spellStart"/>
      <w:r w:rsidRPr="00FF7EE2">
        <w:rPr>
          <w:rFonts w:ascii="Times New Roman" w:hAnsi="Times New Roman" w:cs="Times New Roman"/>
          <w:sz w:val="20"/>
          <w:szCs w:val="20"/>
        </w:rPr>
        <w:t>Petrony</w:t>
      </w:r>
      <w:proofErr w:type="spellEnd"/>
      <w:r w:rsidRPr="00FF7EE2">
        <w:rPr>
          <w:rFonts w:ascii="Times New Roman" w:hAnsi="Times New Roman" w:cs="Times New Roman"/>
          <w:sz w:val="20"/>
          <w:szCs w:val="20"/>
        </w:rPr>
        <w:t>, 2017. ISBN 978-972-685-239-1.</w:t>
      </w:r>
    </w:p>
    <w:p w14:paraId="380DB118" w14:textId="77777777" w:rsidR="00FF7EE2" w:rsidRPr="00FF7EE2" w:rsidRDefault="00FF7EE2" w:rsidP="00FF7EE2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1F88BA60" w14:textId="5D29B7EA" w:rsidR="008B29AC" w:rsidRPr="00FF7EE2" w:rsidRDefault="000D5F6C" w:rsidP="00FF7EE2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</w:pPr>
      <w:r w:rsidRPr="00FF7EE2">
        <w:rPr>
          <w:rFonts w:ascii="Times New Roman" w:hAnsi="Times New Roman" w:cs="Times New Roman"/>
          <w:color w:val="262626"/>
          <w:sz w:val="20"/>
          <w:szCs w:val="20"/>
        </w:rPr>
        <w:t>CANOTILHO</w:t>
      </w:r>
      <w:r w:rsidR="008B29AC" w:rsidRPr="00FF7EE2">
        <w:rPr>
          <w:rFonts w:ascii="Times New Roman" w:hAnsi="Times New Roman" w:cs="Times New Roman"/>
          <w:color w:val="262626"/>
          <w:sz w:val="20"/>
          <w:szCs w:val="20"/>
        </w:rPr>
        <w:t xml:space="preserve">, Mariana; </w:t>
      </w:r>
      <w:r w:rsidRPr="00FF7EE2">
        <w:rPr>
          <w:rFonts w:ascii="Times New Roman" w:hAnsi="Times New Roman" w:cs="Times New Roman"/>
          <w:color w:val="262626"/>
          <w:sz w:val="20"/>
          <w:szCs w:val="20"/>
        </w:rPr>
        <w:t>FROUFE</w:t>
      </w:r>
      <w:r w:rsidR="008B29AC" w:rsidRPr="00FF7EE2">
        <w:rPr>
          <w:rFonts w:ascii="Times New Roman" w:hAnsi="Times New Roman" w:cs="Times New Roman"/>
          <w:color w:val="262626"/>
          <w:sz w:val="20"/>
          <w:szCs w:val="20"/>
        </w:rPr>
        <w:t xml:space="preserve">, Pedro Madeira e </w:t>
      </w:r>
      <w:r w:rsidRPr="00FF7EE2">
        <w:rPr>
          <w:rFonts w:ascii="Times New Roman" w:hAnsi="Times New Roman" w:cs="Times New Roman"/>
          <w:color w:val="262626"/>
          <w:sz w:val="20"/>
          <w:szCs w:val="20"/>
        </w:rPr>
        <w:t>SILVEIRA</w:t>
      </w:r>
      <w:r w:rsidR="008B29AC" w:rsidRPr="00FF7EE2">
        <w:rPr>
          <w:rFonts w:ascii="Times New Roman" w:hAnsi="Times New Roman" w:cs="Times New Roman"/>
          <w:color w:val="262626"/>
          <w:sz w:val="20"/>
          <w:szCs w:val="20"/>
        </w:rPr>
        <w:t xml:space="preserve">, Alessandra (coordenação). </w:t>
      </w:r>
      <w:r w:rsidR="008B29AC" w:rsidRPr="00FF7EE2">
        <w:rPr>
          <w:rFonts w:ascii="Times New Roman" w:hAnsi="Times New Roman" w:cs="Times New Roman"/>
          <w:i/>
          <w:iCs/>
          <w:color w:val="262626"/>
          <w:sz w:val="20"/>
          <w:szCs w:val="20"/>
        </w:rPr>
        <w:t>Direito da União Europeia – Elementos de direito e políticas da União</w:t>
      </w:r>
      <w:r w:rsidR="008B29AC" w:rsidRPr="00FF7EE2">
        <w:rPr>
          <w:rFonts w:ascii="Times New Roman" w:hAnsi="Times New Roman" w:cs="Times New Roman"/>
          <w:color w:val="262626"/>
          <w:sz w:val="20"/>
          <w:szCs w:val="20"/>
        </w:rPr>
        <w:t xml:space="preserve">. </w:t>
      </w:r>
      <w:r w:rsidR="008B29AC" w:rsidRPr="00FF7EE2">
        <w:rPr>
          <w:rStyle w:val="text"/>
          <w:rFonts w:ascii="Times New Roman" w:eastAsia="MS Mincho" w:hAnsi="Times New Roman"/>
          <w:color w:val="333333"/>
          <w:sz w:val="20"/>
          <w:szCs w:val="20"/>
        </w:rPr>
        <w:t>Edições Almedina,</w:t>
      </w:r>
      <w:r w:rsidR="008B29AC" w:rsidRPr="00FF7EE2">
        <w:rPr>
          <w:rStyle w:val="text"/>
          <w:rFonts w:ascii="Times New Roman" w:hAnsi="Times New Roman"/>
          <w:color w:val="333333"/>
          <w:sz w:val="20"/>
          <w:szCs w:val="20"/>
        </w:rPr>
        <w:t xml:space="preserve"> </w:t>
      </w:r>
      <w:r w:rsidR="008B29AC" w:rsidRPr="00FF7EE2">
        <w:rPr>
          <w:rStyle w:val="text"/>
          <w:rFonts w:ascii="Times New Roman" w:eastAsia="MS Mincho" w:hAnsi="Times New Roman"/>
          <w:color w:val="333333"/>
          <w:sz w:val="20"/>
          <w:szCs w:val="20"/>
        </w:rPr>
        <w:t>201</w:t>
      </w:r>
      <w:r w:rsidR="008B29AC" w:rsidRPr="00FF7EE2">
        <w:rPr>
          <w:rStyle w:val="text"/>
          <w:rFonts w:ascii="Times New Roman" w:hAnsi="Times New Roman"/>
          <w:color w:val="333333"/>
          <w:sz w:val="20"/>
          <w:szCs w:val="20"/>
        </w:rPr>
        <w:t>6</w:t>
      </w:r>
      <w:r w:rsidR="008B29AC" w:rsidRPr="00FF7EE2">
        <w:rPr>
          <w:rStyle w:val="text"/>
          <w:rFonts w:ascii="Times New Roman" w:eastAsia="MS Mincho" w:hAnsi="Times New Roman"/>
          <w:color w:val="333333"/>
          <w:sz w:val="20"/>
          <w:szCs w:val="20"/>
        </w:rPr>
        <w:t>.</w:t>
      </w:r>
      <w:r w:rsidR="008B29AC" w:rsidRPr="00FF7EE2">
        <w:rPr>
          <w:rFonts w:ascii="Times New Roman" w:hAnsi="Times New Roman" w:cs="Times New Roman"/>
          <w:color w:val="000000"/>
          <w:sz w:val="20"/>
          <w:szCs w:val="20"/>
          <w:shd w:val="clear" w:color="auto" w:fill="FFFFFF"/>
        </w:rPr>
        <w:t xml:space="preserve">       </w:t>
      </w:r>
    </w:p>
    <w:p w14:paraId="79327393" w14:textId="77777777" w:rsidR="008B29AC" w:rsidRDefault="008B29AC" w:rsidP="00FF7EE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5B92B747" w14:textId="2119DCE0" w:rsidR="00252664" w:rsidRPr="00835DFF" w:rsidRDefault="00835DFF" w:rsidP="0025266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35DFF">
        <w:rPr>
          <w:rFonts w:ascii="Times New Roman" w:hAnsi="Times New Roman" w:cs="Times New Roman"/>
          <w:sz w:val="20"/>
          <w:szCs w:val="20"/>
        </w:rPr>
        <w:t>COELHO, Carlos. </w:t>
      </w:r>
      <w:r w:rsidRPr="00835DFF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r w:rsidR="00252664" w:rsidRPr="00835DFF">
        <w:rPr>
          <w:rFonts w:ascii="Times New Roman" w:hAnsi="Times New Roman" w:cs="Times New Roman"/>
          <w:i/>
          <w:iCs/>
          <w:sz w:val="20"/>
          <w:szCs w:val="20"/>
        </w:rPr>
        <w:t xml:space="preserve">Europa de A </w:t>
      </w:r>
      <w:proofErr w:type="spellStart"/>
      <w:r w:rsidR="00252664" w:rsidRPr="00835DFF">
        <w:rPr>
          <w:rFonts w:ascii="Times New Roman" w:hAnsi="Times New Roman" w:cs="Times New Roman"/>
          <w:i/>
          <w:iCs/>
          <w:sz w:val="20"/>
          <w:szCs w:val="20"/>
        </w:rPr>
        <w:t>a</w:t>
      </w:r>
      <w:proofErr w:type="spellEnd"/>
      <w:r w:rsidR="00252664" w:rsidRPr="00835DFF">
        <w:rPr>
          <w:rFonts w:ascii="Times New Roman" w:hAnsi="Times New Roman" w:cs="Times New Roman"/>
          <w:i/>
          <w:iCs/>
          <w:sz w:val="20"/>
          <w:szCs w:val="20"/>
        </w:rPr>
        <w:t xml:space="preserve"> Z Dicionário de termos europeus</w:t>
      </w:r>
      <w:r w:rsidR="00252664" w:rsidRPr="00835DFF">
        <w:rPr>
          <w:rFonts w:ascii="Times New Roman" w:hAnsi="Times New Roman" w:cs="Times New Roman"/>
          <w:sz w:val="20"/>
          <w:szCs w:val="20"/>
        </w:rPr>
        <w:t>. Alêtheia Editores, 2018</w:t>
      </w:r>
      <w:r w:rsidRPr="00835DFF">
        <w:rPr>
          <w:rFonts w:ascii="Times New Roman" w:hAnsi="Times New Roman" w:cs="Times New Roman"/>
          <w:sz w:val="20"/>
          <w:szCs w:val="20"/>
        </w:rPr>
        <w:t>.</w:t>
      </w:r>
      <w:r w:rsidR="00252664" w:rsidRPr="00835DFF">
        <w:rPr>
          <w:rFonts w:ascii="Times New Roman" w:hAnsi="Times New Roman" w:cs="Times New Roman"/>
          <w:sz w:val="20"/>
          <w:szCs w:val="20"/>
        </w:rPr>
        <w:t> </w:t>
      </w:r>
      <w:r w:rsidRPr="00835DFF">
        <w:rPr>
          <w:rFonts w:ascii="Times New Roman" w:hAnsi="Times New Roman" w:cs="Times New Roman"/>
          <w:sz w:val="20"/>
          <w:szCs w:val="20"/>
        </w:rPr>
        <w:t>ISBN</w:t>
      </w:r>
      <w:r w:rsidR="00252664" w:rsidRPr="00835DFF">
        <w:rPr>
          <w:rFonts w:ascii="Times New Roman" w:hAnsi="Times New Roman" w:cs="Times New Roman"/>
          <w:sz w:val="20"/>
          <w:szCs w:val="20"/>
        </w:rPr>
        <w:t> 978</w:t>
      </w:r>
      <w:r>
        <w:rPr>
          <w:rFonts w:ascii="Times New Roman" w:hAnsi="Times New Roman" w:cs="Times New Roman"/>
          <w:sz w:val="20"/>
          <w:szCs w:val="20"/>
        </w:rPr>
        <w:t>-</w:t>
      </w:r>
      <w:r w:rsidR="00252664" w:rsidRPr="00835DFF">
        <w:rPr>
          <w:rFonts w:ascii="Times New Roman" w:hAnsi="Times New Roman" w:cs="Times New Roman"/>
          <w:sz w:val="20"/>
          <w:szCs w:val="20"/>
        </w:rPr>
        <w:t>989</w:t>
      </w:r>
      <w:r>
        <w:rPr>
          <w:rFonts w:ascii="Times New Roman" w:hAnsi="Times New Roman" w:cs="Times New Roman"/>
          <w:sz w:val="20"/>
          <w:szCs w:val="20"/>
        </w:rPr>
        <w:t>-</w:t>
      </w:r>
      <w:r w:rsidR="00252664" w:rsidRPr="00835DFF">
        <w:rPr>
          <w:rFonts w:ascii="Times New Roman" w:hAnsi="Times New Roman" w:cs="Times New Roman"/>
          <w:sz w:val="20"/>
          <w:szCs w:val="20"/>
        </w:rPr>
        <w:t>622</w:t>
      </w:r>
      <w:r>
        <w:rPr>
          <w:rFonts w:ascii="Times New Roman" w:hAnsi="Times New Roman" w:cs="Times New Roman"/>
          <w:sz w:val="20"/>
          <w:szCs w:val="20"/>
        </w:rPr>
        <w:t>-</w:t>
      </w:r>
      <w:r w:rsidR="00252664" w:rsidRPr="00835DFF">
        <w:rPr>
          <w:rFonts w:ascii="Times New Roman" w:hAnsi="Times New Roman" w:cs="Times New Roman"/>
          <w:sz w:val="20"/>
          <w:szCs w:val="20"/>
        </w:rPr>
        <w:t>930</w:t>
      </w:r>
      <w:r>
        <w:rPr>
          <w:rFonts w:ascii="Times New Roman" w:hAnsi="Times New Roman" w:cs="Times New Roman"/>
          <w:sz w:val="20"/>
          <w:szCs w:val="20"/>
        </w:rPr>
        <w:t>-</w:t>
      </w:r>
      <w:r w:rsidR="00252664" w:rsidRPr="00835DFF">
        <w:rPr>
          <w:rFonts w:ascii="Times New Roman" w:hAnsi="Times New Roman" w:cs="Times New Roman"/>
          <w:sz w:val="20"/>
          <w:szCs w:val="20"/>
        </w:rPr>
        <w:t>6</w:t>
      </w:r>
    </w:p>
    <w:p w14:paraId="64D6370D" w14:textId="77777777" w:rsidR="00252664" w:rsidRDefault="00252664" w:rsidP="00FF7EE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EB3DA5E" w14:textId="43AC9C04" w:rsidR="00835DFF" w:rsidRPr="00835DFF" w:rsidRDefault="00835DFF" w:rsidP="00835DFF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835DFF">
        <w:rPr>
          <w:rFonts w:ascii="Times New Roman" w:hAnsi="Times New Roman" w:cs="Times New Roman"/>
          <w:sz w:val="20"/>
          <w:szCs w:val="20"/>
        </w:rPr>
        <w:t>COELHO, Carlos.</w:t>
      </w:r>
      <w:r w:rsidRPr="00835DFF">
        <w:rPr>
          <w:rFonts w:ascii="Times New Roman" w:hAnsi="Times New Roman" w:cs="Times New Roman"/>
          <w:i/>
          <w:iCs/>
          <w:sz w:val="20"/>
          <w:szCs w:val="20"/>
        </w:rPr>
        <w:t xml:space="preserve"> Dicionário de termos europeus</w:t>
      </w:r>
      <w:r w:rsidRPr="00835DFF">
        <w:rPr>
          <w:rFonts w:ascii="Times New Roman" w:hAnsi="Times New Roman" w:cs="Times New Roman"/>
          <w:sz w:val="20"/>
          <w:szCs w:val="20"/>
        </w:rPr>
        <w:t>. Alêtheia Editores, 20</w:t>
      </w:r>
      <w:r>
        <w:rPr>
          <w:rFonts w:ascii="Times New Roman" w:hAnsi="Times New Roman" w:cs="Times New Roman"/>
          <w:sz w:val="20"/>
          <w:szCs w:val="20"/>
        </w:rPr>
        <w:t>05</w:t>
      </w:r>
      <w:r w:rsidRPr="00835DFF">
        <w:rPr>
          <w:rFonts w:ascii="Times New Roman" w:hAnsi="Times New Roman" w:cs="Times New Roman"/>
          <w:sz w:val="20"/>
          <w:szCs w:val="20"/>
        </w:rPr>
        <w:t>. ISBN 989</w:t>
      </w:r>
      <w:r>
        <w:rPr>
          <w:rFonts w:ascii="Times New Roman" w:hAnsi="Times New Roman" w:cs="Times New Roman"/>
          <w:sz w:val="20"/>
          <w:szCs w:val="20"/>
        </w:rPr>
        <w:t>-</w:t>
      </w:r>
      <w:r w:rsidRPr="00835DFF">
        <w:rPr>
          <w:rFonts w:ascii="Times New Roman" w:hAnsi="Times New Roman" w:cs="Times New Roman"/>
          <w:sz w:val="20"/>
          <w:szCs w:val="20"/>
        </w:rPr>
        <w:t>622</w:t>
      </w:r>
      <w:r>
        <w:rPr>
          <w:rFonts w:ascii="Times New Roman" w:hAnsi="Times New Roman" w:cs="Times New Roman"/>
          <w:sz w:val="20"/>
          <w:szCs w:val="20"/>
        </w:rPr>
        <w:t>-</w:t>
      </w:r>
      <w:r w:rsidRPr="00835DFF">
        <w:rPr>
          <w:rFonts w:ascii="Times New Roman" w:hAnsi="Times New Roman" w:cs="Times New Roman"/>
          <w:sz w:val="20"/>
          <w:szCs w:val="20"/>
        </w:rPr>
        <w:t>0</w:t>
      </w:r>
      <w:r>
        <w:rPr>
          <w:rFonts w:ascii="Times New Roman" w:hAnsi="Times New Roman" w:cs="Times New Roman"/>
          <w:sz w:val="20"/>
          <w:szCs w:val="20"/>
        </w:rPr>
        <w:t>17-4.</w:t>
      </w:r>
    </w:p>
    <w:p w14:paraId="7EF9580D" w14:textId="77777777" w:rsidR="00835DFF" w:rsidRPr="00FF7EE2" w:rsidRDefault="00835DFF" w:rsidP="00FF7EE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E837587" w14:textId="77777777" w:rsidR="008B29AC" w:rsidRDefault="008B29AC" w:rsidP="00FF7EE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F7EE2">
        <w:rPr>
          <w:rFonts w:ascii="Times New Roman" w:hAnsi="Times New Roman" w:cs="Times New Roman"/>
          <w:sz w:val="20"/>
          <w:szCs w:val="20"/>
        </w:rPr>
        <w:lastRenderedPageBreak/>
        <w:t>FROUFE, Pedro Madeira. Direito de “defesa da concorrência”: notas de enquadramento (</w:t>
      </w:r>
      <w:proofErr w:type="spellStart"/>
      <w:r w:rsidRPr="00FF7EE2">
        <w:rPr>
          <w:rFonts w:ascii="Times New Roman" w:hAnsi="Times New Roman" w:cs="Times New Roman"/>
          <w:sz w:val="20"/>
          <w:szCs w:val="20"/>
        </w:rPr>
        <w:t>October</w:t>
      </w:r>
      <w:proofErr w:type="spellEnd"/>
      <w:r w:rsidRPr="00FF7EE2">
        <w:rPr>
          <w:rFonts w:ascii="Times New Roman" w:hAnsi="Times New Roman" w:cs="Times New Roman"/>
          <w:sz w:val="20"/>
          <w:szCs w:val="20"/>
        </w:rPr>
        <w:t xml:space="preserve"> 29, 2024). </w:t>
      </w:r>
      <w:proofErr w:type="spellStart"/>
      <w:r w:rsidRPr="003C57E2">
        <w:rPr>
          <w:rFonts w:ascii="Times New Roman" w:hAnsi="Times New Roman" w:cs="Times New Roman"/>
          <w:i/>
          <w:iCs/>
          <w:sz w:val="20"/>
          <w:szCs w:val="20"/>
        </w:rPr>
        <w:t>JusGov</w:t>
      </w:r>
      <w:proofErr w:type="spellEnd"/>
      <w:r w:rsidRPr="003C57E2">
        <w:rPr>
          <w:rFonts w:ascii="Times New Roman" w:hAnsi="Times New Roman" w:cs="Times New Roman"/>
          <w:i/>
          <w:iCs/>
          <w:sz w:val="20"/>
          <w:szCs w:val="20"/>
        </w:rPr>
        <w:t xml:space="preserve"> Research </w:t>
      </w:r>
      <w:proofErr w:type="spellStart"/>
      <w:r w:rsidRPr="003C57E2">
        <w:rPr>
          <w:rFonts w:ascii="Times New Roman" w:hAnsi="Times New Roman" w:cs="Times New Roman"/>
          <w:i/>
          <w:iCs/>
          <w:sz w:val="20"/>
          <w:szCs w:val="20"/>
        </w:rPr>
        <w:t>Paper</w:t>
      </w:r>
      <w:proofErr w:type="spellEnd"/>
      <w:r w:rsidRPr="00FF7EE2">
        <w:rPr>
          <w:rFonts w:ascii="Times New Roman" w:hAnsi="Times New Roman" w:cs="Times New Roman"/>
          <w:sz w:val="20"/>
          <w:szCs w:val="20"/>
        </w:rPr>
        <w:t xml:space="preserve"> No. 2024-06, </w:t>
      </w:r>
      <w:proofErr w:type="spellStart"/>
      <w:r w:rsidRPr="00FF7EE2">
        <w:rPr>
          <w:rFonts w:ascii="Times New Roman" w:hAnsi="Times New Roman" w:cs="Times New Roman"/>
          <w:sz w:val="20"/>
          <w:szCs w:val="20"/>
        </w:rPr>
        <w:t>Available</w:t>
      </w:r>
      <w:proofErr w:type="spellEnd"/>
      <w:r w:rsidRPr="00FF7EE2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FF7EE2">
        <w:rPr>
          <w:rFonts w:ascii="Times New Roman" w:hAnsi="Times New Roman" w:cs="Times New Roman"/>
          <w:sz w:val="20"/>
          <w:szCs w:val="20"/>
        </w:rPr>
        <w:t>at</w:t>
      </w:r>
      <w:proofErr w:type="spellEnd"/>
      <w:r w:rsidRPr="00FF7EE2">
        <w:rPr>
          <w:rFonts w:ascii="Times New Roman" w:hAnsi="Times New Roman" w:cs="Times New Roman"/>
          <w:sz w:val="20"/>
          <w:szCs w:val="20"/>
        </w:rPr>
        <w:t xml:space="preserve"> SSRN: </w:t>
      </w:r>
      <w:hyperlink r:id="rId15" w:tgtFrame="_blank" w:history="1">
        <w:r w:rsidRPr="00FF7EE2">
          <w:rPr>
            <w:rStyle w:val="Hiperligao"/>
            <w:rFonts w:ascii="Times New Roman" w:hAnsi="Times New Roman" w:cs="Times New Roman"/>
            <w:sz w:val="20"/>
            <w:szCs w:val="20"/>
          </w:rPr>
          <w:t>https://ssrn.com/abstract=5018407</w:t>
        </w:r>
      </w:hyperlink>
      <w:r w:rsidRPr="00FF7EE2">
        <w:rPr>
          <w:rFonts w:ascii="Times New Roman" w:hAnsi="Times New Roman" w:cs="Times New Roman"/>
          <w:sz w:val="20"/>
          <w:szCs w:val="20"/>
        </w:rPr>
        <w:t> </w:t>
      </w:r>
      <w:proofErr w:type="spellStart"/>
      <w:r w:rsidRPr="00FF7EE2">
        <w:rPr>
          <w:rFonts w:ascii="Times New Roman" w:hAnsi="Times New Roman" w:cs="Times New Roman"/>
          <w:sz w:val="20"/>
          <w:szCs w:val="20"/>
        </w:rPr>
        <w:t>or</w:t>
      </w:r>
      <w:proofErr w:type="spellEnd"/>
      <w:r w:rsidRPr="00FF7EE2">
        <w:rPr>
          <w:rFonts w:ascii="Times New Roman" w:hAnsi="Times New Roman" w:cs="Times New Roman"/>
          <w:sz w:val="20"/>
          <w:szCs w:val="20"/>
        </w:rPr>
        <w:t> </w:t>
      </w:r>
      <w:hyperlink r:id="rId16" w:tgtFrame="_blank" w:history="1">
        <w:r w:rsidRPr="00FF7EE2">
          <w:rPr>
            <w:rStyle w:val="Hiperligao"/>
            <w:rFonts w:ascii="Times New Roman" w:hAnsi="Times New Roman" w:cs="Times New Roman"/>
            <w:sz w:val="20"/>
            <w:szCs w:val="20"/>
          </w:rPr>
          <w:t>http://dx.doi.org/10.2139/ssrn.5018407</w:t>
        </w:r>
      </w:hyperlink>
      <w:r w:rsidRPr="00FF7EE2">
        <w:rPr>
          <w:rFonts w:ascii="Times New Roman" w:hAnsi="Times New Roman" w:cs="Times New Roman"/>
          <w:sz w:val="20"/>
          <w:szCs w:val="20"/>
        </w:rPr>
        <w:t xml:space="preserve"> Em </w:t>
      </w:r>
      <w:hyperlink r:id="rId17" w:history="1">
        <w:r w:rsidRPr="00FF7EE2">
          <w:rPr>
            <w:rStyle w:val="Hiperligao"/>
            <w:rFonts w:ascii="Times New Roman" w:hAnsi="Times New Roman" w:cs="Times New Roman"/>
            <w:sz w:val="20"/>
            <w:szCs w:val="20"/>
          </w:rPr>
          <w:t>JusGov Research Paper Series - JusGov</w:t>
        </w:r>
      </w:hyperlink>
    </w:p>
    <w:p w14:paraId="2C9E8377" w14:textId="77777777" w:rsidR="00FF7EE2" w:rsidRPr="00FF7EE2" w:rsidRDefault="00FF7EE2" w:rsidP="00FF7EE2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3AB0DFB8" w14:textId="4F0A75D5" w:rsidR="008B29AC" w:rsidRPr="00FF7EE2" w:rsidRDefault="00FF7EE2" w:rsidP="00FF7EE2">
      <w:pPr>
        <w:pStyle w:val="Corpodetexto"/>
        <w:ind w:left="0" w:firstLine="0"/>
        <w:jc w:val="both"/>
        <w:rPr>
          <w:rFonts w:ascii="Times New Roman" w:hAnsi="Times New Roman" w:cs="Times New Roman"/>
          <w:sz w:val="20"/>
          <w:szCs w:val="20"/>
        </w:rPr>
      </w:pPr>
      <w:r w:rsidRPr="00FF7EE2">
        <w:rPr>
          <w:rFonts w:ascii="Times New Roman" w:hAnsi="Times New Roman" w:cs="Times New Roman"/>
          <w:sz w:val="20"/>
          <w:szCs w:val="20"/>
        </w:rPr>
        <w:t>GOMES</w:t>
      </w:r>
      <w:r w:rsidR="008B29AC" w:rsidRPr="00FF7EE2">
        <w:rPr>
          <w:rFonts w:ascii="Times New Roman" w:hAnsi="Times New Roman" w:cs="Times New Roman"/>
          <w:sz w:val="20"/>
          <w:szCs w:val="20"/>
        </w:rPr>
        <w:t xml:space="preserve">, José Luís Caramelo. </w:t>
      </w:r>
      <w:r w:rsidR="008B29AC" w:rsidRPr="00FF7EE2">
        <w:rPr>
          <w:rFonts w:ascii="Times New Roman" w:hAnsi="Times New Roman" w:cs="Times New Roman"/>
          <w:i/>
          <w:sz w:val="20"/>
          <w:szCs w:val="20"/>
        </w:rPr>
        <w:t>Lições de Direito da Concorrência</w:t>
      </w:r>
      <w:r w:rsidR="008B29AC" w:rsidRPr="00FF7EE2">
        <w:rPr>
          <w:rFonts w:ascii="Times New Roman" w:hAnsi="Times New Roman" w:cs="Times New Roman"/>
          <w:sz w:val="20"/>
          <w:szCs w:val="20"/>
        </w:rPr>
        <w:t xml:space="preserve">. Coimbra: Livraria Almedina, 2016. </w:t>
      </w:r>
    </w:p>
    <w:p w14:paraId="395BCA89" w14:textId="77777777" w:rsidR="008B29AC" w:rsidRDefault="008B29AC" w:rsidP="00E67930">
      <w:pPr>
        <w:spacing w:line="240" w:lineRule="auto"/>
        <w:jc w:val="both"/>
      </w:pPr>
    </w:p>
    <w:p w14:paraId="5E163C1C" w14:textId="4077B932" w:rsidR="00207533" w:rsidRDefault="00207533" w:rsidP="00207533">
      <w:pPr>
        <w:spacing w:line="360" w:lineRule="auto"/>
        <w:jc w:val="both"/>
        <w:rPr>
          <w:b/>
          <w:bCs/>
        </w:rPr>
      </w:pPr>
      <w:r w:rsidRPr="00F252BB">
        <w:rPr>
          <w:b/>
          <w:bCs/>
        </w:rPr>
        <w:t>Documentação</w:t>
      </w:r>
    </w:p>
    <w:p w14:paraId="413105AB" w14:textId="39B587CA" w:rsidR="001C3507" w:rsidRPr="00330B94" w:rsidRDefault="00330B94" w:rsidP="001C350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30B94">
        <w:rPr>
          <w:rFonts w:ascii="Times New Roman" w:hAnsi="Times New Roman" w:cs="Times New Roman"/>
          <w:sz w:val="20"/>
          <w:szCs w:val="20"/>
        </w:rPr>
        <w:t>COMISSÃO EUROPEIA</w:t>
      </w:r>
      <w:r w:rsidR="001C3507" w:rsidRPr="00330B94">
        <w:rPr>
          <w:rFonts w:ascii="Times New Roman" w:hAnsi="Times New Roman" w:cs="Times New Roman"/>
          <w:sz w:val="20"/>
          <w:szCs w:val="20"/>
        </w:rPr>
        <w:t xml:space="preserve">. Relatório da Comissão ao Parlamento Europeu, ao Conselho, ao Comité Económico e Social Europeu e ao Comité das Regiões. </w:t>
      </w:r>
      <w:r w:rsidR="001C3507" w:rsidRPr="00330B94">
        <w:rPr>
          <w:rFonts w:ascii="Times New Roman" w:hAnsi="Times New Roman" w:cs="Times New Roman"/>
          <w:i/>
          <w:iCs/>
          <w:sz w:val="20"/>
          <w:szCs w:val="20"/>
        </w:rPr>
        <w:t>Relatório sobre a Política de Concorrência 2023</w:t>
      </w:r>
      <w:r w:rsidR="001C3507" w:rsidRPr="00330B94">
        <w:rPr>
          <w:rFonts w:ascii="Times New Roman" w:hAnsi="Times New Roman" w:cs="Times New Roman"/>
          <w:sz w:val="20"/>
          <w:szCs w:val="20"/>
        </w:rPr>
        <w:t xml:space="preserve">. Documento </w:t>
      </w:r>
      <w:proofErr w:type="gramStart"/>
      <w:r w:rsidR="001C3507" w:rsidRPr="00330B94">
        <w:rPr>
          <w:rFonts w:ascii="Times New Roman" w:hAnsi="Times New Roman" w:cs="Times New Roman"/>
          <w:sz w:val="20"/>
          <w:szCs w:val="20"/>
        </w:rPr>
        <w:t>COM(</w:t>
      </w:r>
      <w:proofErr w:type="gramEnd"/>
      <w:r w:rsidR="001C3507" w:rsidRPr="00330B94">
        <w:rPr>
          <w:rFonts w:ascii="Times New Roman" w:hAnsi="Times New Roman" w:cs="Times New Roman"/>
          <w:sz w:val="20"/>
          <w:szCs w:val="20"/>
        </w:rPr>
        <w:t>2024) 115 final</w:t>
      </w:r>
      <w:r w:rsidR="001C3507" w:rsidRPr="00330B94">
        <w:rPr>
          <w:rFonts w:ascii="Times New Roman" w:hAnsi="Times New Roman" w:cs="Times New Roman"/>
          <w:color w:val="000000"/>
          <w:sz w:val="20"/>
          <w:szCs w:val="20"/>
        </w:rPr>
        <w:t xml:space="preserve"> de 06.03.2024</w:t>
      </w:r>
      <w:r w:rsidR="001C3507" w:rsidRPr="00330B94">
        <w:rPr>
          <w:rFonts w:ascii="Times New Roman" w:hAnsi="Times New Roman" w:cs="Times New Roman"/>
          <w:sz w:val="20"/>
          <w:szCs w:val="20"/>
        </w:rPr>
        <w:t>. Luxemburgo: Serviço das Publicações da União Europeia, 2024.</w:t>
      </w:r>
    </w:p>
    <w:p w14:paraId="121552F2" w14:textId="10B35AFF" w:rsidR="009654C5" w:rsidRPr="00330B94" w:rsidRDefault="00ED6A6F" w:rsidP="001C3507">
      <w:pPr>
        <w:ind w:right="-1"/>
        <w:jc w:val="both"/>
        <w:rPr>
          <w:rFonts w:ascii="Times New Roman" w:hAnsi="Times New Roman" w:cs="Times New Roman"/>
          <w:sz w:val="20"/>
          <w:szCs w:val="20"/>
        </w:rPr>
      </w:pPr>
      <w:hyperlink r:id="rId18" w:history="1">
        <w:r w:rsidR="001C3507" w:rsidRPr="00330B94">
          <w:rPr>
            <w:rStyle w:val="Hiperligao"/>
            <w:rFonts w:ascii="Times New Roman" w:hAnsi="Times New Roman" w:cs="Times New Roman"/>
            <w:sz w:val="20"/>
            <w:szCs w:val="20"/>
          </w:rPr>
          <w:t>https://eur-lex.europa.eu/legal-content/PT/TXT/?uri=CELEX%3A52024DC0115&amp;qid=1710234342137</w:t>
        </w:r>
      </w:hyperlink>
    </w:p>
    <w:p w14:paraId="28908B4E" w14:textId="77777777" w:rsidR="00330B94" w:rsidRPr="00901BA4" w:rsidRDefault="00330B94" w:rsidP="00330B94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bdr w:val="none" w:sz="0" w:space="0" w:color="auto" w:frame="1"/>
        </w:rPr>
      </w:pPr>
      <w:r w:rsidRPr="00901BA4">
        <w:rPr>
          <w:rFonts w:ascii="Times New Roman" w:hAnsi="Times New Roman" w:cs="Times New Roman"/>
          <w:sz w:val="20"/>
          <w:szCs w:val="20"/>
          <w:bdr w:val="none" w:sz="0" w:space="0" w:color="auto" w:frame="1"/>
        </w:rPr>
        <w:t xml:space="preserve">PARLAMENTO EUROPEU. Política de concorrência. </w:t>
      </w:r>
      <w:r w:rsidRPr="004E0E9D">
        <w:rPr>
          <w:rFonts w:ascii="Times New Roman" w:hAnsi="Times New Roman" w:cs="Times New Roman"/>
          <w:i/>
          <w:iCs/>
          <w:sz w:val="20"/>
          <w:szCs w:val="20"/>
        </w:rPr>
        <w:t>Fichas temáticas sobre a União Europeia</w:t>
      </w:r>
      <w:r w:rsidRPr="00901BA4">
        <w:rPr>
          <w:rFonts w:ascii="Times New Roman" w:hAnsi="Times New Roman" w:cs="Times New Roman"/>
          <w:sz w:val="20"/>
          <w:szCs w:val="20"/>
        </w:rPr>
        <w:t xml:space="preserve">. 04/2024. Disponível em: </w:t>
      </w:r>
      <w:hyperlink r:id="rId19" w:history="1">
        <w:r w:rsidRPr="00901BA4">
          <w:rPr>
            <w:rStyle w:val="Hiperligao"/>
            <w:rFonts w:ascii="Times New Roman" w:hAnsi="Times New Roman" w:cs="Times New Roman"/>
            <w:sz w:val="20"/>
            <w:szCs w:val="20"/>
          </w:rPr>
          <w:t>https://www.europarl.europa.eu/factsheets/pt/sheet/82/a-politica-de-concorrencia</w:t>
        </w:r>
      </w:hyperlink>
      <w:r w:rsidRPr="00901BA4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4CFC66DA" w14:textId="77777777" w:rsidR="008B29AC" w:rsidRDefault="008B29AC" w:rsidP="00C9780B">
      <w:pPr>
        <w:ind w:right="-1135"/>
        <w:jc w:val="both"/>
        <w:rPr>
          <w:b/>
          <w:bCs/>
        </w:rPr>
      </w:pPr>
    </w:p>
    <w:p w14:paraId="07266D63" w14:textId="7828D941" w:rsidR="007607D8" w:rsidRDefault="007607D8" w:rsidP="00C9780B">
      <w:pPr>
        <w:ind w:right="-1135"/>
        <w:jc w:val="both"/>
        <w:rPr>
          <w:b/>
          <w:bCs/>
        </w:rPr>
      </w:pPr>
      <w:r>
        <w:rPr>
          <w:b/>
          <w:bCs/>
        </w:rPr>
        <w:t>Breve nota académica d</w:t>
      </w:r>
      <w:r w:rsidR="008B29AC">
        <w:rPr>
          <w:b/>
          <w:bCs/>
        </w:rPr>
        <w:t>a</w:t>
      </w:r>
      <w:r>
        <w:rPr>
          <w:b/>
          <w:bCs/>
        </w:rPr>
        <w:t xml:space="preserve"> autor</w:t>
      </w:r>
      <w:r w:rsidR="008B29AC">
        <w:rPr>
          <w:b/>
          <w:bCs/>
        </w:rPr>
        <w:t>a</w:t>
      </w:r>
    </w:p>
    <w:p w14:paraId="72BD8BB4" w14:textId="6BCCCB16" w:rsidR="007607D8" w:rsidRDefault="00BB1895" w:rsidP="008B29AC">
      <w:pPr>
        <w:jc w:val="right"/>
        <w:rPr>
          <w:rFonts w:cs="Times New Roman"/>
        </w:rPr>
      </w:pPr>
      <w:r>
        <w:rPr>
          <w:noProof/>
        </w:rPr>
        <w:drawing>
          <wp:inline distT="0" distB="0" distL="0" distR="0" wp14:anchorId="1D090727" wp14:editId="3ACFE8FF">
            <wp:extent cx="910879" cy="1123950"/>
            <wp:effectExtent l="0" t="0" r="381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3234" cy="11268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A579B7" w14:textId="77777777" w:rsidR="007607D8" w:rsidRPr="00997EDE" w:rsidRDefault="007607D8" w:rsidP="007607D8">
      <w:pPr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</w:pPr>
      <w:r w:rsidRPr="00997EDE">
        <w:rPr>
          <w:rFonts w:ascii="Times New Roman" w:hAnsi="Times New Roman" w:cs="Times New Roman"/>
          <w:b/>
          <w:bCs/>
          <w:noProof/>
          <w:sz w:val="20"/>
          <w:szCs w:val="20"/>
          <w:u w:val="single"/>
        </w:rPr>
        <w:t>DORA RESENDE ALVES</w:t>
      </w:r>
    </w:p>
    <w:p w14:paraId="233B4F1A" w14:textId="22529F37" w:rsidR="007607D8" w:rsidRPr="00997EDE" w:rsidRDefault="007607D8" w:rsidP="00BB1895">
      <w:pPr>
        <w:spacing w:after="0" w:line="240" w:lineRule="auto"/>
        <w:jc w:val="both"/>
        <w:rPr>
          <w:sz w:val="20"/>
          <w:szCs w:val="20"/>
        </w:rPr>
      </w:pPr>
      <w:bookmarkStart w:id="5" w:name="_Hlk45608775"/>
      <w:r w:rsidRPr="00997EDE">
        <w:rPr>
          <w:sz w:val="20"/>
          <w:szCs w:val="20"/>
        </w:rPr>
        <w:t xml:space="preserve">Professora Associada do Departamento de Direito da Universidade Portucalense (UPT), com experiência em unidades curriculares no domínio do Direito da União Europeia, Direito Constitucional e da História do Direito, lecionando desde 1993. </w:t>
      </w:r>
      <w:proofErr w:type="gramStart"/>
      <w:r w:rsidRPr="00997EDE">
        <w:rPr>
          <w:sz w:val="20"/>
          <w:szCs w:val="20"/>
        </w:rPr>
        <w:t xml:space="preserve">Doutora pela </w:t>
      </w:r>
      <w:proofErr w:type="spellStart"/>
      <w:r w:rsidRPr="00997EDE">
        <w:rPr>
          <w:sz w:val="20"/>
          <w:szCs w:val="20"/>
        </w:rPr>
        <w:t>Universidad</w:t>
      </w:r>
      <w:proofErr w:type="spellEnd"/>
      <w:r w:rsidRPr="00997EDE">
        <w:rPr>
          <w:sz w:val="20"/>
          <w:szCs w:val="20"/>
        </w:rPr>
        <w:t xml:space="preserve"> de Vigo (Espanha)</w:t>
      </w:r>
      <w:proofErr w:type="gramEnd"/>
      <w:r w:rsidRPr="00997EDE">
        <w:rPr>
          <w:sz w:val="20"/>
          <w:szCs w:val="20"/>
        </w:rPr>
        <w:t xml:space="preserve"> com tese sobre tema do direito da concorrência da União Europeia e Mestre em Direito, área de Integração Europeia, pela Faculdade de Direito da Universidade de Coimbra. Autora de livros e artigos científicos. Orientadora de teses e dissertações. Revisora de revistas científicas. Investigadora como membro integrado do Instituto Jurídico Portucalense, na linha de investigação </w:t>
      </w:r>
      <w:proofErr w:type="spellStart"/>
      <w:r w:rsidRPr="00997EDE">
        <w:rPr>
          <w:i/>
          <w:iCs/>
          <w:sz w:val="20"/>
          <w:szCs w:val="20"/>
        </w:rPr>
        <w:t>Política</w:t>
      </w:r>
      <w:proofErr w:type="spellEnd"/>
      <w:r w:rsidRPr="00997EDE">
        <w:rPr>
          <w:i/>
          <w:iCs/>
          <w:sz w:val="20"/>
          <w:szCs w:val="20"/>
        </w:rPr>
        <w:t xml:space="preserve"> e </w:t>
      </w:r>
      <w:proofErr w:type="spellStart"/>
      <w:r w:rsidRPr="00997EDE">
        <w:rPr>
          <w:i/>
          <w:iCs/>
          <w:sz w:val="20"/>
          <w:szCs w:val="20"/>
        </w:rPr>
        <w:t>Governança</w:t>
      </w:r>
      <w:proofErr w:type="spellEnd"/>
      <w:r w:rsidRPr="00997EDE">
        <w:rPr>
          <w:i/>
          <w:iCs/>
          <w:sz w:val="20"/>
          <w:szCs w:val="20"/>
        </w:rPr>
        <w:t xml:space="preserve"> Internacional</w:t>
      </w:r>
      <w:r w:rsidRPr="00997EDE">
        <w:rPr>
          <w:sz w:val="20"/>
          <w:szCs w:val="20"/>
        </w:rPr>
        <w:t>, Centro de Investigação da Universidade Portucalense. Editora-adjunta da Revista Jurídica Portucalense.</w:t>
      </w:r>
      <w:bookmarkEnd w:id="5"/>
      <w:r w:rsidRPr="00997EDE">
        <w:rPr>
          <w:sz w:val="20"/>
          <w:szCs w:val="20"/>
        </w:rPr>
        <w:t xml:space="preserve"> </w:t>
      </w:r>
    </w:p>
    <w:p w14:paraId="35566865" w14:textId="77777777" w:rsidR="007607D8" w:rsidRPr="00654315" w:rsidRDefault="007607D8" w:rsidP="007607D8">
      <w:pPr>
        <w:adjustRightInd w:val="0"/>
        <w:spacing w:after="0" w:line="240" w:lineRule="auto"/>
        <w:jc w:val="right"/>
        <w:rPr>
          <w:rStyle w:val="Hiperligao"/>
          <w:sz w:val="16"/>
          <w:szCs w:val="16"/>
        </w:rPr>
      </w:pPr>
      <w:r w:rsidRPr="00654315">
        <w:rPr>
          <w:sz w:val="16"/>
          <w:szCs w:val="16"/>
        </w:rPr>
        <w:t xml:space="preserve">ORCID – </w:t>
      </w:r>
      <w:r w:rsidRPr="00654315">
        <w:rPr>
          <w:color w:val="1F497D"/>
          <w:sz w:val="16"/>
          <w:szCs w:val="16"/>
          <w:lang w:val="en-US"/>
        </w:rPr>
        <w:t xml:space="preserve">0000-0003-4720-1400 </w:t>
      </w:r>
      <w:r w:rsidRPr="00654315">
        <w:rPr>
          <w:sz w:val="16"/>
          <w:szCs w:val="16"/>
        </w:rPr>
        <w:t xml:space="preserve"> </w:t>
      </w:r>
      <w:hyperlink r:id="rId21" w:tgtFrame="_blank" w:tooltip="Go to my personal page at http://orcid.org/" w:history="1">
        <w:r w:rsidRPr="00654315">
          <w:rPr>
            <w:rStyle w:val="Hiperligao"/>
            <w:rFonts w:cs="Arial"/>
            <w:sz w:val="16"/>
            <w:szCs w:val="16"/>
            <w:shd w:val="clear" w:color="auto" w:fill="FFFFFF"/>
          </w:rPr>
          <w:t>http://orcid.org/0000-0003-4720-1400</w:t>
        </w:r>
      </w:hyperlink>
    </w:p>
    <w:p w14:paraId="371726C6" w14:textId="552A607E" w:rsidR="00C30B33" w:rsidRPr="008B29AC" w:rsidRDefault="007607D8" w:rsidP="008B29AC">
      <w:pPr>
        <w:jc w:val="right"/>
        <w:rPr>
          <w:rFonts w:cs="Times New Roman"/>
          <w:sz w:val="16"/>
          <w:szCs w:val="16"/>
        </w:rPr>
      </w:pPr>
      <w:r w:rsidRPr="00654315">
        <w:rPr>
          <w:rStyle w:val="Hiperligao"/>
          <w:rFonts w:cs="Arial"/>
          <w:sz w:val="16"/>
          <w:szCs w:val="16"/>
          <w:shd w:val="clear" w:color="auto" w:fill="FFFFFF"/>
        </w:rPr>
        <w:t xml:space="preserve">Ciência Vitae - </w:t>
      </w:r>
      <w:hyperlink r:id="rId22" w:history="1">
        <w:r w:rsidRPr="00654315">
          <w:rPr>
            <w:rStyle w:val="Hiperligao"/>
            <w:sz w:val="16"/>
            <w:szCs w:val="16"/>
          </w:rPr>
          <w:t>http://www.cienciavitae.pt//CA1A-FE14-5CC1</w:t>
        </w:r>
      </w:hyperlink>
      <w:r w:rsidRPr="00654315">
        <w:rPr>
          <w:color w:val="000000"/>
          <w:sz w:val="16"/>
          <w:szCs w:val="16"/>
        </w:rPr>
        <w:t xml:space="preserve">     </w:t>
      </w:r>
    </w:p>
    <w:p w14:paraId="02DDBF20" w14:textId="0AFFE33F" w:rsidR="00B4724B" w:rsidRDefault="00F44414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993300"/>
        </w:rPr>
      </w:pPr>
      <w:r>
        <w:rPr>
          <w:rStyle w:val="Forte"/>
          <w:rFonts w:ascii="Open Sans" w:hAnsi="Open Sans" w:cs="Open Sans"/>
          <w:color w:val="5E5E5E"/>
        </w:rPr>
        <w:t>Evento</w:t>
      </w:r>
      <w:r w:rsidR="00B4724B">
        <w:rPr>
          <w:rStyle w:val="Forte"/>
          <w:rFonts w:ascii="Open Sans" w:hAnsi="Open Sans" w:cs="Open Sans"/>
          <w:color w:val="5E5E5E"/>
        </w:rPr>
        <w:t>:</w:t>
      </w:r>
      <w:r w:rsidR="00B4724B">
        <w:rPr>
          <w:rFonts w:ascii="Open Sans" w:hAnsi="Open Sans" w:cs="Open Sans"/>
          <w:color w:val="5E5E5E"/>
        </w:rPr>
        <w:t> </w:t>
      </w:r>
      <w:r w:rsidR="008C1AF1">
        <w:rPr>
          <w:rFonts w:ascii="Open Sans" w:hAnsi="Open Sans" w:cs="Open Sans"/>
          <w:color w:val="993300"/>
          <w:highlight w:val="yellow"/>
        </w:rPr>
        <w:t>4 e 5</w:t>
      </w:r>
      <w:r w:rsidR="00B4724B" w:rsidRPr="009355B5">
        <w:rPr>
          <w:rFonts w:ascii="Open Sans" w:hAnsi="Open Sans" w:cs="Open Sans"/>
          <w:color w:val="993300"/>
          <w:highlight w:val="yellow"/>
        </w:rPr>
        <w:t xml:space="preserve"> de </w:t>
      </w:r>
      <w:r w:rsidR="008C1AF1">
        <w:rPr>
          <w:rFonts w:ascii="Open Sans" w:hAnsi="Open Sans" w:cs="Open Sans"/>
          <w:color w:val="993300"/>
          <w:highlight w:val="yellow"/>
        </w:rPr>
        <w:t>abril</w:t>
      </w:r>
      <w:r w:rsidR="00B4724B" w:rsidRPr="009355B5">
        <w:rPr>
          <w:rFonts w:ascii="Open Sans" w:hAnsi="Open Sans" w:cs="Open Sans"/>
          <w:color w:val="993300"/>
          <w:highlight w:val="yellow"/>
        </w:rPr>
        <w:t xml:space="preserve"> </w:t>
      </w:r>
      <w:r w:rsidRPr="009355B5">
        <w:rPr>
          <w:rFonts w:ascii="Open Sans" w:hAnsi="Open Sans" w:cs="Open Sans"/>
          <w:color w:val="993300"/>
          <w:highlight w:val="yellow"/>
        </w:rPr>
        <w:t>de 202</w:t>
      </w:r>
      <w:r w:rsidR="0012030A">
        <w:rPr>
          <w:rFonts w:ascii="Open Sans" w:hAnsi="Open Sans" w:cs="Open Sans"/>
          <w:color w:val="993300"/>
          <w:highlight w:val="yellow"/>
        </w:rPr>
        <w:t>5</w:t>
      </w:r>
    </w:p>
    <w:p w14:paraId="256B566A" w14:textId="77777777" w:rsidR="004064CC" w:rsidRDefault="004064CC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</w:p>
    <w:p w14:paraId="0FF9EEC4" w14:textId="1DEF2D48" w:rsidR="00B4724B" w:rsidRDefault="00B4724B" w:rsidP="00B4724B">
      <w:pPr>
        <w:pStyle w:val="NormalWeb"/>
        <w:shd w:val="clear" w:color="auto" w:fill="EFEFEF"/>
        <w:spacing w:before="0" w:beforeAutospacing="0" w:after="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Limite para submissão do artigo completo</w:t>
      </w:r>
      <w:r>
        <w:rPr>
          <w:rFonts w:ascii="Open Sans" w:hAnsi="Open Sans" w:cs="Open Sans"/>
          <w:color w:val="5E5E5E"/>
        </w:rPr>
        <w:t xml:space="preserve">: </w:t>
      </w:r>
      <w:r w:rsidR="009611BE">
        <w:rPr>
          <w:rFonts w:ascii="Open Sans" w:hAnsi="Open Sans" w:cs="Open Sans"/>
          <w:color w:val="5E5E5E"/>
        </w:rPr>
        <w:t>5</w:t>
      </w:r>
      <w:r w:rsidR="00420B86">
        <w:rPr>
          <w:rFonts w:ascii="Open Sans" w:hAnsi="Open Sans" w:cs="Open Sans"/>
          <w:color w:val="5E5E5E"/>
        </w:rPr>
        <w:t xml:space="preserve"> de ma</w:t>
      </w:r>
      <w:r w:rsidR="008C1AF1">
        <w:rPr>
          <w:rFonts w:ascii="Open Sans" w:hAnsi="Open Sans" w:cs="Open Sans"/>
          <w:color w:val="5E5E5E"/>
        </w:rPr>
        <w:t>i</w:t>
      </w:r>
      <w:r w:rsidR="00420B86">
        <w:rPr>
          <w:rFonts w:ascii="Open Sans" w:hAnsi="Open Sans" w:cs="Open Sans"/>
          <w:color w:val="5E5E5E"/>
        </w:rPr>
        <w:t>o de 2025</w:t>
      </w:r>
    </w:p>
    <w:p w14:paraId="04D65977" w14:textId="2E32DC36" w:rsidR="00140350" w:rsidRDefault="00140350" w:rsidP="002A7133"/>
    <w:p w14:paraId="595BC8D0" w14:textId="1D774788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proofErr w:type="gramStart"/>
      <w:r>
        <w:rPr>
          <w:rStyle w:val="Forte"/>
          <w:rFonts w:ascii="Open Sans" w:hAnsi="Open Sans" w:cs="Open Sans"/>
          <w:color w:val="5E5E5E"/>
        </w:rPr>
        <w:t>PRAZO  FINAL</w:t>
      </w:r>
      <w:proofErr w:type="gramEnd"/>
      <w:r>
        <w:rPr>
          <w:rStyle w:val="Forte"/>
          <w:rFonts w:ascii="Open Sans" w:hAnsi="Open Sans" w:cs="Open Sans"/>
          <w:color w:val="5E5E5E"/>
        </w:rPr>
        <w:t xml:space="preserve"> DE ENVIO DE PROPOSTAS</w:t>
      </w:r>
      <w:r>
        <w:rPr>
          <w:rFonts w:ascii="Open Sans" w:hAnsi="Open Sans" w:cs="Open Sans"/>
          <w:color w:val="5E5E5E"/>
        </w:rPr>
        <w:t>: </w:t>
      </w:r>
      <w:r>
        <w:rPr>
          <w:rStyle w:val="Forte"/>
          <w:rFonts w:ascii="Open Sans" w:hAnsi="Open Sans" w:cs="Open Sans"/>
          <w:color w:val="C43333"/>
        </w:rPr>
        <w:t> 2</w:t>
      </w:r>
      <w:r w:rsidR="00C10895">
        <w:rPr>
          <w:rStyle w:val="Forte"/>
          <w:rFonts w:ascii="Open Sans" w:hAnsi="Open Sans" w:cs="Open Sans"/>
          <w:color w:val="C43333"/>
        </w:rPr>
        <w:t>0</w:t>
      </w:r>
      <w:r>
        <w:rPr>
          <w:rStyle w:val="Forte"/>
          <w:rFonts w:ascii="Open Sans" w:hAnsi="Open Sans" w:cs="Open Sans"/>
          <w:color w:val="C43333"/>
        </w:rPr>
        <w:t xml:space="preserve"> de </w:t>
      </w:r>
      <w:r w:rsidR="00C10895">
        <w:rPr>
          <w:rStyle w:val="Forte"/>
          <w:rFonts w:ascii="Open Sans" w:hAnsi="Open Sans" w:cs="Open Sans"/>
          <w:color w:val="C43333"/>
        </w:rPr>
        <w:t>ma</w:t>
      </w:r>
      <w:r>
        <w:rPr>
          <w:rStyle w:val="Forte"/>
          <w:rFonts w:ascii="Open Sans" w:hAnsi="Open Sans" w:cs="Open Sans"/>
          <w:color w:val="C43333"/>
        </w:rPr>
        <w:t>r</w:t>
      </w:r>
      <w:r w:rsidR="00C10895">
        <w:rPr>
          <w:rStyle w:val="Forte"/>
          <w:rFonts w:ascii="Open Sans" w:hAnsi="Open Sans" w:cs="Open Sans"/>
          <w:color w:val="C43333"/>
        </w:rPr>
        <w:t>ç</w:t>
      </w:r>
      <w:r>
        <w:rPr>
          <w:rStyle w:val="Forte"/>
          <w:rFonts w:ascii="Open Sans" w:hAnsi="Open Sans" w:cs="Open Sans"/>
          <w:color w:val="C43333"/>
        </w:rPr>
        <w:t xml:space="preserve">o </w:t>
      </w:r>
    </w:p>
    <w:p w14:paraId="3133B259" w14:textId="1491DE4D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Enviar resumos a: </w:t>
      </w:r>
      <w:r>
        <w:rPr>
          <w:rFonts w:ascii="Open Sans" w:hAnsi="Open Sans" w:cs="Open Sans"/>
          <w:color w:val="0000FF"/>
        </w:rPr>
        <w:t>eventos@iberojur.com</w:t>
      </w:r>
      <w:r>
        <w:rPr>
          <w:rFonts w:ascii="Open Sans" w:hAnsi="Open Sans" w:cs="Open Sans"/>
          <w:color w:val="993300"/>
        </w:rPr>
        <w:t> </w:t>
      </w:r>
    </w:p>
    <w:p w14:paraId="274DD18E" w14:textId="3320BED2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993300"/>
        </w:rPr>
      </w:pPr>
      <w:r>
        <w:rPr>
          <w:rStyle w:val="Forte"/>
          <w:rFonts w:ascii="Open Sans" w:hAnsi="Open Sans" w:cs="Open Sans"/>
          <w:color w:val="5E5E5E"/>
        </w:rPr>
        <w:lastRenderedPageBreak/>
        <w:t>Divulgação da lista de aprovados</w:t>
      </w:r>
      <w:r>
        <w:rPr>
          <w:rFonts w:ascii="Open Sans" w:hAnsi="Open Sans" w:cs="Open Sans"/>
          <w:color w:val="5E5E5E"/>
        </w:rPr>
        <w:t>: </w:t>
      </w:r>
      <w:r w:rsidR="00C10895">
        <w:rPr>
          <w:rFonts w:ascii="Open Sans" w:hAnsi="Open Sans" w:cs="Open Sans"/>
          <w:color w:val="993300"/>
        </w:rPr>
        <w:t>23</w:t>
      </w:r>
      <w:r>
        <w:rPr>
          <w:rFonts w:ascii="Open Sans" w:hAnsi="Open Sans" w:cs="Open Sans"/>
          <w:color w:val="993300"/>
        </w:rPr>
        <w:t xml:space="preserve"> de </w:t>
      </w:r>
      <w:r w:rsidR="00C10895">
        <w:rPr>
          <w:rFonts w:ascii="Open Sans" w:hAnsi="Open Sans" w:cs="Open Sans"/>
          <w:color w:val="993300"/>
        </w:rPr>
        <w:t>març</w:t>
      </w:r>
      <w:r>
        <w:rPr>
          <w:rFonts w:ascii="Open Sans" w:hAnsi="Open Sans" w:cs="Open Sans"/>
          <w:color w:val="993300"/>
        </w:rPr>
        <w:t xml:space="preserve">o de 2025 </w:t>
      </w:r>
    </w:p>
    <w:p w14:paraId="1773FBFB" w14:textId="2A6901D6" w:rsidR="00E70623" w:rsidRPr="00E70623" w:rsidRDefault="00E70623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B57412"/>
        </w:rPr>
      </w:pPr>
      <w:r w:rsidRPr="00E70623">
        <w:rPr>
          <w:rFonts w:ascii="Open Sans" w:hAnsi="Open Sans" w:cs="Open Sans"/>
          <w:b/>
          <w:bCs/>
          <w:color w:val="5E5E5E"/>
        </w:rPr>
        <w:t>Taxa de inscrição: </w:t>
      </w:r>
      <w:r w:rsidRPr="00E70623">
        <w:rPr>
          <w:rFonts w:ascii="Open Sans" w:hAnsi="Open Sans" w:cs="Open Sans"/>
          <w:color w:val="5E5E5E"/>
        </w:rPr>
        <w:t> </w:t>
      </w:r>
      <w:r w:rsidRPr="00E70623">
        <w:rPr>
          <w:rFonts w:ascii="Open Sans" w:hAnsi="Open Sans" w:cs="Open Sans"/>
          <w:color w:val="B57412"/>
        </w:rPr>
        <w:t>75 euros</w:t>
      </w:r>
    </w:p>
    <w:p w14:paraId="6F6D0A87" w14:textId="631640DD" w:rsidR="00420B86" w:rsidRDefault="00420B86" w:rsidP="00420B86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Prazo para inscrição no Congresso</w:t>
      </w:r>
      <w:r>
        <w:rPr>
          <w:rFonts w:ascii="Open Sans" w:hAnsi="Open Sans" w:cs="Open Sans"/>
          <w:color w:val="5E5E5E"/>
        </w:rPr>
        <w:t>: </w:t>
      </w:r>
      <w:r w:rsidR="00D96DDF">
        <w:rPr>
          <w:rFonts w:ascii="Open Sans" w:hAnsi="Open Sans" w:cs="Open Sans"/>
          <w:color w:val="993300"/>
        </w:rPr>
        <w:t>28</w:t>
      </w:r>
      <w:r w:rsidR="00CD506B">
        <w:rPr>
          <w:rFonts w:ascii="Open Sans" w:hAnsi="Open Sans" w:cs="Open Sans"/>
          <w:color w:val="993300"/>
        </w:rPr>
        <w:t xml:space="preserve"> de março de 2025 </w:t>
      </w:r>
      <w:r>
        <w:rPr>
          <w:rFonts w:ascii="Open Sans" w:hAnsi="Open Sans" w:cs="Open Sans"/>
          <w:color w:val="B57412"/>
        </w:rPr>
        <w:t xml:space="preserve"> </w:t>
      </w:r>
    </w:p>
    <w:p w14:paraId="7036BD02" w14:textId="3B0AD0CF" w:rsidR="00140350" w:rsidRPr="005838D7" w:rsidRDefault="00420B86" w:rsidP="005838D7">
      <w:pPr>
        <w:pStyle w:val="NormalWeb"/>
        <w:shd w:val="clear" w:color="auto" w:fill="EFEFEF"/>
        <w:spacing w:before="0" w:beforeAutospacing="0" w:after="150" w:afterAutospacing="0"/>
        <w:rPr>
          <w:rFonts w:ascii="Open Sans" w:hAnsi="Open Sans" w:cs="Open Sans"/>
          <w:color w:val="5E5E5E"/>
        </w:rPr>
      </w:pPr>
      <w:r>
        <w:rPr>
          <w:rStyle w:val="Forte"/>
          <w:rFonts w:ascii="Open Sans" w:hAnsi="Open Sans" w:cs="Open Sans"/>
          <w:color w:val="5E5E5E"/>
        </w:rPr>
        <w:t>Publicação do Programa:</w:t>
      </w:r>
      <w:r>
        <w:rPr>
          <w:rFonts w:ascii="Open Sans" w:hAnsi="Open Sans" w:cs="Open Sans"/>
          <w:color w:val="5E5E5E"/>
        </w:rPr>
        <w:t> </w:t>
      </w:r>
      <w:r>
        <w:rPr>
          <w:rFonts w:ascii="Open Sans" w:hAnsi="Open Sans" w:cs="Open Sans"/>
          <w:color w:val="993300"/>
        </w:rPr>
        <w:t> </w:t>
      </w:r>
      <w:r w:rsidR="00C10895">
        <w:rPr>
          <w:rFonts w:ascii="Open Sans" w:hAnsi="Open Sans" w:cs="Open Sans"/>
          <w:color w:val="993300"/>
        </w:rPr>
        <w:t>1</w:t>
      </w:r>
      <w:r>
        <w:rPr>
          <w:rFonts w:ascii="Open Sans" w:hAnsi="Open Sans" w:cs="Open Sans"/>
          <w:color w:val="993300"/>
        </w:rPr>
        <w:t xml:space="preserve"> de </w:t>
      </w:r>
      <w:r w:rsidR="00C10895">
        <w:rPr>
          <w:rFonts w:ascii="Open Sans" w:hAnsi="Open Sans" w:cs="Open Sans"/>
          <w:color w:val="993300"/>
        </w:rPr>
        <w:t>abril</w:t>
      </w:r>
      <w:r>
        <w:rPr>
          <w:rFonts w:ascii="Open Sans" w:hAnsi="Open Sans" w:cs="Open Sans"/>
          <w:color w:val="993300"/>
        </w:rPr>
        <w:t xml:space="preserve"> de 2025 </w:t>
      </w:r>
    </w:p>
    <w:sectPr w:rsidR="00140350" w:rsidRPr="005838D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6D61F7" w14:textId="77777777" w:rsidR="00ED6A6F" w:rsidRDefault="00ED6A6F" w:rsidP="00207533">
      <w:pPr>
        <w:spacing w:after="0" w:line="240" w:lineRule="auto"/>
      </w:pPr>
      <w:r>
        <w:separator/>
      </w:r>
    </w:p>
  </w:endnote>
  <w:endnote w:type="continuationSeparator" w:id="0">
    <w:p w14:paraId="656106A6" w14:textId="77777777" w:rsidR="00ED6A6F" w:rsidRDefault="00ED6A6F" w:rsidP="002075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EUAlbertina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074DF8" w14:textId="77777777" w:rsidR="00ED6A6F" w:rsidRDefault="00ED6A6F" w:rsidP="00207533">
      <w:pPr>
        <w:spacing w:after="0" w:line="240" w:lineRule="auto"/>
      </w:pPr>
      <w:r>
        <w:separator/>
      </w:r>
    </w:p>
  </w:footnote>
  <w:footnote w:type="continuationSeparator" w:id="0">
    <w:p w14:paraId="5F754887" w14:textId="77777777" w:rsidR="00ED6A6F" w:rsidRDefault="00ED6A6F" w:rsidP="002075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F45FC"/>
    <w:multiLevelType w:val="hybridMultilevel"/>
    <w:tmpl w:val="3D205862"/>
    <w:lvl w:ilvl="0" w:tplc="08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94FA9"/>
    <w:multiLevelType w:val="multilevel"/>
    <w:tmpl w:val="B0043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54713BB"/>
    <w:multiLevelType w:val="multilevel"/>
    <w:tmpl w:val="37A66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648004C"/>
    <w:multiLevelType w:val="multilevel"/>
    <w:tmpl w:val="12A0DE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47D33645"/>
    <w:multiLevelType w:val="multilevel"/>
    <w:tmpl w:val="70B08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57FB048B"/>
    <w:multiLevelType w:val="hybridMultilevel"/>
    <w:tmpl w:val="7DDCC0C4"/>
    <w:lvl w:ilvl="0" w:tplc="0816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B8C0EA4"/>
    <w:multiLevelType w:val="multilevel"/>
    <w:tmpl w:val="AE2673F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3"/>
  </w:num>
  <w:num w:numId="3">
    <w:abstractNumId w:val="6"/>
  </w:num>
  <w:num w:numId="4">
    <w:abstractNumId w:val="5"/>
  </w:num>
  <w:num w:numId="5">
    <w:abstractNumId w:val="1"/>
  </w:num>
  <w:num w:numId="6">
    <w:abstractNumId w:val="4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031"/>
    <w:rsid w:val="00021A2F"/>
    <w:rsid w:val="00037719"/>
    <w:rsid w:val="000403F8"/>
    <w:rsid w:val="00052C59"/>
    <w:rsid w:val="00055175"/>
    <w:rsid w:val="000879CF"/>
    <w:rsid w:val="000A1E8B"/>
    <w:rsid w:val="000C1EAB"/>
    <w:rsid w:val="000C7A56"/>
    <w:rsid w:val="000D5F6C"/>
    <w:rsid w:val="0010164D"/>
    <w:rsid w:val="00102C2D"/>
    <w:rsid w:val="00116C72"/>
    <w:rsid w:val="0012030A"/>
    <w:rsid w:val="001271BD"/>
    <w:rsid w:val="00132668"/>
    <w:rsid w:val="00140350"/>
    <w:rsid w:val="00154117"/>
    <w:rsid w:val="0015662A"/>
    <w:rsid w:val="00163401"/>
    <w:rsid w:val="00164031"/>
    <w:rsid w:val="00177E86"/>
    <w:rsid w:val="00181298"/>
    <w:rsid w:val="00183CE7"/>
    <w:rsid w:val="001B3DDF"/>
    <w:rsid w:val="001C3507"/>
    <w:rsid w:val="001C5538"/>
    <w:rsid w:val="001C7991"/>
    <w:rsid w:val="001D37C2"/>
    <w:rsid w:val="001F2411"/>
    <w:rsid w:val="001F5CA4"/>
    <w:rsid w:val="00206805"/>
    <w:rsid w:val="00207533"/>
    <w:rsid w:val="00207D00"/>
    <w:rsid w:val="0021166E"/>
    <w:rsid w:val="00216189"/>
    <w:rsid w:val="00240267"/>
    <w:rsid w:val="002425FA"/>
    <w:rsid w:val="00252664"/>
    <w:rsid w:val="00262E56"/>
    <w:rsid w:val="00265572"/>
    <w:rsid w:val="002A1E7C"/>
    <w:rsid w:val="002A7133"/>
    <w:rsid w:val="002B02FA"/>
    <w:rsid w:val="002B4D2B"/>
    <w:rsid w:val="002E00D7"/>
    <w:rsid w:val="002F20E2"/>
    <w:rsid w:val="002F3B7D"/>
    <w:rsid w:val="00305A70"/>
    <w:rsid w:val="00310344"/>
    <w:rsid w:val="00312DAC"/>
    <w:rsid w:val="003143E3"/>
    <w:rsid w:val="003255EA"/>
    <w:rsid w:val="00330B94"/>
    <w:rsid w:val="00333271"/>
    <w:rsid w:val="00370035"/>
    <w:rsid w:val="00370A29"/>
    <w:rsid w:val="00374812"/>
    <w:rsid w:val="003923A2"/>
    <w:rsid w:val="003A402E"/>
    <w:rsid w:val="003B3261"/>
    <w:rsid w:val="003C57E2"/>
    <w:rsid w:val="003D4024"/>
    <w:rsid w:val="003D48F3"/>
    <w:rsid w:val="003F4AC3"/>
    <w:rsid w:val="00402D2E"/>
    <w:rsid w:val="004064CC"/>
    <w:rsid w:val="00411F39"/>
    <w:rsid w:val="00420B86"/>
    <w:rsid w:val="0043202F"/>
    <w:rsid w:val="00432AB2"/>
    <w:rsid w:val="00455147"/>
    <w:rsid w:val="004655CF"/>
    <w:rsid w:val="004E0E9D"/>
    <w:rsid w:val="004E1C40"/>
    <w:rsid w:val="004E5E3E"/>
    <w:rsid w:val="004E70BE"/>
    <w:rsid w:val="005271B0"/>
    <w:rsid w:val="0053627A"/>
    <w:rsid w:val="00544E9B"/>
    <w:rsid w:val="00556343"/>
    <w:rsid w:val="00563BFB"/>
    <w:rsid w:val="00572E03"/>
    <w:rsid w:val="0057473E"/>
    <w:rsid w:val="00575180"/>
    <w:rsid w:val="005838D7"/>
    <w:rsid w:val="0059371A"/>
    <w:rsid w:val="005B3DD9"/>
    <w:rsid w:val="005C7943"/>
    <w:rsid w:val="005F30BF"/>
    <w:rsid w:val="005F499D"/>
    <w:rsid w:val="00614584"/>
    <w:rsid w:val="006227D8"/>
    <w:rsid w:val="006341D8"/>
    <w:rsid w:val="006623EA"/>
    <w:rsid w:val="00662405"/>
    <w:rsid w:val="006633D9"/>
    <w:rsid w:val="00676ADD"/>
    <w:rsid w:val="00692C08"/>
    <w:rsid w:val="006F197B"/>
    <w:rsid w:val="006F1ECA"/>
    <w:rsid w:val="0071700E"/>
    <w:rsid w:val="00721202"/>
    <w:rsid w:val="007533DF"/>
    <w:rsid w:val="007607D8"/>
    <w:rsid w:val="00774FB7"/>
    <w:rsid w:val="00784F6D"/>
    <w:rsid w:val="00797076"/>
    <w:rsid w:val="007B7F80"/>
    <w:rsid w:val="007F351B"/>
    <w:rsid w:val="00806E2E"/>
    <w:rsid w:val="008359F2"/>
    <w:rsid w:val="00835DFF"/>
    <w:rsid w:val="008417C4"/>
    <w:rsid w:val="00861341"/>
    <w:rsid w:val="008677F5"/>
    <w:rsid w:val="00874141"/>
    <w:rsid w:val="00887E5E"/>
    <w:rsid w:val="00897D13"/>
    <w:rsid w:val="008A5A7C"/>
    <w:rsid w:val="008B29AC"/>
    <w:rsid w:val="008B54EC"/>
    <w:rsid w:val="008C1AF1"/>
    <w:rsid w:val="008C1D79"/>
    <w:rsid w:val="008C76B3"/>
    <w:rsid w:val="008D2417"/>
    <w:rsid w:val="008D7F39"/>
    <w:rsid w:val="008F11BF"/>
    <w:rsid w:val="008F34BE"/>
    <w:rsid w:val="009355B5"/>
    <w:rsid w:val="00936D18"/>
    <w:rsid w:val="00940FC4"/>
    <w:rsid w:val="0095075C"/>
    <w:rsid w:val="00957A3F"/>
    <w:rsid w:val="009611BE"/>
    <w:rsid w:val="009633F6"/>
    <w:rsid w:val="009654C5"/>
    <w:rsid w:val="00970912"/>
    <w:rsid w:val="0097632D"/>
    <w:rsid w:val="009779AC"/>
    <w:rsid w:val="00980DAC"/>
    <w:rsid w:val="0099791B"/>
    <w:rsid w:val="00997B64"/>
    <w:rsid w:val="00997EDE"/>
    <w:rsid w:val="009A2F1E"/>
    <w:rsid w:val="009B5A7A"/>
    <w:rsid w:val="009C1FC3"/>
    <w:rsid w:val="009D7094"/>
    <w:rsid w:val="009E5822"/>
    <w:rsid w:val="009E677A"/>
    <w:rsid w:val="009F649D"/>
    <w:rsid w:val="009F7F51"/>
    <w:rsid w:val="00A10663"/>
    <w:rsid w:val="00A33A0E"/>
    <w:rsid w:val="00A42D00"/>
    <w:rsid w:val="00A47CE4"/>
    <w:rsid w:val="00A51E40"/>
    <w:rsid w:val="00A66301"/>
    <w:rsid w:val="00A71353"/>
    <w:rsid w:val="00A765AB"/>
    <w:rsid w:val="00A825A7"/>
    <w:rsid w:val="00A83E93"/>
    <w:rsid w:val="00A921A9"/>
    <w:rsid w:val="00A954A1"/>
    <w:rsid w:val="00AA1AD0"/>
    <w:rsid w:val="00AA2381"/>
    <w:rsid w:val="00AE55ED"/>
    <w:rsid w:val="00AF0C23"/>
    <w:rsid w:val="00AF6237"/>
    <w:rsid w:val="00B14F78"/>
    <w:rsid w:val="00B17BD0"/>
    <w:rsid w:val="00B4724B"/>
    <w:rsid w:val="00B50273"/>
    <w:rsid w:val="00B623C8"/>
    <w:rsid w:val="00B7634E"/>
    <w:rsid w:val="00B81B58"/>
    <w:rsid w:val="00B91617"/>
    <w:rsid w:val="00BA29AA"/>
    <w:rsid w:val="00BB1895"/>
    <w:rsid w:val="00BC2483"/>
    <w:rsid w:val="00BD6F6F"/>
    <w:rsid w:val="00BE238F"/>
    <w:rsid w:val="00BE5283"/>
    <w:rsid w:val="00C04309"/>
    <w:rsid w:val="00C10895"/>
    <w:rsid w:val="00C129DB"/>
    <w:rsid w:val="00C23967"/>
    <w:rsid w:val="00C30B33"/>
    <w:rsid w:val="00C34DE2"/>
    <w:rsid w:val="00C5449D"/>
    <w:rsid w:val="00C66374"/>
    <w:rsid w:val="00C732CF"/>
    <w:rsid w:val="00C81FD0"/>
    <w:rsid w:val="00C948B5"/>
    <w:rsid w:val="00C9701A"/>
    <w:rsid w:val="00C9780B"/>
    <w:rsid w:val="00CC4A47"/>
    <w:rsid w:val="00CD0114"/>
    <w:rsid w:val="00CD506B"/>
    <w:rsid w:val="00CE647F"/>
    <w:rsid w:val="00CF2D15"/>
    <w:rsid w:val="00D210D1"/>
    <w:rsid w:val="00D521A6"/>
    <w:rsid w:val="00D9304E"/>
    <w:rsid w:val="00D96DDF"/>
    <w:rsid w:val="00D9730A"/>
    <w:rsid w:val="00DA4549"/>
    <w:rsid w:val="00DB1833"/>
    <w:rsid w:val="00DB5053"/>
    <w:rsid w:val="00DC3BBD"/>
    <w:rsid w:val="00DC703E"/>
    <w:rsid w:val="00DC72EC"/>
    <w:rsid w:val="00DD1BF6"/>
    <w:rsid w:val="00DE5B6F"/>
    <w:rsid w:val="00DF0C96"/>
    <w:rsid w:val="00DF4214"/>
    <w:rsid w:val="00DF53E2"/>
    <w:rsid w:val="00E1249C"/>
    <w:rsid w:val="00E14391"/>
    <w:rsid w:val="00E2460B"/>
    <w:rsid w:val="00E3584E"/>
    <w:rsid w:val="00E4192F"/>
    <w:rsid w:val="00E41D7F"/>
    <w:rsid w:val="00E519F7"/>
    <w:rsid w:val="00E67930"/>
    <w:rsid w:val="00E70623"/>
    <w:rsid w:val="00E72EE7"/>
    <w:rsid w:val="00E855DD"/>
    <w:rsid w:val="00EC41AA"/>
    <w:rsid w:val="00EC43F6"/>
    <w:rsid w:val="00ED6A6F"/>
    <w:rsid w:val="00EE0488"/>
    <w:rsid w:val="00EE1A41"/>
    <w:rsid w:val="00EE4CF5"/>
    <w:rsid w:val="00EF68C3"/>
    <w:rsid w:val="00F03F8A"/>
    <w:rsid w:val="00F22E39"/>
    <w:rsid w:val="00F36D8F"/>
    <w:rsid w:val="00F42AB1"/>
    <w:rsid w:val="00F44414"/>
    <w:rsid w:val="00F517A9"/>
    <w:rsid w:val="00F60C48"/>
    <w:rsid w:val="00F6448B"/>
    <w:rsid w:val="00F6475E"/>
    <w:rsid w:val="00F86FE6"/>
    <w:rsid w:val="00FA0EAA"/>
    <w:rsid w:val="00FA6A88"/>
    <w:rsid w:val="00FA728B"/>
    <w:rsid w:val="00FC29A0"/>
    <w:rsid w:val="00FE6ECD"/>
    <w:rsid w:val="00FF7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BFC35C"/>
  <w15:chartTrackingRefBased/>
  <w15:docId w15:val="{178DA4B3-5384-4905-A17C-71300DBB0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74812"/>
  </w:style>
  <w:style w:type="paragraph" w:styleId="Ttulo1">
    <w:name w:val="heading 1"/>
    <w:basedOn w:val="Normal"/>
    <w:next w:val="Normal"/>
    <w:link w:val="Ttulo1Carter"/>
    <w:uiPriority w:val="9"/>
    <w:qFormat/>
    <w:rsid w:val="001403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633F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183CE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Ttulo4">
    <w:name w:val="heading 4"/>
    <w:basedOn w:val="Normal"/>
    <w:link w:val="Ttulo4Carter"/>
    <w:uiPriority w:val="9"/>
    <w:qFormat/>
    <w:rsid w:val="00164031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4Carter">
    <w:name w:val="Título 4 Caráter"/>
    <w:basedOn w:val="Tipodeletrapredefinidodopargrafo"/>
    <w:link w:val="Ttulo4"/>
    <w:uiPriority w:val="9"/>
    <w:rsid w:val="00164031"/>
    <w:rPr>
      <w:rFonts w:ascii="Times New Roman" w:eastAsia="Times New Roman" w:hAnsi="Times New Roman" w:cs="Times New Roman"/>
      <w:b/>
      <w:bCs/>
      <w:sz w:val="24"/>
      <w:szCs w:val="24"/>
      <w:lang w:eastAsia="pt-PT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633F6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ligao">
    <w:name w:val="Hyperlink"/>
    <w:basedOn w:val="Tipodeletrapredefinidodopargrafo"/>
    <w:unhideWhenUsed/>
    <w:rsid w:val="009633F6"/>
    <w:rPr>
      <w:color w:val="0000FF"/>
      <w:u w:val="single"/>
    </w:rPr>
  </w:style>
  <w:style w:type="paragraph" w:customStyle="1" w:styleId="elementor-icon-list-item">
    <w:name w:val="elementor-icon-list-item"/>
    <w:basedOn w:val="Normal"/>
    <w:rsid w:val="00B623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elementor-icon-list-text">
    <w:name w:val="elementor-icon-list-text"/>
    <w:basedOn w:val="Tipodeletrapredefinidodopargrafo"/>
    <w:rsid w:val="00B623C8"/>
  </w:style>
  <w:style w:type="character" w:customStyle="1" w:styleId="elementor-heading-title">
    <w:name w:val="elementor-heading-title"/>
    <w:basedOn w:val="Tipodeletrapredefinidodopargrafo"/>
    <w:rsid w:val="00B623C8"/>
  </w:style>
  <w:style w:type="paragraph" w:customStyle="1" w:styleId="font8">
    <w:name w:val="font_8"/>
    <w:basedOn w:val="Normal"/>
    <w:uiPriority w:val="99"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customStyle="1" w:styleId="Default">
    <w:name w:val="Default"/>
    <w:rsid w:val="00207533"/>
    <w:pPr>
      <w:autoSpaceDE w:val="0"/>
      <w:autoSpaceDN w:val="0"/>
      <w:adjustRightInd w:val="0"/>
      <w:spacing w:after="0" w:line="240" w:lineRule="auto"/>
    </w:pPr>
    <w:rPr>
      <w:rFonts w:ascii="EUAlbertina" w:eastAsia="Times New Roman" w:hAnsi="EUAlbertina" w:cs="EUAlbertina"/>
      <w:color w:val="000000"/>
      <w:sz w:val="24"/>
      <w:szCs w:val="24"/>
      <w:lang w:eastAsia="pt-PT"/>
    </w:rPr>
  </w:style>
  <w:style w:type="paragraph" w:styleId="Textodenotaderodap">
    <w:name w:val="footnote text"/>
    <w:basedOn w:val="Normal"/>
    <w:link w:val="TextodenotaderodapCarter"/>
    <w:uiPriority w:val="99"/>
    <w:rsid w:val="00207533"/>
    <w:pPr>
      <w:spacing w:after="0" w:line="240" w:lineRule="auto"/>
    </w:pPr>
    <w:rPr>
      <w:rFonts w:ascii="Arial" w:eastAsia="Times New Roman" w:hAnsi="Arial" w:cs="Arial"/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rsid w:val="00207533"/>
    <w:rPr>
      <w:rFonts w:ascii="Arial" w:eastAsia="Times New Roman" w:hAnsi="Arial" w:cs="Arial"/>
      <w:sz w:val="20"/>
      <w:szCs w:val="20"/>
    </w:rPr>
  </w:style>
  <w:style w:type="character" w:styleId="Forte">
    <w:name w:val="Strong"/>
    <w:uiPriority w:val="22"/>
    <w:qFormat/>
    <w:rsid w:val="00207533"/>
    <w:rPr>
      <w:b/>
      <w:bCs/>
    </w:rPr>
  </w:style>
  <w:style w:type="character" w:styleId="Refdenotaderodap">
    <w:name w:val="footnote reference"/>
    <w:uiPriority w:val="99"/>
    <w:rsid w:val="00207533"/>
    <w:rPr>
      <w:vertAlign w:val="superscript"/>
    </w:rPr>
  </w:style>
  <w:style w:type="paragraph" w:styleId="NormalWeb">
    <w:name w:val="Normal (Web)"/>
    <w:basedOn w:val="Normal"/>
    <w:uiPriority w:val="99"/>
    <w:unhideWhenUsed/>
    <w:rsid w:val="002075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PargrafodaLista">
    <w:name w:val="List Paragraph"/>
    <w:basedOn w:val="Normal"/>
    <w:uiPriority w:val="34"/>
    <w:qFormat/>
    <w:rsid w:val="00207533"/>
    <w:pPr>
      <w:spacing w:after="0" w:line="240" w:lineRule="auto"/>
    </w:pPr>
    <w:rPr>
      <w:rFonts w:ascii="Calibri" w:hAnsi="Calibri" w:cs="Calibri"/>
      <w:lang w:eastAsia="pt-PT"/>
    </w:rPr>
  </w:style>
  <w:style w:type="paragraph" w:styleId="Textosimples">
    <w:name w:val="Plain Text"/>
    <w:basedOn w:val="Normal"/>
    <w:link w:val="TextosimplesCarter"/>
    <w:uiPriority w:val="99"/>
    <w:unhideWhenUsed/>
    <w:rsid w:val="00207533"/>
    <w:pPr>
      <w:spacing w:after="0" w:line="240" w:lineRule="auto"/>
    </w:pPr>
    <w:rPr>
      <w:rFonts w:ascii="Calibri" w:hAnsi="Calibri"/>
      <w:szCs w:val="21"/>
    </w:rPr>
  </w:style>
  <w:style w:type="character" w:customStyle="1" w:styleId="TextosimplesCarter">
    <w:name w:val="Texto simples Caráter"/>
    <w:basedOn w:val="Tipodeletrapredefinidodopargrafo"/>
    <w:link w:val="Textosimples"/>
    <w:uiPriority w:val="99"/>
    <w:rsid w:val="00207533"/>
    <w:rPr>
      <w:rFonts w:ascii="Calibri" w:hAnsi="Calibri"/>
      <w:szCs w:val="21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575180"/>
    <w:rPr>
      <w:color w:val="605E5C"/>
      <w:shd w:val="clear" w:color="auto" w:fill="E1DFDD"/>
    </w:rPr>
  </w:style>
  <w:style w:type="character" w:customStyle="1" w:styleId="name">
    <w:name w:val="name"/>
    <w:basedOn w:val="Tipodeletrapredefinidodopargrafo"/>
    <w:rsid w:val="006623EA"/>
  </w:style>
  <w:style w:type="character" w:styleId="nfase">
    <w:name w:val="Emphasis"/>
    <w:basedOn w:val="Tipodeletrapredefinidodopargrafo"/>
    <w:uiPriority w:val="20"/>
    <w:qFormat/>
    <w:rsid w:val="00EE0488"/>
    <w:rPr>
      <w:i/>
      <w:iCs/>
    </w:rPr>
  </w:style>
  <w:style w:type="character" w:customStyle="1" w:styleId="Ttulo1Carter">
    <w:name w:val="Título 1 Caráter"/>
    <w:basedOn w:val="Tipodeletrapredefinidodopargrafo"/>
    <w:link w:val="Ttulo1"/>
    <w:uiPriority w:val="9"/>
    <w:rsid w:val="001403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rgba">
    <w:name w:val="rgba"/>
    <w:basedOn w:val="Tipodeletrapredefinidodopargrafo"/>
    <w:rsid w:val="00140350"/>
  </w:style>
  <w:style w:type="paragraph" w:styleId="Bibliografia">
    <w:name w:val="Bibliography"/>
    <w:basedOn w:val="Normal"/>
    <w:next w:val="Normal"/>
    <w:uiPriority w:val="37"/>
    <w:semiHidden/>
    <w:unhideWhenUsed/>
    <w:rsid w:val="0043202F"/>
  </w:style>
  <w:style w:type="character" w:styleId="Hiperligaovisitada">
    <w:name w:val="FollowedHyperlink"/>
    <w:basedOn w:val="Tipodeletrapredefinidodopargrafo"/>
    <w:uiPriority w:val="99"/>
    <w:semiHidden/>
    <w:unhideWhenUsed/>
    <w:rsid w:val="000879CF"/>
    <w:rPr>
      <w:color w:val="954F72" w:themeColor="followedHyperlink"/>
      <w:u w:val="single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183CE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citetitle">
    <w:name w:val="cite_title"/>
    <w:basedOn w:val="Tipodeletrapredefinidodopargrafo"/>
    <w:rsid w:val="00C9780B"/>
  </w:style>
  <w:style w:type="paragraph" w:styleId="Corpodetexto">
    <w:name w:val="Body Text"/>
    <w:basedOn w:val="Normal"/>
    <w:link w:val="CorpodetextoCarter"/>
    <w:uiPriority w:val="1"/>
    <w:qFormat/>
    <w:rsid w:val="0010164D"/>
    <w:pPr>
      <w:widowControl w:val="0"/>
      <w:autoSpaceDE w:val="0"/>
      <w:autoSpaceDN w:val="0"/>
      <w:adjustRightInd w:val="0"/>
      <w:spacing w:after="0" w:line="240" w:lineRule="auto"/>
      <w:ind w:left="122" w:firstLine="566"/>
    </w:pPr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CorpodetextoCarter">
    <w:name w:val="Corpo de texto Caráter"/>
    <w:basedOn w:val="Tipodeletrapredefinidodopargrafo"/>
    <w:link w:val="Corpodetexto"/>
    <w:uiPriority w:val="1"/>
    <w:rsid w:val="0010164D"/>
    <w:rPr>
      <w:rFonts w:ascii="Calibri" w:eastAsia="Times New Roman" w:hAnsi="Calibri" w:cs="Calibri"/>
      <w:sz w:val="24"/>
      <w:szCs w:val="24"/>
      <w:lang w:val="pt-BR" w:eastAsia="pt-BR"/>
    </w:rPr>
  </w:style>
  <w:style w:type="character" w:customStyle="1" w:styleId="text-primary">
    <w:name w:val="text-primary"/>
    <w:basedOn w:val="Tipodeletrapredefinidodopargrafo"/>
    <w:rsid w:val="00C23967"/>
  </w:style>
  <w:style w:type="paragraph" w:customStyle="1" w:styleId="fw-bold">
    <w:name w:val="fw-bold"/>
    <w:basedOn w:val="Normal"/>
    <w:rsid w:val="00BB189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character" w:customStyle="1" w:styleId="text">
    <w:name w:val="text"/>
    <w:rsid w:val="008B29AC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9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0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5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8199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068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4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03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4431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30748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8769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326057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5887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5840559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7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0318117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385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59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69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6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59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3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1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6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2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6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7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8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57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1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9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2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82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0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88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berojur.com/event/vi-futurelaw-porto/" TargetMode="External"/><Relationship Id="rId13" Type="http://schemas.openxmlformats.org/officeDocument/2006/relationships/hyperlink" Target="https://doi.org/10.46294/ul-plr%20-%20rdul-p.v17i1.9087" TargetMode="External"/><Relationship Id="rId18" Type="http://schemas.openxmlformats.org/officeDocument/2006/relationships/hyperlink" Target="https://eur-lex.europa.eu/legal-content/PT/TXT/?uri=CELEX%3A52024DC0115&amp;qid=1710234342137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orcid.org/0000-0003-4720-1400" TargetMode="External"/><Relationship Id="rId7" Type="http://schemas.openxmlformats.org/officeDocument/2006/relationships/image" Target="media/image1.png"/><Relationship Id="rId12" Type="http://schemas.openxmlformats.org/officeDocument/2006/relationships/hyperlink" Target="https://doi.org/10.26537/rcej.vi31" TargetMode="External"/><Relationship Id="rId17" Type="http://schemas.openxmlformats.org/officeDocument/2006/relationships/hyperlink" Target="https://www.jusgov.uminho.pt/publications/jusgov-research-paper-series/" TargetMode="External"/><Relationship Id="rId2" Type="http://schemas.openxmlformats.org/officeDocument/2006/relationships/styles" Target="styles.xml"/><Relationship Id="rId16" Type="http://schemas.openxmlformats.org/officeDocument/2006/relationships/hyperlink" Target="https://dx.doi.org/10.2139/ssrn.5018407" TargetMode="External"/><Relationship Id="rId20" Type="http://schemas.openxmlformats.org/officeDocument/2006/relationships/image" Target="media/image2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parc.ipp.pt/index.php/rebules/issue/view/173" TargetMode="Externa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hyperlink" Target="https://ssrn.com/abstract=5018407" TargetMode="External"/><Relationship Id="rId23" Type="http://schemas.openxmlformats.org/officeDocument/2006/relationships/fontTable" Target="fontTable.xml"/><Relationship Id="rId10" Type="http://schemas.openxmlformats.org/officeDocument/2006/relationships/hyperlink" Target="mailto:dra@upt.pt" TargetMode="External"/><Relationship Id="rId19" Type="http://schemas.openxmlformats.org/officeDocument/2006/relationships/hyperlink" Target="https://www.europarl.europa.eu/factsheets/pt/sheet/82/a-politica-de-concorrenci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iberojur.com/futurelaw6/" TargetMode="External"/><Relationship Id="rId14" Type="http://schemas.openxmlformats.org/officeDocument/2006/relationships/hyperlink" Target="https://revistas.ulusofona.pt/index.php/rfdulp/issue/view/869" TargetMode="External"/><Relationship Id="rId22" Type="http://schemas.openxmlformats.org/officeDocument/2006/relationships/hyperlink" Target="http://www.cienciavitae.pt//CA1A-FE14-5CC1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5</Pages>
  <Words>1357</Words>
  <Characters>7334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Dora Resende Alves</dc:creator>
  <cp:keywords/>
  <dc:description/>
  <cp:lastModifiedBy>Filipa Maria Sousa Marinho da Silva</cp:lastModifiedBy>
  <cp:revision>2</cp:revision>
  <dcterms:created xsi:type="dcterms:W3CDTF">2025-04-07T10:06:00Z</dcterms:created>
  <dcterms:modified xsi:type="dcterms:W3CDTF">2025-04-07T10:06:00Z</dcterms:modified>
</cp:coreProperties>
</file>