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D21AB" w:rsidRDefault="008D21AB" w:rsidP="00F433CE">
      <w:pPr>
        <w:pStyle w:val="Default"/>
        <w:rPr>
          <w:rFonts w:ascii="Times New Roman" w:hAnsi="Times New Roman" w:cs="Times New Roman"/>
          <w:b/>
          <w:bCs/>
          <w:color w:val="auto"/>
          <w:sz w:val="18"/>
          <w:szCs w:val="18"/>
        </w:rPr>
      </w:pPr>
      <w:hyperlink r:id="rId7" w:history="1">
        <w:r w:rsidRPr="005A78EA">
          <w:rPr>
            <w:rFonts w:cs="Times New Roman"/>
            <w:noProof/>
            <w:color w:val="C57901"/>
            <w:sz w:val="21"/>
            <w:szCs w:val="21"/>
          </w:rPr>
          <w:pict>
            <v:shape id="Picture 1" o:spid="_x0000_i1026" type="#_x0000_t75" alt="Logo Diverso" href="http://comunicacionypensamiento.org/p" style="width:330pt;height:82.5pt;visibility:visible" o:button="t">
              <v:fill o:detectmouseclick="t"/>
              <v:imagedata r:id="rId8" o:title=""/>
            </v:shape>
          </w:pict>
        </w:r>
      </w:hyperlink>
    </w:p>
    <w:p w:rsidR="008D21AB" w:rsidRPr="003A2DF3" w:rsidRDefault="008D21AB" w:rsidP="00F433CE">
      <w:pPr>
        <w:autoSpaceDE w:val="0"/>
        <w:autoSpaceDN w:val="0"/>
        <w:adjustRightInd w:val="0"/>
        <w:rPr>
          <w:noProof/>
        </w:rPr>
      </w:pPr>
    </w:p>
    <w:p w:rsidR="008D21AB" w:rsidRPr="00190AB9" w:rsidRDefault="008D21AB" w:rsidP="003A2DF3">
      <w:pPr>
        <w:pStyle w:val="Default"/>
        <w:rPr>
          <w:rFonts w:ascii="Times New Roman" w:hAnsi="Times New Roman" w:cs="Times New Roman"/>
          <w:lang w:val="es-ES_tradnl"/>
        </w:rPr>
      </w:pPr>
    </w:p>
    <w:p w:rsidR="008D21AB" w:rsidRDefault="008D21AB" w:rsidP="00671883">
      <w:pPr>
        <w:tabs>
          <w:tab w:val="left" w:pos="2040"/>
          <w:tab w:val="right" w:pos="8504"/>
        </w:tabs>
        <w:jc w:val="center"/>
        <w:rPr>
          <w:rFonts w:ascii="Lucida Sans Unicode" w:hAnsi="Lucida Sans Unicode" w:cs="Lucida Sans Unicode"/>
          <w:b/>
          <w:bCs/>
          <w:lang w:val="es-ES_tradnl"/>
        </w:rPr>
      </w:pPr>
      <w:r w:rsidRPr="00671883">
        <w:rPr>
          <w:rFonts w:ascii="Lucida Sans Unicode" w:hAnsi="Lucida Sans Unicode" w:cs="Lucida Sans Unicode"/>
          <w:b/>
          <w:bCs/>
          <w:lang w:val="es-ES_tradnl"/>
        </w:rPr>
        <w:t xml:space="preserve">I Congreso Internacional Comunicación y Pensamiento. </w:t>
      </w:r>
    </w:p>
    <w:p w:rsidR="008D21AB" w:rsidRDefault="008D21AB" w:rsidP="00671883">
      <w:pPr>
        <w:tabs>
          <w:tab w:val="left" w:pos="2040"/>
          <w:tab w:val="right" w:pos="8504"/>
        </w:tabs>
        <w:jc w:val="center"/>
        <w:rPr>
          <w:rFonts w:ascii="Lucida Sans Unicode" w:hAnsi="Lucida Sans Unicode" w:cs="Lucida Sans Unicode"/>
          <w:lang w:val="es-ES_tradnl"/>
        </w:rPr>
      </w:pPr>
      <w:r w:rsidRPr="00671883">
        <w:rPr>
          <w:rFonts w:ascii="Lucida Sans Unicode" w:hAnsi="Lucida Sans Unicode" w:cs="Lucida Sans Unicode"/>
          <w:b/>
          <w:bCs/>
          <w:lang w:val="es-ES_tradnl"/>
        </w:rPr>
        <w:t>Comunicracia y desarrollo Social</w:t>
      </w:r>
      <w:r w:rsidRPr="00671883">
        <w:rPr>
          <w:rFonts w:ascii="Lucida Sans Unicode" w:hAnsi="Lucida Sans Unicode" w:cs="Lucida Sans Unicode"/>
          <w:lang w:val="es-ES_tradnl"/>
        </w:rPr>
        <w:t> </w:t>
      </w:r>
    </w:p>
    <w:p w:rsidR="008D21AB" w:rsidRDefault="008D21AB" w:rsidP="00671883">
      <w:pPr>
        <w:tabs>
          <w:tab w:val="left" w:pos="2040"/>
          <w:tab w:val="right" w:pos="8504"/>
        </w:tabs>
        <w:jc w:val="center"/>
        <w:rPr>
          <w:rFonts w:ascii="Lucida Sans Unicode" w:hAnsi="Lucida Sans Unicode" w:cs="Lucida Sans Unicode"/>
          <w:lang w:val="es-ES_tradnl"/>
        </w:rPr>
      </w:pPr>
    </w:p>
    <w:p w:rsidR="008D21AB" w:rsidRDefault="008D21AB" w:rsidP="00816698">
      <w:pPr>
        <w:tabs>
          <w:tab w:val="left" w:pos="2040"/>
          <w:tab w:val="right" w:pos="8504"/>
        </w:tabs>
        <w:jc w:val="center"/>
        <w:rPr>
          <w:sz w:val="28"/>
          <w:szCs w:val="28"/>
          <w:lang w:val="es-ES_tradnl"/>
        </w:rPr>
      </w:pPr>
      <w:r>
        <w:rPr>
          <w:rFonts w:ascii="Lucida Sans Unicode" w:hAnsi="Lucida Sans Unicode" w:cs="Lucida Sans Unicode"/>
          <w:lang w:val="es-ES_tradnl"/>
        </w:rPr>
        <w:t>Sevilla lo día</w:t>
      </w:r>
      <w:r w:rsidRPr="00671883">
        <w:rPr>
          <w:rFonts w:ascii="Lucida Sans Unicode" w:hAnsi="Lucida Sans Unicode" w:cs="Lucida Sans Unicode"/>
          <w:lang w:val="es-ES_tradnl"/>
        </w:rPr>
        <w:t> 11 de marzo de 2016</w:t>
      </w:r>
    </w:p>
    <w:p w:rsidR="008D21AB" w:rsidRPr="00816698" w:rsidRDefault="008D21AB" w:rsidP="00816698">
      <w:pPr>
        <w:tabs>
          <w:tab w:val="left" w:pos="2040"/>
          <w:tab w:val="right" w:pos="8504"/>
        </w:tabs>
        <w:jc w:val="center"/>
        <w:rPr>
          <w:sz w:val="20"/>
          <w:szCs w:val="20"/>
          <w:lang w:val="es-ES_tradnl"/>
        </w:rPr>
      </w:pPr>
      <w:hyperlink r:id="rId9" w:history="1">
        <w:r w:rsidRPr="00190AB9">
          <w:rPr>
            <w:rStyle w:val="Hyperlink"/>
            <w:rFonts w:ascii="Lucida Sans Unicode" w:hAnsi="Lucida Sans Unicode" w:cs="Lucida Sans Unicode"/>
            <w:sz w:val="20"/>
            <w:szCs w:val="20"/>
            <w:lang w:val="es-ES_tradnl"/>
          </w:rPr>
          <w:t>comunicacionypensamiento.org</w:t>
        </w:r>
      </w:hyperlink>
    </w:p>
    <w:p w:rsidR="008D21AB" w:rsidRPr="00671883" w:rsidRDefault="008D21AB" w:rsidP="003A2DF3">
      <w:pPr>
        <w:autoSpaceDE w:val="0"/>
        <w:autoSpaceDN w:val="0"/>
        <w:adjustRightInd w:val="0"/>
        <w:rPr>
          <w:color w:val="000000"/>
          <w:lang w:val="es-ES_tradnl"/>
        </w:rPr>
      </w:pPr>
    </w:p>
    <w:p w:rsidR="008D21AB" w:rsidRPr="00096230" w:rsidRDefault="008D21AB" w:rsidP="00096230">
      <w:pPr>
        <w:shd w:val="clear" w:color="auto" w:fill="FFFFFF"/>
        <w:spacing w:after="192" w:line="386" w:lineRule="atLeast"/>
        <w:ind w:right="300"/>
        <w:jc w:val="both"/>
        <w:rPr>
          <w:rFonts w:ascii="Yanone Kaffeesatz" w:hAnsi="Yanone Kaffeesatz" w:cs="Yanone Kaffeesatz"/>
          <w:color w:val="5D5C5C"/>
          <w:kern w:val="36"/>
        </w:rPr>
      </w:pPr>
      <w:r w:rsidRPr="00096230">
        <w:rPr>
          <w:rFonts w:ascii="Yanone Kaffeesatz" w:hAnsi="Yanone Kaffeesatz" w:cs="Yanone Kaffeesatz"/>
          <w:color w:val="5D5C5C"/>
          <w:kern w:val="36"/>
        </w:rPr>
        <w:t>Simposio 08 - Redes de Cooperação Cultural como Espaços de Desenvolvimento</w:t>
      </w:r>
    </w:p>
    <w:p w:rsidR="008D21AB" w:rsidRDefault="008D21AB" w:rsidP="00096230">
      <w:pPr>
        <w:shd w:val="clear" w:color="auto" w:fill="FFFFFF"/>
        <w:spacing w:after="192" w:line="386" w:lineRule="atLeast"/>
        <w:ind w:right="300"/>
        <w:jc w:val="both"/>
        <w:rPr>
          <w:b/>
          <w:bCs/>
          <w:sz w:val="23"/>
          <w:szCs w:val="23"/>
          <w:lang w:val="es-ES_tradnl"/>
        </w:rPr>
      </w:pPr>
    </w:p>
    <w:p w:rsidR="008D21AB" w:rsidRPr="00096230" w:rsidRDefault="008D21AB" w:rsidP="008D2A9C">
      <w:pPr>
        <w:spacing w:line="360" w:lineRule="auto"/>
        <w:jc w:val="both"/>
        <w:rPr>
          <w:sz w:val="22"/>
          <w:szCs w:val="22"/>
        </w:rPr>
      </w:pPr>
      <w:r w:rsidRPr="003A2DF3">
        <w:rPr>
          <w:b/>
          <w:bCs/>
          <w:sz w:val="22"/>
          <w:szCs w:val="22"/>
        </w:rPr>
        <w:t>TÍTULO:</w:t>
      </w:r>
      <w:r w:rsidRPr="003A2DF3">
        <w:rPr>
          <w:sz w:val="22"/>
          <w:szCs w:val="22"/>
        </w:rPr>
        <w:t xml:space="preserve"> </w:t>
      </w:r>
      <w:r>
        <w:rPr>
          <w:sz w:val="22"/>
          <w:szCs w:val="22"/>
          <w:u w:val="single"/>
        </w:rPr>
        <w:t xml:space="preserve">A política de acesso aos documentos da União Europeia </w:t>
      </w:r>
      <w:r>
        <w:rPr>
          <w:sz w:val="22"/>
          <w:szCs w:val="22"/>
        </w:rPr>
        <w:t>(Ponencia S08-04)</w:t>
      </w:r>
    </w:p>
    <w:p w:rsidR="008D21AB" w:rsidRPr="003A2DF3" w:rsidRDefault="008D21AB" w:rsidP="00F433CE">
      <w:pPr>
        <w:pStyle w:val="Default"/>
        <w:jc w:val="both"/>
        <w:rPr>
          <w:rFonts w:ascii="Times New Roman" w:hAnsi="Times New Roman" w:cs="Times New Roman"/>
          <w:color w:val="auto"/>
        </w:rPr>
      </w:pPr>
    </w:p>
    <w:p w:rsidR="008D21AB" w:rsidRPr="00304206" w:rsidRDefault="008D21AB" w:rsidP="00F433CE">
      <w:pPr>
        <w:pStyle w:val="Default"/>
        <w:spacing w:line="360" w:lineRule="auto"/>
        <w:jc w:val="both"/>
        <w:rPr>
          <w:rFonts w:ascii="Times New Roman" w:hAnsi="Times New Roman" w:cs="Times New Roman"/>
          <w:sz w:val="20"/>
          <w:szCs w:val="20"/>
        </w:rPr>
      </w:pPr>
      <w:r w:rsidRPr="00304206">
        <w:rPr>
          <w:rFonts w:ascii="Times New Roman" w:hAnsi="Times New Roman" w:cs="Times New Roman"/>
          <w:b/>
          <w:bCs/>
          <w:color w:val="auto"/>
          <w:sz w:val="22"/>
          <w:szCs w:val="22"/>
        </w:rPr>
        <w:t>AUTOR:</w:t>
      </w:r>
      <w:r w:rsidRPr="00304206">
        <w:rPr>
          <w:rFonts w:ascii="Times New Roman" w:hAnsi="Times New Roman" w:cs="Times New Roman"/>
          <w:color w:val="auto"/>
          <w:sz w:val="22"/>
          <w:szCs w:val="22"/>
        </w:rPr>
        <w:t xml:space="preserve">  </w:t>
      </w:r>
      <w:r w:rsidRPr="00304206">
        <w:rPr>
          <w:rFonts w:ascii="Times New Roman" w:hAnsi="Times New Roman" w:cs="Times New Roman"/>
          <w:color w:val="auto"/>
          <w:sz w:val="22"/>
          <w:szCs w:val="22"/>
        </w:rPr>
        <w:tab/>
      </w:r>
      <w:r w:rsidRPr="00304206">
        <w:rPr>
          <w:rFonts w:ascii="Times New Roman" w:hAnsi="Times New Roman" w:cs="Times New Roman"/>
          <w:i/>
          <w:iCs/>
          <w:sz w:val="20"/>
          <w:szCs w:val="20"/>
        </w:rPr>
        <w:t>Dora Resende Alves</w:t>
      </w:r>
      <w:r w:rsidRPr="00304206">
        <w:rPr>
          <w:rFonts w:ascii="Times New Roman" w:hAnsi="Times New Roman" w:cs="Times New Roman"/>
          <w:sz w:val="20"/>
          <w:szCs w:val="20"/>
        </w:rPr>
        <w:t xml:space="preserve">, </w:t>
      </w:r>
      <w:r>
        <w:rPr>
          <w:rFonts w:ascii="Times New Roman" w:hAnsi="Times New Roman" w:cs="Times New Roman"/>
          <w:sz w:val="20"/>
          <w:szCs w:val="20"/>
        </w:rPr>
        <w:t>PhD</w:t>
      </w:r>
      <w:r w:rsidRPr="00304206">
        <w:rPr>
          <w:rFonts w:ascii="Times New Roman" w:hAnsi="Times New Roman" w:cs="Times New Roman"/>
          <w:sz w:val="20"/>
          <w:szCs w:val="20"/>
        </w:rPr>
        <w:t xml:space="preserve"> in Law</w:t>
      </w:r>
      <w:r w:rsidRPr="00304206">
        <w:rPr>
          <w:rFonts w:ascii="Times New Roman" w:hAnsi="Times New Roman" w:cs="Times New Roman"/>
          <w:i/>
          <w:iCs/>
          <w:sz w:val="20"/>
          <w:szCs w:val="20"/>
        </w:rPr>
        <w:t xml:space="preserve">   </w:t>
      </w:r>
      <w:r w:rsidRPr="00304206">
        <w:rPr>
          <w:rFonts w:ascii="Times New Roman" w:hAnsi="Times New Roman" w:cs="Times New Roman"/>
          <w:i/>
          <w:iCs/>
          <w:sz w:val="20"/>
          <w:szCs w:val="20"/>
        </w:rPr>
        <w:tab/>
      </w:r>
      <w:hyperlink r:id="rId10" w:history="1">
        <w:r w:rsidRPr="00304206">
          <w:rPr>
            <w:rStyle w:val="Hyperlink"/>
            <w:rFonts w:ascii="Times New Roman" w:hAnsi="Times New Roman" w:cs="Times New Roman"/>
            <w:sz w:val="20"/>
            <w:szCs w:val="20"/>
          </w:rPr>
          <w:t>dra@upt.pt</w:t>
        </w:r>
      </w:hyperlink>
      <w:r>
        <w:rPr>
          <w:rFonts w:ascii="Times New Roman" w:hAnsi="Times New Roman" w:cs="Times New Roman"/>
          <w:sz w:val="20"/>
          <w:szCs w:val="20"/>
        </w:rPr>
        <w:t xml:space="preserve">       </w:t>
      </w:r>
      <w:r>
        <w:rPr>
          <w:rFonts w:ascii="Times New Roman" w:hAnsi="Times New Roman" w:cs="Times New Roman"/>
          <w:sz w:val="20"/>
          <w:szCs w:val="20"/>
        </w:rPr>
        <w:tab/>
      </w:r>
    </w:p>
    <w:p w:rsidR="008D21AB" w:rsidRPr="00304206" w:rsidRDefault="008D21AB" w:rsidP="00F433CE">
      <w:pPr>
        <w:pStyle w:val="Default"/>
        <w:jc w:val="both"/>
        <w:rPr>
          <w:rFonts w:ascii="Times New Roman" w:hAnsi="Times New Roman" w:cs="Times New Roman"/>
          <w:color w:val="auto"/>
        </w:rPr>
      </w:pPr>
    </w:p>
    <w:p w:rsidR="008D21AB" w:rsidRPr="008D2A9C" w:rsidRDefault="008D21AB" w:rsidP="00F433CE">
      <w:pPr>
        <w:pStyle w:val="Default"/>
        <w:jc w:val="both"/>
        <w:rPr>
          <w:rFonts w:ascii="Times New Roman" w:hAnsi="Times New Roman" w:cs="Times New Roman"/>
          <w:color w:val="auto"/>
          <w:sz w:val="20"/>
          <w:szCs w:val="20"/>
        </w:rPr>
      </w:pPr>
      <w:r>
        <w:rPr>
          <w:rFonts w:ascii="Times New Roman" w:hAnsi="Times New Roman" w:cs="Times New Roman"/>
          <w:b/>
          <w:bCs/>
          <w:color w:val="auto"/>
          <w:sz w:val="22"/>
          <w:szCs w:val="22"/>
        </w:rPr>
        <w:t>INSTITUIÇÃO</w:t>
      </w:r>
      <w:r w:rsidRPr="008D2A9C">
        <w:rPr>
          <w:rFonts w:ascii="Times New Roman" w:hAnsi="Times New Roman" w:cs="Times New Roman"/>
          <w:b/>
          <w:bCs/>
          <w:color w:val="auto"/>
          <w:sz w:val="22"/>
          <w:szCs w:val="22"/>
        </w:rPr>
        <w:t>:</w:t>
      </w:r>
      <w:r w:rsidRPr="008D2A9C">
        <w:rPr>
          <w:rFonts w:ascii="Times New Roman" w:hAnsi="Times New Roman" w:cs="Times New Roman"/>
          <w:color w:val="auto"/>
          <w:sz w:val="22"/>
          <w:szCs w:val="22"/>
        </w:rPr>
        <w:t xml:space="preserve"> </w:t>
      </w:r>
      <w:r w:rsidRPr="008D2A9C">
        <w:rPr>
          <w:rFonts w:ascii="Times New Roman" w:hAnsi="Times New Roman" w:cs="Times New Roman"/>
          <w:sz w:val="20"/>
          <w:szCs w:val="20"/>
        </w:rPr>
        <w:t>Universidade Portucalense Infante D. Henrique, Porto, Portugal</w:t>
      </w:r>
    </w:p>
    <w:p w:rsidR="008D21AB" w:rsidRPr="008D2A9C" w:rsidRDefault="008D21AB" w:rsidP="00F433CE">
      <w:pPr>
        <w:pStyle w:val="Default"/>
        <w:jc w:val="both"/>
        <w:rPr>
          <w:rFonts w:ascii="Times New Roman" w:hAnsi="Times New Roman" w:cs="Times New Roman"/>
          <w:color w:val="auto"/>
        </w:rPr>
      </w:pPr>
    </w:p>
    <w:p w:rsidR="008D21AB" w:rsidRPr="003A2DF3" w:rsidRDefault="008D21AB" w:rsidP="003A2DF3">
      <w:pPr>
        <w:autoSpaceDE w:val="0"/>
        <w:autoSpaceDN w:val="0"/>
        <w:adjustRightInd w:val="0"/>
        <w:rPr>
          <w:color w:val="000000"/>
        </w:rPr>
      </w:pPr>
    </w:p>
    <w:p w:rsidR="008D21AB" w:rsidRPr="00666595" w:rsidRDefault="008D21AB" w:rsidP="003A2DF3">
      <w:pPr>
        <w:pStyle w:val="Default"/>
        <w:jc w:val="both"/>
        <w:rPr>
          <w:rFonts w:ascii="Times New Roman" w:hAnsi="Times New Roman" w:cs="Times New Roman"/>
          <w:b/>
          <w:bCs/>
          <w:color w:val="auto"/>
        </w:rPr>
      </w:pPr>
      <w:r w:rsidRPr="003A2DF3">
        <w:rPr>
          <w:rFonts w:ascii="Times New Roman" w:hAnsi="Times New Roman" w:cs="Times New Roman"/>
        </w:rPr>
        <w:t xml:space="preserve"> </w:t>
      </w:r>
      <w:r w:rsidRPr="00666595">
        <w:rPr>
          <w:rFonts w:ascii="Times New Roman" w:hAnsi="Times New Roman" w:cs="Times New Roman"/>
          <w:b/>
          <w:bCs/>
        </w:rPr>
        <w:t>Resumo</w:t>
      </w:r>
      <w:r>
        <w:rPr>
          <w:rFonts w:ascii="Times New Roman" w:hAnsi="Times New Roman" w:cs="Times New Roman"/>
          <w:b/>
          <w:bCs/>
        </w:rPr>
        <w:t xml:space="preserve"> alargado</w:t>
      </w:r>
      <w:r w:rsidRPr="00666595">
        <w:rPr>
          <w:rFonts w:ascii="Times New Roman" w:hAnsi="Times New Roman" w:cs="Times New Roman"/>
          <w:b/>
          <w:bCs/>
        </w:rPr>
        <w:t>:</w:t>
      </w:r>
      <w:r w:rsidRPr="00666595">
        <w:rPr>
          <w:rFonts w:ascii="Times New Roman" w:hAnsi="Times New Roman" w:cs="Times New Roman"/>
          <w:b/>
          <w:bCs/>
          <w:color w:val="auto"/>
        </w:rPr>
        <w:t xml:space="preserve"> </w:t>
      </w:r>
    </w:p>
    <w:p w:rsidR="008D21AB" w:rsidRPr="007A69FD" w:rsidRDefault="008D21AB" w:rsidP="003A2DF3">
      <w:pPr>
        <w:pStyle w:val="Default"/>
        <w:jc w:val="both"/>
        <w:rPr>
          <w:rFonts w:ascii="Times New Roman" w:hAnsi="Times New Roman" w:cs="Times New Roman"/>
          <w:b/>
          <w:bCs/>
          <w:color w:val="auto"/>
          <w:sz w:val="22"/>
          <w:szCs w:val="22"/>
        </w:rPr>
      </w:pPr>
    </w:p>
    <w:p w:rsidR="008D21AB" w:rsidRDefault="008D21AB" w:rsidP="009E4F94">
      <w:pPr>
        <w:autoSpaceDE w:val="0"/>
        <w:autoSpaceDN w:val="0"/>
        <w:adjustRightInd w:val="0"/>
        <w:spacing w:line="360" w:lineRule="auto"/>
        <w:ind w:firstLine="708"/>
        <w:jc w:val="both"/>
      </w:pPr>
      <w:r>
        <w:t>O tema geral da comunicação, do acesso à informação, da liberdade de expressão, relacionam-se com vectores do direito: direitos humanos, direitos fundamentais, declarações internacionais e europeias de direitos. Na União Europeia (UE), encontramos hoje uma preocupação de transparência no decurso dos trabalhos das suas instituições, órgãos e organismos e a própria liberdade de imprensa e dos meios de comunicação social no mundo é valorizada e relacionada com o desempenho jurídico</w:t>
      </w:r>
      <w:r>
        <w:rPr>
          <w:rStyle w:val="FootnoteReference"/>
        </w:rPr>
        <w:footnoteReference w:id="1"/>
      </w:r>
      <w:r>
        <w:t>. Um dos meios da União Europeia para aumentar a transparência e a responsabilização perante os seus cidadãos alcança-se pela aplicação efectiva do direito de aceder a documentos das instituições da UE por parte do público</w:t>
      </w:r>
      <w:r>
        <w:rPr>
          <w:rStyle w:val="FootnoteReference"/>
        </w:rPr>
        <w:footnoteReference w:id="2"/>
      </w:r>
      <w:r>
        <w:t xml:space="preserve">. Assim foi assumido publicamente pelo Presidente da Comissão Europeia 2014-2019, </w:t>
      </w:r>
      <w:r w:rsidRPr="008F2B9E">
        <w:rPr>
          <w:i/>
          <w:iCs/>
        </w:rPr>
        <w:t>Jean-</w:t>
      </w:r>
      <w:r>
        <w:rPr>
          <w:i/>
          <w:iCs/>
        </w:rPr>
        <w:t>Claude</w:t>
      </w:r>
      <w:r w:rsidRPr="008F2B9E">
        <w:rPr>
          <w:i/>
          <w:iCs/>
        </w:rPr>
        <w:t xml:space="preserve"> Juncker</w:t>
      </w:r>
      <w:r>
        <w:t>, e já posto em prática de diferentes formas.</w:t>
      </w:r>
    </w:p>
    <w:p w:rsidR="008D21AB" w:rsidRDefault="008D21AB" w:rsidP="009E4F94">
      <w:pPr>
        <w:autoSpaceDE w:val="0"/>
        <w:autoSpaceDN w:val="0"/>
        <w:adjustRightInd w:val="0"/>
        <w:spacing w:line="360" w:lineRule="auto"/>
        <w:ind w:firstLine="708"/>
        <w:jc w:val="both"/>
      </w:pPr>
      <w:r>
        <w:t>Em tal quadro, a</w:t>
      </w:r>
      <w:r w:rsidRPr="00814F6B">
        <w:t xml:space="preserve"> </w:t>
      </w:r>
      <w:r>
        <w:t>questão do acesso à legislação surge como</w:t>
      </w:r>
      <w:r w:rsidRPr="00814F6B">
        <w:t xml:space="preserve"> um tema crucial no funcionamento da União Europeia, tanto que a sua legislação abrange hoje uma vasta gama de actividades, no âmbito do quadro estabelecido pelos Tratados, que toca a vida diária dos cidadãos e das empresas na Europa.</w:t>
      </w:r>
      <w:r w:rsidRPr="007C5A42">
        <w:rPr>
          <w:rFonts w:ascii="TimesNewRoman" w:hAnsi="TimesNewRoman" w:cs="TimesNewRoman"/>
        </w:rPr>
        <w:t xml:space="preserve"> </w:t>
      </w:r>
      <w:r>
        <w:rPr>
          <w:rFonts w:ascii="TimesNewRoman" w:hAnsi="TimesNewRoman" w:cs="TimesNewRoman"/>
        </w:rPr>
        <w:t>O direito de acesso aos documentos constitui um aspecto da política de abertura e deve ser apreciado no âmbito da política de informação e comunicação das instituições.</w:t>
      </w:r>
      <w:r w:rsidRPr="00814F6B">
        <w:t xml:space="preserve"> Mas não é suficiente. Muitos outros documentos preparatórios dessa legislação ou atinentes à sua aplicação pelas instituições e Estados-Membros são criados ou arquivados diariamente, e também eles tocam a vida dos particulares. </w:t>
      </w:r>
    </w:p>
    <w:p w:rsidR="008D21AB" w:rsidRDefault="008D21AB" w:rsidP="00CC10F9">
      <w:pPr>
        <w:pStyle w:val="Heading1"/>
        <w:spacing w:line="360" w:lineRule="auto"/>
        <w:ind w:firstLine="708"/>
        <w:rPr>
          <w:b w:val="0"/>
          <w:bCs w:val="0"/>
        </w:rPr>
      </w:pPr>
      <w:r>
        <w:rPr>
          <w:b w:val="0"/>
          <w:bCs w:val="0"/>
        </w:rPr>
        <w:t>Quando falamos de documentos da União Europeia, pensamos de imediato no que se entende pelo</w:t>
      </w:r>
      <w:r w:rsidRPr="005B05CC">
        <w:rPr>
          <w:b w:val="0"/>
          <w:bCs w:val="0"/>
        </w:rPr>
        <w:t xml:space="preserve"> direito que re</w:t>
      </w:r>
      <w:r>
        <w:rPr>
          <w:b w:val="0"/>
          <w:bCs w:val="0"/>
        </w:rPr>
        <w:t>sulta dos tratados institutivos</w:t>
      </w:r>
      <w:r w:rsidRPr="005B05CC">
        <w:rPr>
          <w:b w:val="0"/>
          <w:bCs w:val="0"/>
        </w:rPr>
        <w:t>. É constituído pelos actos adoptados pelos órgãos União Europeia, no desempenho das competências que os tratados lhes conferem. Pode assumir as formas típi</w:t>
      </w:r>
      <w:r>
        <w:rPr>
          <w:b w:val="0"/>
          <w:bCs w:val="0"/>
        </w:rPr>
        <w:t xml:space="preserve">cas previstas no </w:t>
      </w:r>
      <w:r w:rsidRPr="005B05CC">
        <w:rPr>
          <w:b w:val="0"/>
          <w:bCs w:val="0"/>
        </w:rPr>
        <w:t>T</w:t>
      </w:r>
      <w:r>
        <w:rPr>
          <w:b w:val="0"/>
          <w:bCs w:val="0"/>
        </w:rPr>
        <w:t xml:space="preserve">ratado sobre o </w:t>
      </w:r>
      <w:r w:rsidRPr="005B05CC">
        <w:rPr>
          <w:b w:val="0"/>
          <w:bCs w:val="0"/>
        </w:rPr>
        <w:t>F</w:t>
      </w:r>
      <w:r>
        <w:rPr>
          <w:b w:val="0"/>
          <w:bCs w:val="0"/>
        </w:rPr>
        <w:t xml:space="preserve">uncionamento da </w:t>
      </w:r>
      <w:r w:rsidRPr="005B05CC">
        <w:rPr>
          <w:b w:val="0"/>
          <w:bCs w:val="0"/>
        </w:rPr>
        <w:t>U</w:t>
      </w:r>
      <w:r>
        <w:rPr>
          <w:b w:val="0"/>
          <w:bCs w:val="0"/>
        </w:rPr>
        <w:t xml:space="preserve">nião </w:t>
      </w:r>
      <w:r w:rsidRPr="005B05CC">
        <w:rPr>
          <w:b w:val="0"/>
          <w:bCs w:val="0"/>
        </w:rPr>
        <w:t>E</w:t>
      </w:r>
      <w:r>
        <w:rPr>
          <w:b w:val="0"/>
          <w:bCs w:val="0"/>
        </w:rPr>
        <w:t xml:space="preserve">uropeia (artigo 288.º): regulamentos, directivas, decisões, recomendações e pareceres. E são conhecidos através da sua publicação no Jornal Oficial da União Europeia (JOUE em </w:t>
      </w:r>
      <w:hyperlink r:id="rId11" w:history="1">
        <w:r w:rsidRPr="00797A01">
          <w:rPr>
            <w:rStyle w:val="Hyperlink"/>
            <w:u w:val="none"/>
          </w:rPr>
          <w:t>http://eur-lex.europa.eu</w:t>
        </w:r>
      </w:hyperlink>
      <w:r w:rsidRPr="00797A01">
        <w:rPr>
          <w:b w:val="0"/>
          <w:bCs w:val="0"/>
        </w:rPr>
        <w:t>)</w:t>
      </w:r>
      <w:r>
        <w:rPr>
          <w:b w:val="0"/>
          <w:bCs w:val="0"/>
        </w:rPr>
        <w:t xml:space="preserve">. </w:t>
      </w:r>
    </w:p>
    <w:p w:rsidR="008D21AB" w:rsidRDefault="008D21AB" w:rsidP="008B6A39">
      <w:pPr>
        <w:spacing w:line="360" w:lineRule="auto"/>
        <w:ind w:firstLine="708"/>
        <w:jc w:val="both"/>
      </w:pPr>
      <w:r>
        <w:t xml:space="preserve">A questão é que não são os únicos que nos surgem no direito da União Europeia, nem sequer no seu jornal oficial. </w:t>
      </w:r>
      <w:r w:rsidRPr="005B05CC">
        <w:t xml:space="preserve">O </w:t>
      </w:r>
      <w:r>
        <w:t>próprio direito da União Europeia</w:t>
      </w:r>
      <w:r w:rsidRPr="005B05CC">
        <w:t xml:space="preserve"> tenta limitar o recurso a actos atípicos num apelo à contenção, no sentido de salvaguardar a segurança jurídica. Porém, surgem-nos numerosos actos adoptados pelas instituições comunitárias uns previstos por artigos dos tratados e outros ainda que não previstos expressamente pelos tratados </w:t>
      </w:r>
      <w:r>
        <w:t>que</w:t>
      </w:r>
      <w:r w:rsidRPr="005B05CC">
        <w:t xml:space="preserve"> nascem da prática comunitária. Estes actos podem ser</w:t>
      </w:r>
      <w:r>
        <w:t xml:space="preserve"> muito numerosos. Fácil será o seu conhecimento quando são publicados no jornal oficial. Relativamente menos fácil quando apenas surgem através de notas de imprensa ou disponibilizados pelas respectivas instituições, órgãos ou organismos. Difícil no caso de documentos preparatórios ou fazendo parte do processos da decorrer. Aí se torna relevante a questão do acesso ao seu conhecimento por parte de interessados ou do público em geral.</w:t>
      </w:r>
    </w:p>
    <w:p w:rsidR="008D21AB" w:rsidRPr="00814F6B" w:rsidRDefault="008D21AB" w:rsidP="009E4F94">
      <w:pPr>
        <w:autoSpaceDE w:val="0"/>
        <w:autoSpaceDN w:val="0"/>
        <w:adjustRightInd w:val="0"/>
        <w:spacing w:line="360" w:lineRule="auto"/>
        <w:ind w:firstLine="708"/>
        <w:jc w:val="both"/>
      </w:pPr>
      <w:r w:rsidRPr="00814F6B">
        <w:t xml:space="preserve">As Comunidades Europeias não fixaram originariamente uma política de acesso público aos documentos no texto dos Tratados. Porém, a prática logo exigiu algumas tomadas de posição por parte das </w:t>
      </w:r>
      <w:r>
        <w:t xml:space="preserve">instituições, na medida em que </w:t>
      </w:r>
      <w:r w:rsidRPr="00814F6B">
        <w:t>as democracias fundadas no Estado de direito estão vinculadas pelo princípio da publicidade das normas que afectam os cidadãos. Foram assumidas posições e chegou-se à uniformização de uma política de acesso aos documentos através de regulamento. Assiste-se hoje à necessidade de actualizar essa regulamentação na União Europeia.</w:t>
      </w:r>
    </w:p>
    <w:p w:rsidR="008D21AB" w:rsidRDefault="008D21AB" w:rsidP="009E4F94">
      <w:pPr>
        <w:autoSpaceDE w:val="0"/>
        <w:autoSpaceDN w:val="0"/>
        <w:adjustRightInd w:val="0"/>
        <w:spacing w:line="360" w:lineRule="auto"/>
        <w:ind w:firstLine="708"/>
        <w:jc w:val="both"/>
        <w:rPr>
          <w:rFonts w:ascii="TimesNewRoman" w:hAnsi="TimesNewRoman" w:cs="TimesNewRoman"/>
        </w:rPr>
      </w:pPr>
      <w:r w:rsidRPr="00244FD7">
        <w:rPr>
          <w:rFonts w:ascii="TimesNewRoman" w:hAnsi="TimesNewRoman" w:cs="TimesNewRoman"/>
        </w:rPr>
        <w:t xml:space="preserve">Portanto, </w:t>
      </w:r>
      <w:r>
        <w:rPr>
          <w:rFonts w:ascii="TimesNewRoman" w:hAnsi="TimesNewRoman" w:cs="TimesNewRoman"/>
        </w:rPr>
        <w:t>u</w:t>
      </w:r>
      <w:r w:rsidRPr="00244FD7">
        <w:rPr>
          <w:rFonts w:ascii="TimesNewRoman" w:hAnsi="TimesNewRoman" w:cs="TimesNewRoman"/>
        </w:rPr>
        <w:t>ma vez que a questã</w:t>
      </w:r>
      <w:r>
        <w:rPr>
          <w:rFonts w:ascii="TimesNewRoman" w:hAnsi="TimesNewRoman" w:cs="TimesNewRoman"/>
        </w:rPr>
        <w:t xml:space="preserve">o do acesso aos documentos não foi </w:t>
      </w:r>
      <w:r w:rsidRPr="00244FD7">
        <w:rPr>
          <w:rFonts w:ascii="TimesNewRoman" w:hAnsi="TimesNewRoman" w:cs="TimesNewRoman"/>
        </w:rPr>
        <w:t>regulada n</w:t>
      </w:r>
      <w:r>
        <w:rPr>
          <w:rFonts w:ascii="TimesNewRoman" w:hAnsi="TimesNewRoman" w:cs="TimesNewRoman"/>
        </w:rPr>
        <w:t>o</w:t>
      </w:r>
      <w:r w:rsidRPr="00244FD7">
        <w:rPr>
          <w:rFonts w:ascii="TimesNewRoman" w:hAnsi="TimesNewRoman" w:cs="TimesNewRoman"/>
        </w:rPr>
        <w:t>s Tratado</w:t>
      </w:r>
      <w:r>
        <w:rPr>
          <w:rFonts w:ascii="TimesNewRoman" w:hAnsi="TimesNewRoman" w:cs="TimesNewRoman"/>
        </w:rPr>
        <w:t>s</w:t>
      </w:r>
      <w:r w:rsidRPr="00244FD7">
        <w:rPr>
          <w:rFonts w:ascii="TimesNewRoman" w:hAnsi="TimesNewRoman" w:cs="TimesNewRoman"/>
        </w:rPr>
        <w:t xml:space="preserve">, </w:t>
      </w:r>
      <w:r>
        <w:rPr>
          <w:rFonts w:ascii="TimesNewRoman" w:hAnsi="TimesNewRoman" w:cs="TimesNewRoman"/>
        </w:rPr>
        <w:t xml:space="preserve">coube ao direito derivado regulamentar a matéria. </w:t>
      </w:r>
      <w:r w:rsidRPr="00814F6B">
        <w:t>Foi, assim, adoptado o acto que tem por objecto permitir o acesso aos documentos das instituições europeias, para que se possa entregar aos cidadãos qualquer tipo de documento, nas condições previstas e dentro dos limites das excepções previstas, o Regulamento (CE) n.º 1049/2001</w:t>
      </w:r>
      <w:r>
        <w:rPr>
          <w:rStyle w:val="FootnoteReference"/>
        </w:rPr>
        <w:footnoteReference w:id="3"/>
      </w:r>
      <w:r w:rsidRPr="00814F6B">
        <w:t>.</w:t>
      </w:r>
      <w:r w:rsidRPr="00B65189">
        <w:rPr>
          <w:rFonts w:ascii="TimesNewRoman" w:hAnsi="TimesNewRoman" w:cs="TimesNewRoman"/>
        </w:rPr>
        <w:t xml:space="preserve"> </w:t>
      </w:r>
      <w:r>
        <w:rPr>
          <w:rFonts w:ascii="TimesNewRoman" w:hAnsi="TimesNewRoman" w:cs="TimesNewRoman"/>
        </w:rPr>
        <w:t>O regulamento, aplicável a partir de 3 de Dezembro de 2001, provocou, como demonstram os relatórios publicados regularmente, um aumento notório e constante dos pedidos de acesso aos documentos, com um decréscimo do número de recusas. O próprio regulamento prevê um relatório anual com informações estatísticas sobre o número de pedidos de acesso e as informações sobre a aplicação das suas regras.</w:t>
      </w:r>
    </w:p>
    <w:p w:rsidR="008D21AB" w:rsidRPr="00814F6B" w:rsidRDefault="008D21AB" w:rsidP="00B63FD4">
      <w:pPr>
        <w:autoSpaceDE w:val="0"/>
        <w:autoSpaceDN w:val="0"/>
        <w:adjustRightInd w:val="0"/>
        <w:spacing w:line="360" w:lineRule="auto"/>
        <w:jc w:val="both"/>
      </w:pPr>
      <w:r>
        <w:tab/>
      </w:r>
      <w:r w:rsidRPr="001A3AD8">
        <w:t>A problemática de acesso de terceiros a documentos tidos por confidenciais coloca-se com pertinência</w:t>
      </w:r>
      <w:r>
        <w:t xml:space="preserve"> em muitas áreas, nomeadamente n</w:t>
      </w:r>
      <w:r w:rsidRPr="001A3AD8">
        <w:t xml:space="preserve">os processos de </w:t>
      </w:r>
      <w:r>
        <w:t>concorrência, fiscalidade, mercado interno, ambiente, contratos públicos e</w:t>
      </w:r>
      <w:r w:rsidRPr="001A3AD8">
        <w:t xml:space="preserve"> justiça e</w:t>
      </w:r>
      <w:r>
        <w:t xml:space="preserve"> segurança</w:t>
      </w:r>
      <w:r w:rsidRPr="001A3AD8">
        <w:t>.</w:t>
      </w:r>
      <w:r>
        <w:t xml:space="preserve"> No caso do</w:t>
      </w:r>
      <w:r w:rsidRPr="001A3AD8">
        <w:t>s pedidos apresentados à Comissão</w:t>
      </w:r>
      <w:r>
        <w:t>, u</w:t>
      </w:r>
      <w:r w:rsidRPr="001A3AD8">
        <w:t xml:space="preserve">m elevado número de pedidos de acesso, </w:t>
      </w:r>
      <w:r>
        <w:t>está relacionado com litígios, em que</w:t>
      </w:r>
      <w:r w:rsidRPr="001A3AD8">
        <w:t xml:space="preserve"> alguns requerentes solicitam acesso a</w:t>
      </w:r>
      <w:r>
        <w:t xml:space="preserve"> </w:t>
      </w:r>
      <w:r w:rsidRPr="001A3AD8">
        <w:t>documentos que se poderão revelar úteis para apresentar uma denúncia ou intentar</w:t>
      </w:r>
      <w:r>
        <w:t xml:space="preserve"> </w:t>
      </w:r>
      <w:r w:rsidRPr="001A3AD8">
        <w:t>uma acção num tribunal</w:t>
      </w:r>
      <w:r>
        <w:t xml:space="preserve">. </w:t>
      </w:r>
    </w:p>
    <w:p w:rsidR="008D21AB" w:rsidRPr="00814F6B" w:rsidRDefault="008D21AB" w:rsidP="00814F6B">
      <w:pPr>
        <w:autoSpaceDE w:val="0"/>
        <w:autoSpaceDN w:val="0"/>
        <w:adjustRightInd w:val="0"/>
        <w:spacing w:line="360" w:lineRule="auto"/>
        <w:ind w:firstLine="708"/>
        <w:jc w:val="both"/>
      </w:pPr>
      <w:r w:rsidRPr="00814F6B">
        <w:t xml:space="preserve">Colocou-se na doutrina a questão de saber se, havendo normas específicas previstas em regulamentos sectoriais, o regime geral do Regulamento n.º 1049/2001 seria necessário </w:t>
      </w:r>
      <w:r>
        <w:t xml:space="preserve">para </w:t>
      </w:r>
      <w:r w:rsidRPr="00814F6B">
        <w:t>tais casos, de que é exemplo a matéria de direito da concorrência.</w:t>
      </w:r>
      <w:r>
        <w:t xml:space="preserve"> Porque, precisamente, é uma das áreas que apresenta maiores pedidos iniciais de acesso a documentos, assim em 2013 e em 2014, conforme os dados mais recentes</w:t>
      </w:r>
      <w:r>
        <w:rPr>
          <w:rStyle w:val="FootnoteReference"/>
        </w:rPr>
        <w:footnoteReference w:id="4"/>
      </w:r>
      <w:r>
        <w:t>.</w:t>
      </w:r>
      <w:r w:rsidRPr="00814F6B">
        <w:t xml:space="preserve"> A</w:t>
      </w:r>
      <w:r>
        <w:t xml:space="preserve"> avaliação final de muitas questões envolvidas est</w:t>
      </w:r>
      <w:r w:rsidRPr="00814F6B">
        <w:t>á caso a caso na decisão final do Tribunal de Justiça, muito embora a abertura e transparência no decurso dos processos de aplicação das normas da concorrência sejam assumidamente objectivos a prosseguir pela Comissão. Impõe-se uma valoração circunstanciada de cada caso concreto examinado, coordenando o direito de acesso à informação num processo administrativo com os interesses públicos e privados em causa, mantendo um equilíbrio entre o conhecimento processual de determinados dados e a defesa dos interesses maiores.</w:t>
      </w:r>
    </w:p>
    <w:p w:rsidR="008D21AB" w:rsidRPr="00886EDE" w:rsidRDefault="008D21AB" w:rsidP="00886EDE">
      <w:pPr>
        <w:autoSpaceDE w:val="0"/>
        <w:autoSpaceDN w:val="0"/>
        <w:adjustRightInd w:val="0"/>
        <w:spacing w:line="360" w:lineRule="auto"/>
        <w:ind w:firstLine="708"/>
        <w:jc w:val="both"/>
        <w:rPr>
          <w:rFonts w:ascii="TimesNewRoman" w:hAnsi="TimesNewRoman" w:cs="TimesNewRoman"/>
        </w:rPr>
      </w:pPr>
      <w:r>
        <w:rPr>
          <w:rFonts w:ascii="TimesNewRoman" w:hAnsi="TimesNewRoman" w:cs="TimesNewRoman"/>
        </w:rPr>
        <w:t>O próprio Regulamento estabeleceu re-análise</w:t>
      </w:r>
      <w:r>
        <w:rPr>
          <w:rStyle w:val="FootnoteReference"/>
          <w:color w:val="000000"/>
        </w:rPr>
        <w:footnoteReference w:id="5"/>
      </w:r>
      <w:r>
        <w:rPr>
          <w:rFonts w:ascii="TimesNewRoman" w:hAnsi="TimesNewRoman" w:cs="TimesNewRoman"/>
        </w:rPr>
        <w:t xml:space="preserve">, demonstrando que é preciso ir mais longe. </w:t>
      </w:r>
      <w:r>
        <w:t>Na sequência da entrada em vigor do Tratado de Lisboa</w:t>
      </w:r>
      <w:r>
        <w:rPr>
          <w:rStyle w:val="FootnoteReference"/>
          <w:color w:val="000000"/>
        </w:rPr>
        <w:footnoteReference w:id="6"/>
      </w:r>
      <w:r>
        <w:t xml:space="preserve"> que “</w:t>
      </w:r>
      <w:r w:rsidRPr="00CB331F">
        <w:rPr>
          <w:i/>
          <w:iCs/>
        </w:rPr>
        <w:t>alterou não só a base jurídica do regulamento aplicável ao acesso aos documentos, mas também o contexto legal em que o regulamento deve operar, em particular no que se refere às relações entre as instituições da União e os cidadãos</w:t>
      </w:r>
      <w:r w:rsidRPr="00AC048C">
        <w:t xml:space="preserve">”, </w:t>
      </w:r>
      <w:r>
        <w:t xml:space="preserve">indica-se que </w:t>
      </w:r>
      <w:r w:rsidRPr="00AC048C">
        <w:t>“</w:t>
      </w:r>
      <w:r w:rsidRPr="00CB331F">
        <w:rPr>
          <w:i/>
          <w:iCs/>
        </w:rPr>
        <w:t>o Regulamento (CE) n.º 1049/2001 deve ser urgentemente actualizado</w:t>
      </w:r>
      <w:r w:rsidRPr="00AC048C">
        <w:t>”</w:t>
      </w:r>
      <w:r w:rsidRPr="00AC048C">
        <w:rPr>
          <w:rStyle w:val="FootnoteReference"/>
        </w:rPr>
        <w:footnoteReference w:id="7"/>
      </w:r>
      <w:r>
        <w:t>.</w:t>
      </w:r>
      <w:r>
        <w:rPr>
          <w:rFonts w:ascii="TimesNewRoman" w:hAnsi="TimesNewRoman" w:cs="TimesNewRoman"/>
        </w:rPr>
        <w:t xml:space="preserve"> Nesse sentido, </w:t>
      </w:r>
      <w:r>
        <w:t xml:space="preserve">foi já apresentada, e mantém-se </w:t>
      </w:r>
      <w:r w:rsidRPr="00814F6B">
        <w:t>em discussão</w:t>
      </w:r>
      <w:r>
        <w:t>,</w:t>
      </w:r>
      <w:r w:rsidRPr="00814F6B">
        <w:t xml:space="preserve"> na União Europeia a alteração da regulamentação relativa ao acesso aos documentos, </w:t>
      </w:r>
      <w:r>
        <w:t>através de um</w:t>
      </w:r>
      <w:r>
        <w:rPr>
          <w:rStyle w:val="FootnoteReference"/>
          <w:vertAlign w:val="baseline"/>
        </w:rPr>
        <w:t xml:space="preserve">a </w:t>
      </w:r>
      <w:r>
        <w:t>p</w:t>
      </w:r>
      <w:r w:rsidRPr="00814F6B">
        <w:rPr>
          <w:rStyle w:val="FootnoteReference"/>
          <w:vertAlign w:val="baseline"/>
        </w:rPr>
        <w:t>roposta da Comissão</w:t>
      </w:r>
      <w:r>
        <w:rPr>
          <w:rStyle w:val="FootnoteReference"/>
        </w:rPr>
        <w:footnoteReference w:id="8"/>
      </w:r>
      <w:r>
        <w:t>, com, não só de uma actualização do próprio texto, já de 2001 e à luz das alterações do Tratado de Lisboa, mas também um melhorar e aprimorar da sua redacção.</w:t>
      </w:r>
    </w:p>
    <w:p w:rsidR="008D21AB" w:rsidRPr="00814F6B" w:rsidRDefault="008D21AB" w:rsidP="00666595">
      <w:pPr>
        <w:spacing w:line="360" w:lineRule="auto"/>
        <w:jc w:val="both"/>
      </w:pPr>
    </w:p>
    <w:p w:rsidR="008D21AB" w:rsidRDefault="008D21AB" w:rsidP="00666595">
      <w:pPr>
        <w:spacing w:line="360" w:lineRule="auto"/>
        <w:jc w:val="both"/>
        <w:rPr>
          <w:b/>
          <w:bCs/>
        </w:rPr>
      </w:pPr>
    </w:p>
    <w:p w:rsidR="008D21AB" w:rsidRPr="00B17283" w:rsidRDefault="008D21AB" w:rsidP="00B17283"/>
    <w:p w:rsidR="008D21AB" w:rsidRDefault="008D21AB" w:rsidP="00666595">
      <w:pPr>
        <w:spacing w:line="360" w:lineRule="auto"/>
        <w:jc w:val="both"/>
      </w:pPr>
    </w:p>
    <w:p w:rsidR="008D21AB" w:rsidRDefault="008D21AB" w:rsidP="00666595">
      <w:pPr>
        <w:spacing w:line="360" w:lineRule="auto"/>
        <w:jc w:val="both"/>
      </w:pPr>
      <w:hyperlink r:id="rId12" w:history="1">
        <w:r w:rsidRPr="004845DA">
          <w:rPr>
            <w:rStyle w:val="Hyperlink"/>
          </w:rPr>
          <w:t>http://comunicacionypensamiento.org/simposio08.html</w:t>
        </w:r>
      </w:hyperlink>
      <w:r>
        <w:t xml:space="preserve"> </w:t>
      </w:r>
      <w:bookmarkStart w:id="0" w:name="_GoBack"/>
      <w:bookmarkEnd w:id="0"/>
    </w:p>
    <w:p w:rsidR="008D21AB" w:rsidRPr="00666595" w:rsidRDefault="008D21AB" w:rsidP="00666595">
      <w:pPr>
        <w:spacing w:line="360" w:lineRule="auto"/>
        <w:jc w:val="both"/>
        <w:rPr>
          <w:b/>
          <w:bCs/>
        </w:rPr>
      </w:pPr>
      <w:r w:rsidRPr="00B17283">
        <w:br w:type="page"/>
      </w:r>
      <w:r w:rsidRPr="00666595">
        <w:rPr>
          <w:b/>
          <w:bCs/>
        </w:rPr>
        <w:t xml:space="preserve">CV abreviado: </w:t>
      </w:r>
    </w:p>
    <w:p w:rsidR="008D21AB" w:rsidRPr="00803FF9" w:rsidRDefault="008D21AB" w:rsidP="008201F8">
      <w:pPr>
        <w:spacing w:line="360" w:lineRule="auto"/>
        <w:jc w:val="both"/>
      </w:pPr>
      <w:r>
        <w:t>L</w:t>
      </w:r>
      <w:r w:rsidRPr="00803FF9">
        <w:t>icenciada em Direito pela Universidade Portucalense Infante D. Henrique (Porto, 1993), mestre em Direito pela Faculdade de Direito da Universidad</w:t>
      </w:r>
      <w:r>
        <w:t>e de Coimbra (1997), e doutor</w:t>
      </w:r>
      <w:r w:rsidRPr="00803FF9">
        <w:t>a</w:t>
      </w:r>
      <w:r>
        <w:t xml:space="preserve"> pel</w:t>
      </w:r>
      <w:r w:rsidRPr="00803FF9">
        <w:t>a Universidad de Vigo (Espanha</w:t>
      </w:r>
      <w:r>
        <w:t>, 2015</w:t>
      </w:r>
      <w:r w:rsidRPr="00803FF9">
        <w:t xml:space="preserve">). </w:t>
      </w:r>
    </w:p>
    <w:p w:rsidR="008D21AB" w:rsidRPr="0006698C" w:rsidRDefault="008D21AB" w:rsidP="008201F8">
      <w:pPr>
        <w:spacing w:line="360" w:lineRule="auto"/>
        <w:jc w:val="both"/>
      </w:pPr>
      <w:r w:rsidRPr="0006698C">
        <w:t xml:space="preserve"> </w:t>
      </w:r>
    </w:p>
    <w:p w:rsidR="008D21AB" w:rsidRPr="004E2A35" w:rsidRDefault="008D21AB" w:rsidP="008201F8">
      <w:pPr>
        <w:spacing w:line="360" w:lineRule="auto"/>
        <w:jc w:val="both"/>
      </w:pPr>
      <w:r>
        <w:t xml:space="preserve">- </w:t>
      </w:r>
      <w:r w:rsidRPr="0006698C">
        <w:t>Professora Auxiliar Convidada na Universidade Portucalense. (desde 1993)</w:t>
      </w:r>
    </w:p>
    <w:p w:rsidR="008D21AB" w:rsidRPr="004E2A35" w:rsidRDefault="008D21AB" w:rsidP="008201F8">
      <w:pPr>
        <w:spacing w:line="360" w:lineRule="auto"/>
        <w:jc w:val="both"/>
      </w:pPr>
      <w:r>
        <w:t xml:space="preserve">- </w:t>
      </w:r>
      <w:r w:rsidRPr="0006698C">
        <w:t>Formadora da Ordem dos Advogados. (desde 2012)</w:t>
      </w:r>
    </w:p>
    <w:p w:rsidR="008D21AB" w:rsidRDefault="008D21AB" w:rsidP="008201F8">
      <w:pPr>
        <w:spacing w:line="360" w:lineRule="auto"/>
        <w:jc w:val="both"/>
      </w:pPr>
      <w:r>
        <w:t xml:space="preserve">- </w:t>
      </w:r>
      <w:r w:rsidRPr="0006698C">
        <w:t xml:space="preserve">Investigadora permanente do </w:t>
      </w:r>
      <w:r>
        <w:t>Instituto Jurídico Portucalense</w:t>
      </w:r>
      <w:r w:rsidRPr="0006698C">
        <w:t>. (desde 2010)</w:t>
      </w:r>
    </w:p>
    <w:p w:rsidR="008D21AB" w:rsidRPr="004E2A35" w:rsidRDefault="008D21AB" w:rsidP="008201F8">
      <w:pPr>
        <w:spacing w:line="360" w:lineRule="auto"/>
        <w:jc w:val="both"/>
      </w:pPr>
      <w:r>
        <w:t xml:space="preserve">- Editora-adjunta da </w:t>
      </w:r>
      <w:r w:rsidRPr="00CD6BFA">
        <w:rPr>
          <w:i/>
          <w:iCs/>
        </w:rPr>
        <w:t>Revista Jurídica</w:t>
      </w:r>
      <w:r w:rsidRPr="00CD6BFA">
        <w:t>, Porto, Universidade Portucalense</w:t>
      </w:r>
      <w:r>
        <w:t>. (desde 2002)</w:t>
      </w:r>
    </w:p>
    <w:p w:rsidR="008D21AB" w:rsidRDefault="008D21AB" w:rsidP="008201F8">
      <w:pPr>
        <w:spacing w:line="360" w:lineRule="auto"/>
        <w:jc w:val="both"/>
        <w:rPr>
          <w:sz w:val="20"/>
          <w:szCs w:val="20"/>
        </w:rPr>
      </w:pPr>
    </w:p>
    <w:p w:rsidR="008D21AB" w:rsidRPr="00CD6BFA" w:rsidRDefault="008D21AB" w:rsidP="008201F8">
      <w:pPr>
        <w:spacing w:line="360" w:lineRule="auto"/>
        <w:jc w:val="both"/>
      </w:pPr>
      <w:r>
        <w:t xml:space="preserve">- Lecciona nas unidades curriculares de </w:t>
      </w:r>
      <w:r w:rsidRPr="00CD6BFA">
        <w:t>Direito Constitucional, Direitos Fundamentais e Justiça Constitucional, Direito da União Europeia, História do Direito, Direito Internacional Público</w:t>
      </w:r>
      <w:r>
        <w:t>, Introdução ao Direito</w:t>
      </w:r>
      <w:r w:rsidRPr="00CD6BFA">
        <w:t>.</w:t>
      </w:r>
      <w:r>
        <w:t xml:space="preserve"> (desde 1993)</w:t>
      </w:r>
      <w:r w:rsidRPr="00CD6BFA">
        <w:t xml:space="preserve"> </w:t>
      </w:r>
    </w:p>
    <w:p w:rsidR="008D21AB" w:rsidRPr="004E2A35" w:rsidRDefault="008D21AB" w:rsidP="008201F8">
      <w:pPr>
        <w:spacing w:line="360" w:lineRule="auto"/>
        <w:jc w:val="both"/>
      </w:pPr>
    </w:p>
    <w:p w:rsidR="008D21AB" w:rsidRPr="00CD6BFA" w:rsidRDefault="008D21AB" w:rsidP="008201F8">
      <w:pPr>
        <w:spacing w:line="360" w:lineRule="auto"/>
        <w:jc w:val="both"/>
      </w:pPr>
      <w:r>
        <w:t xml:space="preserve">- </w:t>
      </w:r>
      <w:r w:rsidRPr="00CD6BFA">
        <w:t>Colabora desde 1998 na</w:t>
      </w:r>
      <w:r w:rsidRPr="00CD6BFA">
        <w:rPr>
          <w:i/>
          <w:iCs/>
        </w:rPr>
        <w:t xml:space="preserve"> Revista Jurídica</w:t>
      </w:r>
      <w:r w:rsidRPr="00CD6BFA">
        <w:t>, Porto, Universidade Portucalense.</w:t>
      </w:r>
    </w:p>
    <w:p w:rsidR="008D21AB" w:rsidRDefault="008D21AB" w:rsidP="008201F8">
      <w:pPr>
        <w:spacing w:line="360" w:lineRule="auto"/>
        <w:jc w:val="both"/>
      </w:pPr>
      <w:r>
        <w:t xml:space="preserve">- </w:t>
      </w:r>
      <w:r w:rsidRPr="00CD6BFA">
        <w:t>Publicou</w:t>
      </w:r>
      <w:r>
        <w:t xml:space="preserve"> as lições</w:t>
      </w:r>
      <w:r w:rsidRPr="00CD6BFA">
        <w:t xml:space="preserve"> </w:t>
      </w:r>
      <w:r w:rsidRPr="00CD6BFA">
        <w:rPr>
          <w:i/>
          <w:iCs/>
        </w:rPr>
        <w:t>Noções de Direito Constitucional e Ciência Política</w:t>
      </w:r>
      <w:r w:rsidRPr="00CD6BFA">
        <w:t xml:space="preserve">, </w:t>
      </w:r>
      <w:r>
        <w:t>Letras e Conceitos, 2011,</w:t>
      </w:r>
      <w:r w:rsidRPr="00CD6BFA">
        <w:t xml:space="preserve"> co-autoria.</w:t>
      </w:r>
    </w:p>
    <w:p w:rsidR="008D21AB" w:rsidRDefault="008D21AB" w:rsidP="008201F8">
      <w:pPr>
        <w:spacing w:line="360" w:lineRule="auto"/>
        <w:jc w:val="both"/>
      </w:pPr>
      <w:r>
        <w:t>- Participou</w:t>
      </w:r>
      <w:r w:rsidRPr="005F1695">
        <w:t xml:space="preserve"> </w:t>
      </w:r>
      <w:r>
        <w:t xml:space="preserve">em </w:t>
      </w:r>
      <w:r w:rsidRPr="005F1695">
        <w:t>livro</w:t>
      </w:r>
      <w:r>
        <w:t>s</w:t>
      </w:r>
      <w:r w:rsidRPr="005F1695">
        <w:t xml:space="preserve"> </w:t>
      </w:r>
      <w:r>
        <w:t>investigação e de homenagem e regularmente em revistas de especialidade</w:t>
      </w:r>
      <w:r w:rsidRPr="005F1695">
        <w:t xml:space="preserve">. </w:t>
      </w:r>
    </w:p>
    <w:p w:rsidR="008D21AB" w:rsidRPr="00253C23" w:rsidRDefault="008D21AB" w:rsidP="008201F8">
      <w:pPr>
        <w:spacing w:line="480" w:lineRule="auto"/>
        <w:jc w:val="both"/>
        <w:rPr>
          <w:lang w:eastAsia="en-US"/>
        </w:rPr>
      </w:pPr>
    </w:p>
    <w:p w:rsidR="008D21AB" w:rsidRPr="00F94E32" w:rsidRDefault="008D21AB" w:rsidP="008D2A9C">
      <w:pPr>
        <w:pStyle w:val="Default"/>
        <w:jc w:val="both"/>
        <w:rPr>
          <w:rFonts w:ascii="Times New Roman" w:hAnsi="Times New Roman" w:cs="Times New Roman"/>
          <w:b/>
          <w:bCs/>
          <w:color w:val="auto"/>
          <w:sz w:val="22"/>
          <w:szCs w:val="22"/>
        </w:rPr>
      </w:pPr>
    </w:p>
    <w:p w:rsidR="008D21AB" w:rsidRPr="00E35A3E" w:rsidRDefault="008D21AB" w:rsidP="00F433CE">
      <w:pPr>
        <w:pStyle w:val="Default"/>
        <w:jc w:val="both"/>
        <w:rPr>
          <w:rFonts w:ascii="Times New Roman" w:hAnsi="Times New Roman" w:cs="Times New Roman"/>
          <w:color w:val="FF0000"/>
          <w:sz w:val="20"/>
          <w:szCs w:val="20"/>
        </w:rPr>
      </w:pPr>
    </w:p>
    <w:sectPr w:rsidR="008D21AB" w:rsidRPr="00E35A3E" w:rsidSect="008C4AF0">
      <w:footerReference w:type="default" r:id="rId13"/>
      <w:pgSz w:w="11906" w:h="16838"/>
      <w:pgMar w:top="1417"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D21AB" w:rsidRDefault="008D21AB" w:rsidP="000F0720">
      <w:r>
        <w:separator/>
      </w:r>
    </w:p>
  </w:endnote>
  <w:endnote w:type="continuationSeparator" w:id="0">
    <w:p w:rsidR="008D21AB" w:rsidRDefault="008D21AB" w:rsidP="000F0720">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EUAlbertina">
    <w:altName w:val="EU Albertina"/>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20002A87" w:usb1="80000000" w:usb2="00000008" w:usb3="00000000" w:csb0="000001FF" w:csb1="00000000"/>
  </w:font>
  <w:font w:name="Lucida Sans Unicode">
    <w:panose1 w:val="020B0602030504020204"/>
    <w:charset w:val="00"/>
    <w:family w:val="swiss"/>
    <w:pitch w:val="variable"/>
    <w:sig w:usb0="80000AFF" w:usb1="0000396B" w:usb2="00000000" w:usb3="00000000" w:csb0="0000003F" w:csb1="00000000"/>
  </w:font>
  <w:font w:name="Yanone Kaffeesatz">
    <w:altName w:val="Times New Roman"/>
    <w:panose1 w:val="00000000000000000000"/>
    <w:charset w:val="00"/>
    <w:family w:val="roman"/>
    <w:notTrueType/>
    <w:pitch w:val="default"/>
    <w:sig w:usb0="00000003" w:usb1="00000000" w:usb2="00000000" w:usb3="00000000" w:csb0="00000001" w:csb1="00000000"/>
  </w:font>
  <w:font w:name="TimesNewRoman">
    <w:panose1 w:val="00000000000000000000"/>
    <w:charset w:val="00"/>
    <w:family w:val="roman"/>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21AB" w:rsidRDefault="008D21AB">
    <w:pPr>
      <w:pStyle w:val="Footer"/>
      <w:jc w:val="right"/>
    </w:pPr>
    <w:fldSimple w:instr="PAGE   \* MERGEFORMAT">
      <w:r>
        <w:rPr>
          <w:noProof/>
        </w:rPr>
        <w:t>5</w:t>
      </w:r>
    </w:fldSimple>
  </w:p>
  <w:p w:rsidR="008D21AB" w:rsidRDefault="008D21AB">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D21AB" w:rsidRDefault="008D21AB" w:rsidP="000F0720">
      <w:r>
        <w:separator/>
      </w:r>
    </w:p>
  </w:footnote>
  <w:footnote w:type="continuationSeparator" w:id="0">
    <w:p w:rsidR="008D21AB" w:rsidRDefault="008D21AB" w:rsidP="000F0720">
      <w:r>
        <w:continuationSeparator/>
      </w:r>
    </w:p>
  </w:footnote>
  <w:footnote w:id="1">
    <w:p w:rsidR="008D21AB" w:rsidRDefault="008D21AB" w:rsidP="002B5302">
      <w:pPr>
        <w:autoSpaceDE w:val="0"/>
        <w:autoSpaceDN w:val="0"/>
        <w:jc w:val="both"/>
      </w:pPr>
      <w:r w:rsidRPr="002B5302">
        <w:rPr>
          <w:rStyle w:val="FootnoteReference"/>
          <w:sz w:val="20"/>
          <w:szCs w:val="20"/>
        </w:rPr>
        <w:footnoteRef/>
      </w:r>
      <w:r w:rsidRPr="002B5302">
        <w:rPr>
          <w:sz w:val="20"/>
          <w:szCs w:val="20"/>
        </w:rPr>
        <w:t xml:space="preserve"> Resolução do Parlamento Europeu </w:t>
      </w:r>
      <w:r w:rsidRPr="002B5302">
        <w:rPr>
          <w:color w:val="000000"/>
          <w:sz w:val="20"/>
          <w:szCs w:val="20"/>
        </w:rPr>
        <w:t>2016/C 065/13</w:t>
      </w:r>
      <w:r w:rsidRPr="002B5302">
        <w:rPr>
          <w:sz w:val="20"/>
          <w:szCs w:val="20"/>
        </w:rPr>
        <w:t>, de 13 de junho de 2013, sobre a liberdade de imprensa e dos meios de comunicação social no mundo</w:t>
      </w:r>
      <w:r w:rsidRPr="002B5302">
        <w:rPr>
          <w:color w:val="000000"/>
          <w:sz w:val="20"/>
          <w:szCs w:val="20"/>
        </w:rPr>
        <w:t>, JOUE C 65 de 19.02.2016, pp. 105 a 112</w:t>
      </w:r>
      <w:r w:rsidRPr="002B5302">
        <w:rPr>
          <w:sz w:val="20"/>
          <w:szCs w:val="20"/>
        </w:rPr>
        <w:t>.</w:t>
      </w:r>
    </w:p>
  </w:footnote>
  <w:footnote w:id="2">
    <w:p w:rsidR="008D21AB" w:rsidRDefault="008D21AB" w:rsidP="00DF15F4">
      <w:pPr>
        <w:pStyle w:val="FootnoteText"/>
        <w:jc w:val="both"/>
      </w:pPr>
      <w:r>
        <w:rPr>
          <w:rStyle w:val="FootnoteReference"/>
        </w:rPr>
        <w:footnoteRef/>
      </w:r>
      <w:r>
        <w:t xml:space="preserve"> Relatório da Comissão sobre a aplicação em 2014 do Regulamento (CE) n.º 1049/2001 relativo ao acesso do público aos documentos do Parlamento Europeu, do Conselho e da Comissão, documento COM(2015) 391 final de 06.08.2015.</w:t>
      </w:r>
    </w:p>
  </w:footnote>
  <w:footnote w:id="3">
    <w:p w:rsidR="008D21AB" w:rsidRDefault="008D21AB" w:rsidP="003443CE">
      <w:pPr>
        <w:pStyle w:val="FootnoteText"/>
        <w:jc w:val="both"/>
      </w:pPr>
      <w:r>
        <w:rPr>
          <w:rStyle w:val="FootnoteReference"/>
        </w:rPr>
        <w:footnoteRef/>
      </w:r>
      <w:r>
        <w:t xml:space="preserve"> </w:t>
      </w:r>
      <w:r w:rsidRPr="00814F6B">
        <w:t>Regulamento (CE) n.º 1049/2001 do Parlamento Europeu e do Conselho, de 30 de Maio de 2001, no JOCE L 145 de 31.05.2001, pp. 43 a 48.</w:t>
      </w:r>
    </w:p>
  </w:footnote>
  <w:footnote w:id="4">
    <w:p w:rsidR="008D21AB" w:rsidRDefault="008D21AB" w:rsidP="00D2091B">
      <w:pPr>
        <w:pStyle w:val="FootnoteText"/>
        <w:jc w:val="both"/>
      </w:pPr>
      <w:r>
        <w:rPr>
          <w:rStyle w:val="FootnoteReference"/>
        </w:rPr>
        <w:footnoteRef/>
      </w:r>
      <w:r>
        <w:t xml:space="preserve"> Os pedidos iniciais de documentos detidos pela Direcção-Geral da Concorrência representam 7,6% dos pedidos, o que coloca em área em segundo lugar de procura. Ver Relatório da Comissão, documento COM(2015) 391 final, cit., p. 4.</w:t>
      </w:r>
    </w:p>
  </w:footnote>
  <w:footnote w:id="5">
    <w:p w:rsidR="008D21AB" w:rsidRDefault="008D21AB" w:rsidP="00ED1425">
      <w:pPr>
        <w:pStyle w:val="FootnoteText"/>
        <w:jc w:val="both"/>
      </w:pPr>
      <w:r w:rsidRPr="009543DD">
        <w:rPr>
          <w:rStyle w:val="FootnoteReference"/>
        </w:rPr>
        <w:footnoteRef/>
      </w:r>
      <w:r w:rsidRPr="009543DD">
        <w:t xml:space="preserve"> </w:t>
      </w:r>
      <w:r>
        <w:t>Artigo 17</w:t>
      </w:r>
      <w:r w:rsidRPr="009543DD">
        <w:t>.º</w:t>
      </w:r>
      <w:r>
        <w:t>, n.º 2,</w:t>
      </w:r>
      <w:r w:rsidRPr="009543DD">
        <w:t xml:space="preserve"> do </w:t>
      </w:r>
      <w:r w:rsidRPr="009543DD">
        <w:rPr>
          <w:color w:val="000000"/>
        </w:rPr>
        <w:t>Regulamento (CE) n.º 1049/2001.</w:t>
      </w:r>
    </w:p>
  </w:footnote>
  <w:footnote w:id="6">
    <w:p w:rsidR="008D21AB" w:rsidRDefault="008D21AB" w:rsidP="005D4CAB">
      <w:pPr>
        <w:pStyle w:val="FootnoteText"/>
        <w:jc w:val="both"/>
      </w:pPr>
      <w:r w:rsidRPr="00AE06CF">
        <w:rPr>
          <w:rStyle w:val="FootnoteReference"/>
        </w:rPr>
        <w:footnoteRef/>
      </w:r>
      <w:r w:rsidRPr="00AE06CF">
        <w:t xml:space="preserve"> </w:t>
      </w:r>
      <w:r w:rsidRPr="00354365">
        <w:t>A quinta grande revisão aos tratados, assinado em 13 de Dezembro de 2007</w:t>
      </w:r>
      <w:r>
        <w:t xml:space="preserve"> que entrou em vigor em 1 de Dezembro de 2009</w:t>
      </w:r>
      <w:r w:rsidRPr="00354365">
        <w:t xml:space="preserve">. </w:t>
      </w:r>
      <w:r>
        <w:t>O Tratado de Lisboa provocou a liderança do Tratado da União Europeia (TUE) e a renomeação do Tratado sobre o Funcionamento da União Europeia (TFUE), que correspondem ao TUE de 1992 e ao Tratado da Comunidade Europeia (TCE) de 1957, com todas as alterações pelas sete revisões efectuadas.</w:t>
      </w:r>
      <w:r w:rsidRPr="00A00672">
        <w:t xml:space="preserve"> </w:t>
      </w:r>
      <w:r w:rsidRPr="004E0719">
        <w:t>Versão consolidada</w:t>
      </w:r>
      <w:r>
        <w:t xml:space="preserve"> do texto </w:t>
      </w:r>
      <w:r w:rsidRPr="00674835">
        <w:t>em JOUE C 326 e 327 de 26.10.2012.</w:t>
      </w:r>
    </w:p>
  </w:footnote>
  <w:footnote w:id="7">
    <w:p w:rsidR="008D21AB" w:rsidRDefault="008D21AB" w:rsidP="00ED1425">
      <w:pPr>
        <w:pStyle w:val="FootnoteText"/>
        <w:jc w:val="both"/>
      </w:pPr>
      <w:r w:rsidRPr="005D72FF">
        <w:rPr>
          <w:rStyle w:val="FootnoteReference"/>
        </w:rPr>
        <w:footnoteRef/>
      </w:r>
      <w:r w:rsidRPr="005D72FF">
        <w:t xml:space="preserve"> Resolução do Parlamento Europeu 2010/C 286 E/03, JOUE C 286 E de 22.10.2010, pp. 12 e 14.</w:t>
      </w:r>
    </w:p>
  </w:footnote>
  <w:footnote w:id="8">
    <w:p w:rsidR="008D21AB" w:rsidRDefault="008D21AB">
      <w:pPr>
        <w:pStyle w:val="FootnoteText"/>
      </w:pPr>
      <w:r>
        <w:rPr>
          <w:rStyle w:val="FootnoteReference"/>
        </w:rPr>
        <w:footnoteRef/>
      </w:r>
      <w:r>
        <w:t xml:space="preserve"> </w:t>
      </w:r>
      <w:r w:rsidRPr="00814F6B">
        <w:rPr>
          <w:rStyle w:val="FootnoteReference"/>
          <w:vertAlign w:val="baseline"/>
        </w:rPr>
        <w:t>Proposta da Comissão de</w:t>
      </w:r>
      <w:r w:rsidRPr="00814F6B">
        <w:t xml:space="preserve"> </w:t>
      </w:r>
      <w:r w:rsidRPr="00814F6B">
        <w:rPr>
          <w:rStyle w:val="FootnoteReference"/>
          <w:vertAlign w:val="baseline"/>
        </w:rPr>
        <w:t>Regulamento, documento COM(2008) 229 final de 30.04.2008</w:t>
      </w:r>
      <w:r>
        <w:t>.</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in;height:3in" o:bullet="t">
        <v:imagedata r:id="rId1" o:title=""/>
      </v:shape>
    </w:pict>
  </w:numPicBullet>
  <w:abstractNum w:abstractNumId="0">
    <w:nsid w:val="45D95C32"/>
    <w:multiLevelType w:val="hybridMultilevel"/>
    <w:tmpl w:val="8D7C308A"/>
    <w:lvl w:ilvl="0" w:tplc="08160001">
      <w:start w:val="1"/>
      <w:numFmt w:val="bullet"/>
      <w:lvlText w:val=""/>
      <w:lvlJc w:val="left"/>
      <w:pPr>
        <w:ind w:left="720" w:hanging="360"/>
      </w:pPr>
      <w:rPr>
        <w:rFonts w:ascii="Symbol" w:hAnsi="Symbol" w:cs="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cs="Wingdings" w:hint="default"/>
      </w:rPr>
    </w:lvl>
    <w:lvl w:ilvl="3" w:tplc="08160001" w:tentative="1">
      <w:start w:val="1"/>
      <w:numFmt w:val="bullet"/>
      <w:lvlText w:val=""/>
      <w:lvlJc w:val="left"/>
      <w:pPr>
        <w:ind w:left="2880" w:hanging="360"/>
      </w:pPr>
      <w:rPr>
        <w:rFonts w:ascii="Symbol" w:hAnsi="Symbol" w:cs="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cs="Wingdings" w:hint="default"/>
      </w:rPr>
    </w:lvl>
    <w:lvl w:ilvl="6" w:tplc="08160001" w:tentative="1">
      <w:start w:val="1"/>
      <w:numFmt w:val="bullet"/>
      <w:lvlText w:val=""/>
      <w:lvlJc w:val="left"/>
      <w:pPr>
        <w:ind w:left="5040" w:hanging="360"/>
      </w:pPr>
      <w:rPr>
        <w:rFonts w:ascii="Symbol" w:hAnsi="Symbol" w:cs="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cs="Wingdings" w:hint="default"/>
      </w:rPr>
    </w:lvl>
  </w:abstractNum>
  <w:abstractNum w:abstractNumId="1">
    <w:nsid w:val="50DF32EC"/>
    <w:multiLevelType w:val="hybridMultilevel"/>
    <w:tmpl w:val="718A48B2"/>
    <w:lvl w:ilvl="0" w:tplc="08160001">
      <w:start w:val="1"/>
      <w:numFmt w:val="bullet"/>
      <w:lvlText w:val=""/>
      <w:lvlJc w:val="left"/>
      <w:pPr>
        <w:ind w:left="720" w:hanging="360"/>
      </w:pPr>
      <w:rPr>
        <w:rFonts w:ascii="Symbol" w:hAnsi="Symbol" w:cs="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cs="Wingdings" w:hint="default"/>
      </w:rPr>
    </w:lvl>
    <w:lvl w:ilvl="3" w:tplc="08160001" w:tentative="1">
      <w:start w:val="1"/>
      <w:numFmt w:val="bullet"/>
      <w:lvlText w:val=""/>
      <w:lvlJc w:val="left"/>
      <w:pPr>
        <w:ind w:left="2880" w:hanging="360"/>
      </w:pPr>
      <w:rPr>
        <w:rFonts w:ascii="Symbol" w:hAnsi="Symbol" w:cs="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cs="Wingdings" w:hint="default"/>
      </w:rPr>
    </w:lvl>
    <w:lvl w:ilvl="6" w:tplc="08160001" w:tentative="1">
      <w:start w:val="1"/>
      <w:numFmt w:val="bullet"/>
      <w:lvlText w:val=""/>
      <w:lvlJc w:val="left"/>
      <w:pPr>
        <w:ind w:left="5040" w:hanging="360"/>
      </w:pPr>
      <w:rPr>
        <w:rFonts w:ascii="Symbol" w:hAnsi="Symbol" w:cs="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cs="Wingdings" w:hint="default"/>
      </w:rPr>
    </w:lvl>
  </w:abstractNum>
  <w:abstractNum w:abstractNumId="2">
    <w:nsid w:val="521407FF"/>
    <w:multiLevelType w:val="multilevel"/>
    <w:tmpl w:val="E706557A"/>
    <w:lvl w:ilvl="0">
      <w:start w:val="1"/>
      <w:numFmt w:val="bullet"/>
      <w:lvlText w:val=""/>
      <w:lvlJc w:val="left"/>
      <w:pPr>
        <w:tabs>
          <w:tab w:val="num" w:pos="720"/>
        </w:tabs>
        <w:ind w:left="720" w:hanging="360"/>
      </w:pPr>
      <w:rPr>
        <w:rFonts w:ascii="Wingdings" w:hAnsi="Wingdings" w:cs="Wingdings" w:hint="default"/>
        <w:sz w:val="20"/>
        <w:szCs w:val="20"/>
      </w:rPr>
    </w:lvl>
    <w:lvl w:ilvl="1">
      <w:start w:val="1"/>
      <w:numFmt w:val="bullet"/>
      <w:lvlText w:val=""/>
      <w:lvlJc w:val="left"/>
      <w:pPr>
        <w:tabs>
          <w:tab w:val="num" w:pos="1440"/>
        </w:tabs>
        <w:ind w:left="1440" w:hanging="360"/>
      </w:pPr>
      <w:rPr>
        <w:rFonts w:ascii="Wingdings" w:hAnsi="Wingdings" w:cs="Wingdings" w:hint="default"/>
        <w:sz w:val="20"/>
        <w:szCs w:val="20"/>
      </w:rPr>
    </w:lvl>
    <w:lvl w:ilvl="2">
      <w:start w:val="1"/>
      <w:numFmt w:val="bullet"/>
      <w:lvlText w:val=""/>
      <w:lvlPicBulletId w:val="0"/>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3">
    <w:nsid w:val="5CE62911"/>
    <w:multiLevelType w:val="hybridMultilevel"/>
    <w:tmpl w:val="32AC795A"/>
    <w:lvl w:ilvl="0" w:tplc="08160001">
      <w:start w:val="1"/>
      <w:numFmt w:val="bullet"/>
      <w:lvlText w:val=""/>
      <w:lvlJc w:val="left"/>
      <w:pPr>
        <w:ind w:left="720" w:hanging="360"/>
      </w:pPr>
      <w:rPr>
        <w:rFonts w:ascii="Symbol" w:hAnsi="Symbol" w:cs="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cs="Wingdings" w:hint="default"/>
      </w:rPr>
    </w:lvl>
    <w:lvl w:ilvl="3" w:tplc="08160001" w:tentative="1">
      <w:start w:val="1"/>
      <w:numFmt w:val="bullet"/>
      <w:lvlText w:val=""/>
      <w:lvlJc w:val="left"/>
      <w:pPr>
        <w:ind w:left="2880" w:hanging="360"/>
      </w:pPr>
      <w:rPr>
        <w:rFonts w:ascii="Symbol" w:hAnsi="Symbol" w:cs="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cs="Wingdings" w:hint="default"/>
      </w:rPr>
    </w:lvl>
    <w:lvl w:ilvl="6" w:tplc="08160001" w:tentative="1">
      <w:start w:val="1"/>
      <w:numFmt w:val="bullet"/>
      <w:lvlText w:val=""/>
      <w:lvlJc w:val="left"/>
      <w:pPr>
        <w:ind w:left="5040" w:hanging="360"/>
      </w:pPr>
      <w:rPr>
        <w:rFonts w:ascii="Symbol" w:hAnsi="Symbol" w:cs="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cs="Wingdings" w:hint="default"/>
      </w:rPr>
    </w:lvl>
  </w:abstractNum>
  <w:abstractNum w:abstractNumId="4">
    <w:nsid w:val="7D8D4FB2"/>
    <w:multiLevelType w:val="hybridMultilevel"/>
    <w:tmpl w:val="53B82456"/>
    <w:lvl w:ilvl="0" w:tplc="08160001">
      <w:start w:val="1"/>
      <w:numFmt w:val="bullet"/>
      <w:lvlText w:val=""/>
      <w:lvlJc w:val="left"/>
      <w:pPr>
        <w:ind w:left="720" w:hanging="360"/>
      </w:pPr>
      <w:rPr>
        <w:rFonts w:ascii="Symbol" w:hAnsi="Symbol" w:cs="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cs="Wingdings" w:hint="default"/>
      </w:rPr>
    </w:lvl>
    <w:lvl w:ilvl="3" w:tplc="08160001" w:tentative="1">
      <w:start w:val="1"/>
      <w:numFmt w:val="bullet"/>
      <w:lvlText w:val=""/>
      <w:lvlJc w:val="left"/>
      <w:pPr>
        <w:ind w:left="2880" w:hanging="360"/>
      </w:pPr>
      <w:rPr>
        <w:rFonts w:ascii="Symbol" w:hAnsi="Symbol" w:cs="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cs="Wingdings" w:hint="default"/>
      </w:rPr>
    </w:lvl>
    <w:lvl w:ilvl="6" w:tplc="08160001" w:tentative="1">
      <w:start w:val="1"/>
      <w:numFmt w:val="bullet"/>
      <w:lvlText w:val=""/>
      <w:lvlJc w:val="left"/>
      <w:pPr>
        <w:ind w:left="5040" w:hanging="360"/>
      </w:pPr>
      <w:rPr>
        <w:rFonts w:ascii="Symbol" w:hAnsi="Symbol" w:cs="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cs="Wingdings" w:hint="default"/>
      </w:rPr>
    </w:lvl>
  </w:abstractNum>
  <w:num w:numId="1">
    <w:abstractNumId w:val="3"/>
  </w:num>
  <w:num w:numId="2">
    <w:abstractNumId w:val="4"/>
  </w:num>
  <w:num w:numId="3">
    <w:abstractNumId w:val="0"/>
  </w:num>
  <w:num w:numId="4">
    <w:abstractNumId w:val="1"/>
  </w:num>
  <w:num w:numId="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08"/>
  <w:hyphenationZone w:val="425"/>
  <w:characterSpacingControl w:val="doNotCompress"/>
  <w:doNotValidateAgainstSchema/>
  <w:doNotDemarcateInvalidXml/>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F433CE"/>
    <w:rsid w:val="000047DF"/>
    <w:rsid w:val="00014A7B"/>
    <w:rsid w:val="00017D88"/>
    <w:rsid w:val="00034A44"/>
    <w:rsid w:val="000561F9"/>
    <w:rsid w:val="00066405"/>
    <w:rsid w:val="0006698C"/>
    <w:rsid w:val="00096230"/>
    <w:rsid w:val="000E1BA9"/>
    <w:rsid w:val="000E3A8E"/>
    <w:rsid w:val="000F0720"/>
    <w:rsid w:val="001049C1"/>
    <w:rsid w:val="00130876"/>
    <w:rsid w:val="00130DA8"/>
    <w:rsid w:val="001431B6"/>
    <w:rsid w:val="00143BA5"/>
    <w:rsid w:val="0015019B"/>
    <w:rsid w:val="001751F6"/>
    <w:rsid w:val="00184E5D"/>
    <w:rsid w:val="001909DB"/>
    <w:rsid w:val="00190AB9"/>
    <w:rsid w:val="001950A9"/>
    <w:rsid w:val="00196AF3"/>
    <w:rsid w:val="001A3AD8"/>
    <w:rsid w:val="001B02CB"/>
    <w:rsid w:val="001B6327"/>
    <w:rsid w:val="001C08A5"/>
    <w:rsid w:val="001D0261"/>
    <w:rsid w:val="001E5CFA"/>
    <w:rsid w:val="001E71B5"/>
    <w:rsid w:val="001E7DC1"/>
    <w:rsid w:val="001F136A"/>
    <w:rsid w:val="00217F5A"/>
    <w:rsid w:val="00224377"/>
    <w:rsid w:val="00244FD7"/>
    <w:rsid w:val="00247DC2"/>
    <w:rsid w:val="00253C23"/>
    <w:rsid w:val="00292D8E"/>
    <w:rsid w:val="002946EF"/>
    <w:rsid w:val="00294ECA"/>
    <w:rsid w:val="002A7324"/>
    <w:rsid w:val="002A7E86"/>
    <w:rsid w:val="002B39EB"/>
    <w:rsid w:val="002B4F2C"/>
    <w:rsid w:val="002B5302"/>
    <w:rsid w:val="002C2DB2"/>
    <w:rsid w:val="002C4027"/>
    <w:rsid w:val="002F1CAC"/>
    <w:rsid w:val="00302105"/>
    <w:rsid w:val="00304206"/>
    <w:rsid w:val="00305B05"/>
    <w:rsid w:val="003075CA"/>
    <w:rsid w:val="00310E0F"/>
    <w:rsid w:val="00337AAD"/>
    <w:rsid w:val="003443CE"/>
    <w:rsid w:val="0035112E"/>
    <w:rsid w:val="003525F7"/>
    <w:rsid w:val="00353447"/>
    <w:rsid w:val="00354365"/>
    <w:rsid w:val="00365F43"/>
    <w:rsid w:val="00371467"/>
    <w:rsid w:val="003A207D"/>
    <w:rsid w:val="003A2DF3"/>
    <w:rsid w:val="0042578C"/>
    <w:rsid w:val="00440790"/>
    <w:rsid w:val="00454B8D"/>
    <w:rsid w:val="00465046"/>
    <w:rsid w:val="00470F5A"/>
    <w:rsid w:val="00475456"/>
    <w:rsid w:val="00483259"/>
    <w:rsid w:val="004845DA"/>
    <w:rsid w:val="004923C9"/>
    <w:rsid w:val="004A75A2"/>
    <w:rsid w:val="004E0719"/>
    <w:rsid w:val="004E2A35"/>
    <w:rsid w:val="004E3A74"/>
    <w:rsid w:val="00513DCA"/>
    <w:rsid w:val="00557E82"/>
    <w:rsid w:val="00580704"/>
    <w:rsid w:val="0058098F"/>
    <w:rsid w:val="005854A9"/>
    <w:rsid w:val="00596757"/>
    <w:rsid w:val="00597A70"/>
    <w:rsid w:val="005A39E7"/>
    <w:rsid w:val="005A78EA"/>
    <w:rsid w:val="005B0028"/>
    <w:rsid w:val="005B05CC"/>
    <w:rsid w:val="005D4CAB"/>
    <w:rsid w:val="005D72FF"/>
    <w:rsid w:val="005F1695"/>
    <w:rsid w:val="00635E16"/>
    <w:rsid w:val="006457D4"/>
    <w:rsid w:val="00657258"/>
    <w:rsid w:val="00666595"/>
    <w:rsid w:val="00670838"/>
    <w:rsid w:val="00671883"/>
    <w:rsid w:val="00674835"/>
    <w:rsid w:val="00684485"/>
    <w:rsid w:val="00684B08"/>
    <w:rsid w:val="006A001F"/>
    <w:rsid w:val="006A313E"/>
    <w:rsid w:val="006A6002"/>
    <w:rsid w:val="006A7579"/>
    <w:rsid w:val="006B0CCA"/>
    <w:rsid w:val="006B339D"/>
    <w:rsid w:val="006B5971"/>
    <w:rsid w:val="006B7F38"/>
    <w:rsid w:val="006C6898"/>
    <w:rsid w:val="006E3F88"/>
    <w:rsid w:val="006F029C"/>
    <w:rsid w:val="006F0E03"/>
    <w:rsid w:val="006F5CFF"/>
    <w:rsid w:val="007134F5"/>
    <w:rsid w:val="0073454A"/>
    <w:rsid w:val="00764D13"/>
    <w:rsid w:val="007730F9"/>
    <w:rsid w:val="007870B9"/>
    <w:rsid w:val="00797A01"/>
    <w:rsid w:val="007A3702"/>
    <w:rsid w:val="007A69FD"/>
    <w:rsid w:val="007B0D19"/>
    <w:rsid w:val="007B55F5"/>
    <w:rsid w:val="007C5A42"/>
    <w:rsid w:val="007C799D"/>
    <w:rsid w:val="007D1F5D"/>
    <w:rsid w:val="007D3DC8"/>
    <w:rsid w:val="007E1C12"/>
    <w:rsid w:val="007E2F34"/>
    <w:rsid w:val="007E4CD4"/>
    <w:rsid w:val="0080356F"/>
    <w:rsid w:val="00803FF9"/>
    <w:rsid w:val="00811AAB"/>
    <w:rsid w:val="00814F6B"/>
    <w:rsid w:val="00816698"/>
    <w:rsid w:val="008201F8"/>
    <w:rsid w:val="0083582B"/>
    <w:rsid w:val="00842C0E"/>
    <w:rsid w:val="0084401F"/>
    <w:rsid w:val="00846302"/>
    <w:rsid w:val="008526F8"/>
    <w:rsid w:val="00883645"/>
    <w:rsid w:val="00886EDE"/>
    <w:rsid w:val="008A3A17"/>
    <w:rsid w:val="008B01EB"/>
    <w:rsid w:val="008B6A39"/>
    <w:rsid w:val="008C4AF0"/>
    <w:rsid w:val="008D21AB"/>
    <w:rsid w:val="008D2A9C"/>
    <w:rsid w:val="008E0075"/>
    <w:rsid w:val="008F2B9E"/>
    <w:rsid w:val="008F616F"/>
    <w:rsid w:val="008F6738"/>
    <w:rsid w:val="009050D4"/>
    <w:rsid w:val="00926F5E"/>
    <w:rsid w:val="00952F9C"/>
    <w:rsid w:val="009543DD"/>
    <w:rsid w:val="00974E6F"/>
    <w:rsid w:val="009A0BB5"/>
    <w:rsid w:val="009A0FAA"/>
    <w:rsid w:val="009B1465"/>
    <w:rsid w:val="009E4F94"/>
    <w:rsid w:val="009E6850"/>
    <w:rsid w:val="009F42F9"/>
    <w:rsid w:val="00A00672"/>
    <w:rsid w:val="00A032F0"/>
    <w:rsid w:val="00A10A67"/>
    <w:rsid w:val="00A129AC"/>
    <w:rsid w:val="00A30EDE"/>
    <w:rsid w:val="00A33E58"/>
    <w:rsid w:val="00A355B6"/>
    <w:rsid w:val="00A42DE3"/>
    <w:rsid w:val="00A455EB"/>
    <w:rsid w:val="00A9284E"/>
    <w:rsid w:val="00AC048C"/>
    <w:rsid w:val="00AE06CF"/>
    <w:rsid w:val="00AE2EF3"/>
    <w:rsid w:val="00B17283"/>
    <w:rsid w:val="00B37027"/>
    <w:rsid w:val="00B50882"/>
    <w:rsid w:val="00B52405"/>
    <w:rsid w:val="00B558F2"/>
    <w:rsid w:val="00B63FD4"/>
    <w:rsid w:val="00B65189"/>
    <w:rsid w:val="00B7503F"/>
    <w:rsid w:val="00BD0010"/>
    <w:rsid w:val="00BF4C0C"/>
    <w:rsid w:val="00C14691"/>
    <w:rsid w:val="00C15E96"/>
    <w:rsid w:val="00C409E9"/>
    <w:rsid w:val="00C43285"/>
    <w:rsid w:val="00C5589E"/>
    <w:rsid w:val="00C63EC6"/>
    <w:rsid w:val="00C649A8"/>
    <w:rsid w:val="00C7609F"/>
    <w:rsid w:val="00C83028"/>
    <w:rsid w:val="00CA097A"/>
    <w:rsid w:val="00CB331F"/>
    <w:rsid w:val="00CB4107"/>
    <w:rsid w:val="00CC10F9"/>
    <w:rsid w:val="00CD02F4"/>
    <w:rsid w:val="00CD6BFA"/>
    <w:rsid w:val="00CD6F84"/>
    <w:rsid w:val="00CE47BC"/>
    <w:rsid w:val="00CF1A3A"/>
    <w:rsid w:val="00D2091B"/>
    <w:rsid w:val="00D36FD7"/>
    <w:rsid w:val="00D422DA"/>
    <w:rsid w:val="00D46B32"/>
    <w:rsid w:val="00D50CD8"/>
    <w:rsid w:val="00D811C1"/>
    <w:rsid w:val="00D97ED4"/>
    <w:rsid w:val="00DE51B7"/>
    <w:rsid w:val="00DE5E36"/>
    <w:rsid w:val="00DF05DD"/>
    <w:rsid w:val="00DF15F4"/>
    <w:rsid w:val="00E01E1A"/>
    <w:rsid w:val="00E13CB6"/>
    <w:rsid w:val="00E141A4"/>
    <w:rsid w:val="00E2342E"/>
    <w:rsid w:val="00E35A3E"/>
    <w:rsid w:val="00E43D06"/>
    <w:rsid w:val="00E55002"/>
    <w:rsid w:val="00E6289C"/>
    <w:rsid w:val="00E63397"/>
    <w:rsid w:val="00E91122"/>
    <w:rsid w:val="00EA32D6"/>
    <w:rsid w:val="00EA5BBE"/>
    <w:rsid w:val="00EA6E78"/>
    <w:rsid w:val="00EC1D62"/>
    <w:rsid w:val="00EC5378"/>
    <w:rsid w:val="00ED1425"/>
    <w:rsid w:val="00ED3BE9"/>
    <w:rsid w:val="00EE1FF0"/>
    <w:rsid w:val="00F13FB8"/>
    <w:rsid w:val="00F2477C"/>
    <w:rsid w:val="00F330C3"/>
    <w:rsid w:val="00F433CE"/>
    <w:rsid w:val="00F546C1"/>
    <w:rsid w:val="00F54B84"/>
    <w:rsid w:val="00F64993"/>
    <w:rsid w:val="00F90B0C"/>
    <w:rsid w:val="00F94E32"/>
    <w:rsid w:val="00FA793C"/>
    <w:rsid w:val="00FF31F2"/>
  </w:rsids>
  <m:mathPr>
    <m:mathFont m:val="Cambria Math"/>
    <m:brkBin m:val="before"/>
    <m:brkBinSub m:val="--"/>
    <m:smallFrac m:val="off"/>
    <m:dispDef/>
    <m:lMargin m:val="0"/>
    <m:rMargin m:val="0"/>
    <m:defJc m:val="centerGroup"/>
    <m:wrapIndent m:val="1440"/>
    <m:intLim m:val="subSup"/>
    <m:naryLim m:val="undOvr"/>
  </m:mathPr>
  <w:uiCompat97To2003/>
  <w:themeFontLang w:val="pt-P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pt-PT" w:eastAsia="pt-P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nhideWhenUsed="0"/>
    <w:lsdException w:name="header" w:unhideWhenUsed="0"/>
    <w:lsdException w:name="footer" w:unhideWhenUsed="0"/>
    <w:lsdException w:name="caption" w:uiPriority="35" w:qFormat="1"/>
    <w:lsdException w:name="footnote reference" w:unhideWhenUsed="0"/>
    <w:lsdException w:name="Title" w:semiHidden="0" w:uiPriority="10" w:unhideWhenUsed="0" w:qFormat="1"/>
    <w:lsdException w:name="Default Paragraph Font" w:unhideWhenUsed="0"/>
    <w:lsdException w:name="Body Text" w:unhideWhenUsed="0"/>
    <w:lsdException w:name="Subtitle" w:semiHidden="0" w:uiPriority="11" w:unhideWhenUsed="0" w:qFormat="1"/>
    <w:lsdException w:name="Body Text 2" w:unhideWhenUsed="0"/>
    <w:lsdException w:name="Hyperlink" w:unhideWhenUsed="0"/>
    <w:lsdException w:name="Strong" w:semiHidden="0" w:unhideWhenUsed="0" w:qFormat="1"/>
    <w:lsdException w:name="Emphasis" w:semiHidden="0" w:unhideWhenUsed="0" w:qFormat="1"/>
    <w:lsdException w:name="Balloon Text"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33CE"/>
    <w:rPr>
      <w:rFonts w:ascii="Times New Roman" w:eastAsia="Times New Roman" w:hAnsi="Times New Roman"/>
      <w:sz w:val="24"/>
      <w:szCs w:val="24"/>
    </w:rPr>
  </w:style>
  <w:style w:type="paragraph" w:styleId="Heading1">
    <w:name w:val="heading 1"/>
    <w:basedOn w:val="Normal"/>
    <w:next w:val="Normal"/>
    <w:link w:val="Heading1Char"/>
    <w:uiPriority w:val="99"/>
    <w:qFormat/>
    <w:rsid w:val="00CC10F9"/>
    <w:pPr>
      <w:keepNext/>
      <w:jc w:val="both"/>
      <w:outlineLvl w:val="0"/>
    </w:pPr>
    <w:rPr>
      <w:rFonts w:eastAsia="Calibri"/>
      <w:b/>
      <w:bC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337AAD"/>
    <w:rPr>
      <w:rFonts w:ascii="Cambria" w:hAnsi="Cambria" w:cs="Cambria"/>
      <w:b/>
      <w:bCs/>
      <w:kern w:val="32"/>
      <w:sz w:val="32"/>
      <w:szCs w:val="32"/>
    </w:rPr>
  </w:style>
  <w:style w:type="paragraph" w:styleId="BalloonText">
    <w:name w:val="Balloon Text"/>
    <w:basedOn w:val="Normal"/>
    <w:link w:val="BalloonTextChar"/>
    <w:uiPriority w:val="99"/>
    <w:semiHidden/>
    <w:rsid w:val="00FF31F2"/>
    <w:rPr>
      <w:rFonts w:eastAsia="Calibri"/>
      <w:sz w:val="2"/>
      <w:szCs w:val="2"/>
    </w:rPr>
  </w:style>
  <w:style w:type="character" w:customStyle="1" w:styleId="BalloonTextChar">
    <w:name w:val="Balloon Text Char"/>
    <w:basedOn w:val="DefaultParagraphFont"/>
    <w:link w:val="BalloonText"/>
    <w:uiPriority w:val="99"/>
    <w:semiHidden/>
    <w:rsid w:val="000E3A8E"/>
    <w:rPr>
      <w:rFonts w:ascii="Times New Roman" w:hAnsi="Times New Roman" w:cs="Times New Roman"/>
      <w:sz w:val="2"/>
      <w:szCs w:val="2"/>
    </w:rPr>
  </w:style>
  <w:style w:type="character" w:styleId="Hyperlink">
    <w:name w:val="Hyperlink"/>
    <w:basedOn w:val="DefaultParagraphFont"/>
    <w:uiPriority w:val="99"/>
    <w:semiHidden/>
    <w:rsid w:val="00F433CE"/>
    <w:rPr>
      <w:color w:val="0000FF"/>
      <w:u w:val="single"/>
    </w:rPr>
  </w:style>
  <w:style w:type="paragraph" w:styleId="Header">
    <w:name w:val="header"/>
    <w:basedOn w:val="Normal"/>
    <w:link w:val="HeaderChar"/>
    <w:uiPriority w:val="99"/>
    <w:rsid w:val="00F433CE"/>
    <w:pPr>
      <w:tabs>
        <w:tab w:val="center" w:pos="4252"/>
        <w:tab w:val="right" w:pos="8504"/>
      </w:tabs>
    </w:pPr>
    <w:rPr>
      <w:rFonts w:eastAsia="Calibri"/>
    </w:rPr>
  </w:style>
  <w:style w:type="character" w:customStyle="1" w:styleId="HeaderChar">
    <w:name w:val="Header Char"/>
    <w:basedOn w:val="DefaultParagraphFont"/>
    <w:link w:val="Header"/>
    <w:uiPriority w:val="99"/>
    <w:rsid w:val="00F433CE"/>
    <w:rPr>
      <w:rFonts w:ascii="Times New Roman" w:hAnsi="Times New Roman" w:cs="Times New Roman"/>
      <w:sz w:val="24"/>
      <w:szCs w:val="24"/>
      <w:lang w:eastAsia="pt-PT"/>
    </w:rPr>
  </w:style>
  <w:style w:type="paragraph" w:customStyle="1" w:styleId="Default">
    <w:name w:val="Default"/>
    <w:uiPriority w:val="99"/>
    <w:rsid w:val="00F433CE"/>
    <w:pPr>
      <w:autoSpaceDE w:val="0"/>
      <w:autoSpaceDN w:val="0"/>
      <w:adjustRightInd w:val="0"/>
    </w:pPr>
    <w:rPr>
      <w:rFonts w:ascii="EUAlbertina" w:eastAsia="Times New Roman" w:hAnsi="EUAlbertina" w:cs="EUAlbertina"/>
      <w:color w:val="000000"/>
      <w:sz w:val="24"/>
      <w:szCs w:val="24"/>
    </w:rPr>
  </w:style>
  <w:style w:type="paragraph" w:styleId="ListParagraph">
    <w:name w:val="List Paragraph"/>
    <w:basedOn w:val="Normal"/>
    <w:uiPriority w:val="99"/>
    <w:qFormat/>
    <w:rsid w:val="00353447"/>
    <w:pPr>
      <w:ind w:left="720"/>
      <w:contextualSpacing/>
    </w:pPr>
  </w:style>
  <w:style w:type="paragraph" w:styleId="FootnoteText">
    <w:name w:val="footnote text"/>
    <w:basedOn w:val="Normal"/>
    <w:link w:val="FootnoteTextChar"/>
    <w:uiPriority w:val="99"/>
    <w:semiHidden/>
    <w:rsid w:val="000F0720"/>
    <w:rPr>
      <w:rFonts w:eastAsia="Calibri"/>
      <w:sz w:val="20"/>
      <w:szCs w:val="20"/>
    </w:rPr>
  </w:style>
  <w:style w:type="character" w:customStyle="1" w:styleId="FootnoteTextChar">
    <w:name w:val="Footnote Text Char"/>
    <w:basedOn w:val="DefaultParagraphFont"/>
    <w:link w:val="FootnoteText"/>
    <w:uiPriority w:val="99"/>
    <w:semiHidden/>
    <w:rsid w:val="000F0720"/>
    <w:rPr>
      <w:rFonts w:ascii="Times New Roman" w:hAnsi="Times New Roman" w:cs="Times New Roman"/>
      <w:sz w:val="20"/>
      <w:szCs w:val="20"/>
      <w:lang w:eastAsia="pt-PT"/>
    </w:rPr>
  </w:style>
  <w:style w:type="character" w:styleId="FootnoteReference">
    <w:name w:val="footnote reference"/>
    <w:basedOn w:val="DefaultParagraphFont"/>
    <w:uiPriority w:val="99"/>
    <w:semiHidden/>
    <w:rsid w:val="000F0720"/>
    <w:rPr>
      <w:vertAlign w:val="superscript"/>
    </w:rPr>
  </w:style>
  <w:style w:type="paragraph" w:styleId="Footer">
    <w:name w:val="footer"/>
    <w:basedOn w:val="Normal"/>
    <w:link w:val="FooterChar"/>
    <w:uiPriority w:val="99"/>
    <w:rsid w:val="000F0720"/>
    <w:pPr>
      <w:tabs>
        <w:tab w:val="center" w:pos="4252"/>
        <w:tab w:val="right" w:pos="8504"/>
      </w:tabs>
    </w:pPr>
    <w:rPr>
      <w:rFonts w:eastAsia="Calibri"/>
    </w:rPr>
  </w:style>
  <w:style w:type="character" w:customStyle="1" w:styleId="FooterChar">
    <w:name w:val="Footer Char"/>
    <w:basedOn w:val="DefaultParagraphFont"/>
    <w:link w:val="Footer"/>
    <w:uiPriority w:val="99"/>
    <w:rsid w:val="000F0720"/>
    <w:rPr>
      <w:rFonts w:ascii="Times New Roman" w:hAnsi="Times New Roman" w:cs="Times New Roman"/>
      <w:sz w:val="24"/>
      <w:szCs w:val="24"/>
      <w:lang w:eastAsia="pt-PT"/>
    </w:rPr>
  </w:style>
  <w:style w:type="character" w:customStyle="1" w:styleId="hps">
    <w:name w:val="hps"/>
    <w:basedOn w:val="DefaultParagraphFont"/>
    <w:uiPriority w:val="99"/>
    <w:rsid w:val="00224377"/>
  </w:style>
  <w:style w:type="paragraph" w:styleId="BodyText2">
    <w:name w:val="Body Text 2"/>
    <w:basedOn w:val="Normal"/>
    <w:link w:val="BodyText2Char"/>
    <w:uiPriority w:val="99"/>
    <w:rsid w:val="00F54B84"/>
    <w:pPr>
      <w:spacing w:after="120" w:line="480" w:lineRule="auto"/>
    </w:pPr>
    <w:rPr>
      <w:rFonts w:eastAsia="Calibri"/>
    </w:rPr>
  </w:style>
  <w:style w:type="character" w:customStyle="1" w:styleId="BodyText2Char">
    <w:name w:val="Body Text 2 Char"/>
    <w:basedOn w:val="DefaultParagraphFont"/>
    <w:link w:val="BodyText2"/>
    <w:uiPriority w:val="99"/>
    <w:semiHidden/>
    <w:rsid w:val="00247DC2"/>
    <w:rPr>
      <w:rFonts w:ascii="Times New Roman" w:hAnsi="Times New Roman" w:cs="Times New Roman"/>
      <w:sz w:val="24"/>
      <w:szCs w:val="24"/>
    </w:rPr>
  </w:style>
  <w:style w:type="character" w:styleId="Emphasis">
    <w:name w:val="Emphasis"/>
    <w:basedOn w:val="DefaultParagraphFont"/>
    <w:uiPriority w:val="99"/>
    <w:qFormat/>
    <w:rsid w:val="00F94E32"/>
    <w:rPr>
      <w:i/>
      <w:iCs/>
    </w:rPr>
  </w:style>
  <w:style w:type="character" w:styleId="Strong">
    <w:name w:val="Strong"/>
    <w:basedOn w:val="DefaultParagraphFont"/>
    <w:uiPriority w:val="99"/>
    <w:qFormat/>
    <w:rsid w:val="00292D8E"/>
    <w:rPr>
      <w:b/>
      <w:bCs/>
    </w:rPr>
  </w:style>
  <w:style w:type="character" w:customStyle="1" w:styleId="Carcter13">
    <w:name w:val="Carácter13"/>
    <w:uiPriority w:val="99"/>
    <w:rsid w:val="00465046"/>
    <w:rPr>
      <w:rFonts w:ascii="Arial" w:hAnsi="Arial" w:cs="Arial"/>
      <w:sz w:val="24"/>
      <w:szCs w:val="24"/>
      <w:lang w:val="pt-PT" w:eastAsia="pt-PT"/>
    </w:rPr>
  </w:style>
  <w:style w:type="paragraph" w:styleId="BodyText">
    <w:name w:val="Body Text"/>
    <w:basedOn w:val="Normal"/>
    <w:link w:val="BodyTextChar1"/>
    <w:uiPriority w:val="99"/>
    <w:rsid w:val="00465046"/>
    <w:pPr>
      <w:spacing w:after="120"/>
    </w:pPr>
    <w:rPr>
      <w:rFonts w:ascii="Calibri" w:hAnsi="Calibri" w:cs="Calibri"/>
    </w:rPr>
  </w:style>
  <w:style w:type="character" w:customStyle="1" w:styleId="BodyTextChar">
    <w:name w:val="Body Text Char"/>
    <w:basedOn w:val="DefaultParagraphFont"/>
    <w:link w:val="BodyText"/>
    <w:uiPriority w:val="99"/>
    <w:semiHidden/>
    <w:rsid w:val="00596757"/>
    <w:rPr>
      <w:rFonts w:ascii="Times New Roman" w:hAnsi="Times New Roman" w:cs="Times New Roman"/>
      <w:sz w:val="24"/>
      <w:szCs w:val="24"/>
    </w:rPr>
  </w:style>
  <w:style w:type="character" w:customStyle="1" w:styleId="BodyTextChar1">
    <w:name w:val="Body Text Char1"/>
    <w:link w:val="BodyText"/>
    <w:uiPriority w:val="99"/>
    <w:rsid w:val="00465046"/>
    <w:rPr>
      <w:rFonts w:eastAsia="Times New Roman"/>
      <w:sz w:val="24"/>
      <w:szCs w:val="24"/>
      <w:lang w:val="pt-PT" w:eastAsia="pt-PT"/>
    </w:rPr>
  </w:style>
  <w:style w:type="character" w:customStyle="1" w:styleId="TextodenotaderodapCarcter">
    <w:name w:val="Texto de nota de rodapé Carácter"/>
    <w:basedOn w:val="DefaultParagraphFont"/>
    <w:uiPriority w:val="99"/>
    <w:rsid w:val="009E4F94"/>
    <w:rPr>
      <w:rFonts w:ascii="Arial" w:hAnsi="Arial" w:cs="Arial"/>
      <w:lang w:val="en-US" w:eastAsia="pt-PT"/>
    </w:rPr>
  </w:style>
  <w:style w:type="character" w:customStyle="1" w:styleId="Carcter131">
    <w:name w:val="Carácter131"/>
    <w:uiPriority w:val="99"/>
    <w:rsid w:val="009E4F94"/>
    <w:rPr>
      <w:rFonts w:ascii="Arial" w:hAnsi="Arial" w:cs="Arial"/>
      <w:sz w:val="24"/>
      <w:szCs w:val="24"/>
      <w:lang w:val="pt-PT" w:eastAsia="pt-PT"/>
    </w:rPr>
  </w:style>
</w:styles>
</file>

<file path=word/webSettings.xml><?xml version="1.0" encoding="utf-8"?>
<w:webSettings xmlns:r="http://schemas.openxmlformats.org/officeDocument/2006/relationships" xmlns:w="http://schemas.openxmlformats.org/wordprocessingml/2006/main">
  <w:divs>
    <w:div w:id="303463789">
      <w:marLeft w:val="0"/>
      <w:marRight w:val="0"/>
      <w:marTop w:val="0"/>
      <w:marBottom w:val="0"/>
      <w:divBdr>
        <w:top w:val="none" w:sz="0" w:space="0" w:color="auto"/>
        <w:left w:val="none" w:sz="0" w:space="0" w:color="auto"/>
        <w:bottom w:val="none" w:sz="0" w:space="0" w:color="auto"/>
        <w:right w:val="none" w:sz="0" w:space="0" w:color="auto"/>
      </w:divBdr>
    </w:div>
    <w:div w:id="303463793">
      <w:marLeft w:val="0"/>
      <w:marRight w:val="0"/>
      <w:marTop w:val="0"/>
      <w:marBottom w:val="0"/>
      <w:divBdr>
        <w:top w:val="none" w:sz="0" w:space="0" w:color="auto"/>
        <w:left w:val="none" w:sz="0" w:space="0" w:color="auto"/>
        <w:bottom w:val="none" w:sz="0" w:space="0" w:color="auto"/>
        <w:right w:val="none" w:sz="0" w:space="0" w:color="auto"/>
      </w:divBdr>
      <w:divsChild>
        <w:div w:id="303463792">
          <w:marLeft w:val="0"/>
          <w:marRight w:val="0"/>
          <w:marTop w:val="0"/>
          <w:marBottom w:val="0"/>
          <w:divBdr>
            <w:top w:val="none" w:sz="0" w:space="0" w:color="auto"/>
            <w:left w:val="none" w:sz="0" w:space="0" w:color="auto"/>
            <w:bottom w:val="none" w:sz="0" w:space="0" w:color="auto"/>
            <w:right w:val="none" w:sz="0" w:space="0" w:color="auto"/>
          </w:divBdr>
          <w:divsChild>
            <w:div w:id="303463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3463794">
      <w:marLeft w:val="0"/>
      <w:marRight w:val="0"/>
      <w:marTop w:val="0"/>
      <w:marBottom w:val="0"/>
      <w:divBdr>
        <w:top w:val="none" w:sz="0" w:space="0" w:color="auto"/>
        <w:left w:val="none" w:sz="0" w:space="0" w:color="auto"/>
        <w:bottom w:val="none" w:sz="0" w:space="0" w:color="auto"/>
        <w:right w:val="none" w:sz="0" w:space="0" w:color="auto"/>
      </w:divBdr>
      <w:divsChild>
        <w:div w:id="303463790">
          <w:marLeft w:val="0"/>
          <w:marRight w:val="0"/>
          <w:marTop w:val="0"/>
          <w:marBottom w:val="0"/>
          <w:divBdr>
            <w:top w:val="none" w:sz="0" w:space="0" w:color="auto"/>
            <w:left w:val="none" w:sz="0" w:space="0" w:color="auto"/>
            <w:bottom w:val="none" w:sz="0" w:space="0" w:color="auto"/>
            <w:right w:val="none" w:sz="0" w:space="0" w:color="auto"/>
          </w:divBdr>
          <w:divsChild>
            <w:div w:id="303463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3463795">
      <w:marLeft w:val="0"/>
      <w:marRight w:val="0"/>
      <w:marTop w:val="0"/>
      <w:marBottom w:val="0"/>
      <w:divBdr>
        <w:top w:val="none" w:sz="0" w:space="0" w:color="auto"/>
        <w:left w:val="none" w:sz="0" w:space="0" w:color="auto"/>
        <w:bottom w:val="none" w:sz="0" w:space="0" w:color="auto"/>
        <w:right w:val="none" w:sz="0" w:space="0" w:color="auto"/>
      </w:divBdr>
    </w:div>
    <w:div w:id="303463797">
      <w:marLeft w:val="0"/>
      <w:marRight w:val="0"/>
      <w:marTop w:val="0"/>
      <w:marBottom w:val="0"/>
      <w:divBdr>
        <w:top w:val="none" w:sz="0" w:space="0" w:color="auto"/>
        <w:left w:val="none" w:sz="0" w:space="0" w:color="auto"/>
        <w:bottom w:val="none" w:sz="0" w:space="0" w:color="auto"/>
        <w:right w:val="none" w:sz="0" w:space="0" w:color="auto"/>
      </w:divBdr>
      <w:divsChild>
        <w:div w:id="303463786">
          <w:marLeft w:val="0"/>
          <w:marRight w:val="0"/>
          <w:marTop w:val="0"/>
          <w:marBottom w:val="0"/>
          <w:divBdr>
            <w:top w:val="none" w:sz="0" w:space="0" w:color="auto"/>
            <w:left w:val="none" w:sz="0" w:space="0" w:color="auto"/>
            <w:bottom w:val="none" w:sz="0" w:space="0" w:color="auto"/>
            <w:right w:val="none" w:sz="0" w:space="0" w:color="auto"/>
          </w:divBdr>
        </w:div>
        <w:div w:id="303463787">
          <w:marLeft w:val="0"/>
          <w:marRight w:val="0"/>
          <w:marTop w:val="0"/>
          <w:marBottom w:val="0"/>
          <w:divBdr>
            <w:top w:val="none" w:sz="0" w:space="0" w:color="auto"/>
            <w:left w:val="none" w:sz="0" w:space="0" w:color="auto"/>
            <w:bottom w:val="none" w:sz="0" w:space="0" w:color="auto"/>
            <w:right w:val="none" w:sz="0" w:space="0" w:color="auto"/>
          </w:divBdr>
        </w:div>
        <w:div w:id="303463788">
          <w:marLeft w:val="0"/>
          <w:marRight w:val="0"/>
          <w:marTop w:val="0"/>
          <w:marBottom w:val="0"/>
          <w:divBdr>
            <w:top w:val="none" w:sz="0" w:space="0" w:color="auto"/>
            <w:left w:val="none" w:sz="0" w:space="0" w:color="auto"/>
            <w:bottom w:val="none" w:sz="0" w:space="0" w:color="auto"/>
            <w:right w:val="none" w:sz="0" w:space="0" w:color="auto"/>
          </w:divBdr>
        </w:div>
      </w:divsChild>
    </w:div>
    <w:div w:id="303463798">
      <w:marLeft w:val="0"/>
      <w:marRight w:val="0"/>
      <w:marTop w:val="0"/>
      <w:marBottom w:val="0"/>
      <w:divBdr>
        <w:top w:val="none" w:sz="0" w:space="0" w:color="auto"/>
        <w:left w:val="none" w:sz="0" w:space="0" w:color="auto"/>
        <w:bottom w:val="none" w:sz="0" w:space="0" w:color="auto"/>
        <w:right w:val="none" w:sz="0" w:space="0" w:color="auto"/>
      </w:divBdr>
    </w:div>
    <w:div w:id="303463801">
      <w:marLeft w:val="0"/>
      <w:marRight w:val="0"/>
      <w:marTop w:val="0"/>
      <w:marBottom w:val="0"/>
      <w:divBdr>
        <w:top w:val="none" w:sz="0" w:space="0" w:color="auto"/>
        <w:left w:val="none" w:sz="0" w:space="0" w:color="auto"/>
        <w:bottom w:val="none" w:sz="0" w:space="0" w:color="auto"/>
        <w:right w:val="none" w:sz="0" w:space="0" w:color="auto"/>
      </w:divBdr>
      <w:divsChild>
        <w:div w:id="303463799">
          <w:marLeft w:val="0"/>
          <w:marRight w:val="0"/>
          <w:marTop w:val="0"/>
          <w:marBottom w:val="0"/>
          <w:divBdr>
            <w:top w:val="none" w:sz="0" w:space="0" w:color="auto"/>
            <w:left w:val="none" w:sz="0" w:space="0" w:color="auto"/>
            <w:bottom w:val="none" w:sz="0" w:space="0" w:color="auto"/>
            <w:right w:val="none" w:sz="0" w:space="0" w:color="auto"/>
          </w:divBdr>
          <w:divsChild>
            <w:div w:id="303463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comunicacionypensamiento.org/pro" TargetMode="External"/><Relationship Id="rId12" Type="http://schemas.openxmlformats.org/officeDocument/2006/relationships/hyperlink" Target="http://comunicacionypensamiento.org/simposio08.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eur-lex.europa.eu"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mailto:dra@upt.pt" TargetMode="External"/><Relationship Id="rId4" Type="http://schemas.openxmlformats.org/officeDocument/2006/relationships/webSettings" Target="webSettings.xml"/><Relationship Id="rId9" Type="http://schemas.openxmlformats.org/officeDocument/2006/relationships/hyperlink" Target="http://familiasyredessociales.mailrelay-ii.com/newslink/42305/15.html" TargetMode="External"/><Relationship Id="rId14"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1</TotalTime>
  <Pages>5</Pages>
  <Words>1337</Words>
  <Characters>7221</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MarciaBento</dc:creator>
  <cp:keywords/>
  <dc:description/>
  <cp:lastModifiedBy>Dora Alves</cp:lastModifiedBy>
  <cp:revision>2</cp:revision>
  <dcterms:created xsi:type="dcterms:W3CDTF">2016-03-07T16:13:00Z</dcterms:created>
  <dcterms:modified xsi:type="dcterms:W3CDTF">2016-03-07T16:13:00Z</dcterms:modified>
</cp:coreProperties>
</file>