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45F84B" w14:textId="77777777" w:rsidR="007E3D2E" w:rsidRDefault="007E3D2E" w:rsidP="00405B4E">
      <w:pPr>
        <w:pStyle w:val="Ttulo"/>
        <w:spacing w:line="276" w:lineRule="auto"/>
      </w:pPr>
      <w:bookmarkStart w:id="0" w:name="_GoBack"/>
      <w:bookmarkEnd w:id="0"/>
      <w:r>
        <w:t xml:space="preserve">APONTAMENTOS DO JORNAL OFICIAL DA </w:t>
      </w:r>
    </w:p>
    <w:p w14:paraId="1B533A67" w14:textId="7056F7FD" w:rsidR="007E3D2E" w:rsidRDefault="007E3D2E" w:rsidP="00405B4E">
      <w:pPr>
        <w:pStyle w:val="Ttulo"/>
        <w:spacing w:line="276" w:lineRule="auto"/>
      </w:pPr>
      <w:r>
        <w:t xml:space="preserve">UNIÃO EUROPEIA (7)  </w:t>
      </w:r>
      <w:r w:rsidRPr="00881F0D">
        <w:rPr>
          <w:rStyle w:val="Refdenotaderodap"/>
          <w:b w:val="0"/>
          <w:bCs/>
        </w:rPr>
        <w:footnoteReference w:id="1"/>
      </w:r>
    </w:p>
    <w:p w14:paraId="62F43D22" w14:textId="77777777" w:rsidR="007E3D2E" w:rsidRPr="008914F0" w:rsidRDefault="007E3D2E" w:rsidP="00405B4E">
      <w:pPr>
        <w:pStyle w:val="Ttulo"/>
        <w:spacing w:line="276" w:lineRule="auto"/>
      </w:pPr>
    </w:p>
    <w:p w14:paraId="4EDA38A3" w14:textId="77777777" w:rsidR="007E3D2E" w:rsidRPr="004013F3" w:rsidRDefault="007E3D2E" w:rsidP="00405B4E">
      <w:pPr>
        <w:spacing w:line="276" w:lineRule="auto"/>
        <w:jc w:val="right"/>
      </w:pPr>
      <w:r w:rsidRPr="004013F3">
        <w:rPr>
          <w:i/>
        </w:rPr>
        <w:t>Dora Resende Alves</w:t>
      </w:r>
      <w:r w:rsidRPr="004013F3">
        <w:rPr>
          <w:rStyle w:val="Refdenotaderodap"/>
        </w:rPr>
        <w:footnoteReference w:customMarkFollows="1" w:id="2"/>
        <w:sym w:font="Symbol" w:char="F02A"/>
      </w:r>
    </w:p>
    <w:p w14:paraId="0B382B3F" w14:textId="532B5684" w:rsidR="007E3D2E" w:rsidRDefault="007E3D2E" w:rsidP="00405B4E">
      <w:pPr>
        <w:spacing w:line="276" w:lineRule="auto"/>
        <w:jc w:val="right"/>
      </w:pPr>
      <w:r w:rsidRPr="004013F3">
        <w:rPr>
          <w:i/>
        </w:rPr>
        <w:t>João Pedro Sousa</w:t>
      </w:r>
      <w:r w:rsidRPr="004013F3">
        <w:rPr>
          <w:rStyle w:val="Refdenotaderodap"/>
        </w:rPr>
        <w:footnoteReference w:customMarkFollows="1" w:id="3"/>
        <w:sym w:font="Symbol" w:char="F02A"/>
      </w:r>
    </w:p>
    <w:p w14:paraId="04DFD8B9" w14:textId="77777777" w:rsidR="007E3D2E" w:rsidRDefault="007E3D2E" w:rsidP="00405B4E">
      <w:pPr>
        <w:pStyle w:val="Default"/>
        <w:spacing w:line="276" w:lineRule="auto"/>
        <w:jc w:val="both"/>
      </w:pPr>
    </w:p>
    <w:p w14:paraId="1A89D39A" w14:textId="77777777" w:rsidR="007E3D2E" w:rsidRDefault="007E3D2E" w:rsidP="00405B4E">
      <w:pPr>
        <w:pStyle w:val="Default"/>
        <w:spacing w:line="276" w:lineRule="auto"/>
        <w:jc w:val="both"/>
        <w:rPr>
          <w:rFonts w:ascii="Times New Roman" w:hAnsi="Times New Roman" w:cs="Times New Roman"/>
          <w:sz w:val="20"/>
          <w:szCs w:val="20"/>
        </w:rPr>
      </w:pPr>
      <w:r w:rsidRPr="00806ADD">
        <w:rPr>
          <w:rFonts w:ascii="Times New Roman" w:hAnsi="Times New Roman" w:cs="Times New Roman"/>
          <w:b/>
          <w:sz w:val="20"/>
          <w:szCs w:val="20"/>
        </w:rPr>
        <w:t>RESUMO:</w:t>
      </w:r>
      <w:r w:rsidRPr="00806ADD">
        <w:rPr>
          <w:rFonts w:ascii="Times New Roman" w:hAnsi="Times New Roman" w:cs="Times New Roman"/>
          <w:sz w:val="20"/>
          <w:szCs w:val="20"/>
        </w:rPr>
        <w:t xml:space="preserve"> </w:t>
      </w:r>
      <w:r>
        <w:rPr>
          <w:rFonts w:ascii="Times New Roman" w:hAnsi="Times New Roman" w:cs="Times New Roman"/>
          <w:sz w:val="20"/>
          <w:szCs w:val="20"/>
        </w:rPr>
        <w:t>Apresentam-se</w:t>
      </w:r>
      <w:r w:rsidRPr="00806ADD">
        <w:rPr>
          <w:rFonts w:ascii="Times New Roman" w:hAnsi="Times New Roman" w:cs="Times New Roman"/>
          <w:sz w:val="20"/>
          <w:szCs w:val="20"/>
        </w:rPr>
        <w:t xml:space="preserve"> </w:t>
      </w:r>
      <w:r>
        <w:rPr>
          <w:rFonts w:ascii="Times New Roman" w:hAnsi="Times New Roman" w:cs="Times New Roman"/>
          <w:sz w:val="20"/>
          <w:szCs w:val="20"/>
        </w:rPr>
        <w:t>alguns apontamentos relativos a</w:t>
      </w:r>
      <w:r w:rsidRPr="00806ADD">
        <w:rPr>
          <w:rFonts w:ascii="Times New Roman" w:hAnsi="Times New Roman" w:cs="Times New Roman"/>
          <w:sz w:val="20"/>
          <w:szCs w:val="20"/>
        </w:rPr>
        <w:t xml:space="preserve"> normas da atualidade do</w:t>
      </w:r>
      <w:r>
        <w:rPr>
          <w:rFonts w:ascii="Times New Roman" w:hAnsi="Times New Roman" w:cs="Times New Roman"/>
          <w:sz w:val="20"/>
          <w:szCs w:val="20"/>
        </w:rPr>
        <w:t xml:space="preserve"> d</w:t>
      </w:r>
      <w:r w:rsidRPr="00806ADD">
        <w:rPr>
          <w:rFonts w:ascii="Times New Roman" w:hAnsi="Times New Roman" w:cs="Times New Roman"/>
          <w:sz w:val="20"/>
          <w:szCs w:val="20"/>
        </w:rPr>
        <w:t xml:space="preserve">ireito da União Europeia, por consulta ao Jornal Oficial da União Europeia no endereço </w:t>
      </w:r>
      <w:r w:rsidRPr="00806ADD">
        <w:rPr>
          <w:rFonts w:ascii="Times New Roman" w:hAnsi="Times New Roman" w:cs="Times New Roman"/>
          <w:sz w:val="20"/>
          <w:szCs w:val="20"/>
          <w:u w:val="single"/>
        </w:rPr>
        <w:t>http://eur-lex.europa.eu</w:t>
      </w:r>
      <w:r w:rsidRPr="00806ADD">
        <w:rPr>
          <w:rFonts w:ascii="Times New Roman" w:hAnsi="Times New Roman" w:cs="Times New Roman"/>
          <w:sz w:val="20"/>
          <w:szCs w:val="20"/>
        </w:rPr>
        <w:t>, em seleção da res</w:t>
      </w:r>
      <w:r>
        <w:rPr>
          <w:rFonts w:ascii="Times New Roman" w:hAnsi="Times New Roman" w:cs="Times New Roman"/>
          <w:sz w:val="20"/>
          <w:szCs w:val="20"/>
        </w:rPr>
        <w:t>ponsabilidade dos autores. Também por consulta a alguns documentos preparatórios no mesmo endereço e pequenas indicações de atualidade, sempre por referência a instituições.</w:t>
      </w:r>
    </w:p>
    <w:p w14:paraId="34877CBC" w14:textId="77777777" w:rsidR="007E3D2E" w:rsidRDefault="007E3D2E" w:rsidP="00405B4E">
      <w:pPr>
        <w:pStyle w:val="Default"/>
        <w:spacing w:line="276" w:lineRule="auto"/>
        <w:jc w:val="both"/>
        <w:rPr>
          <w:rFonts w:ascii="Times New Roman" w:hAnsi="Times New Roman" w:cs="Times New Roman"/>
          <w:sz w:val="20"/>
          <w:szCs w:val="20"/>
        </w:rPr>
      </w:pPr>
    </w:p>
    <w:p w14:paraId="4CC8FE34" w14:textId="77777777" w:rsidR="007E3D2E" w:rsidRPr="00806ADD" w:rsidRDefault="007E3D2E" w:rsidP="00405B4E">
      <w:pPr>
        <w:pStyle w:val="Default"/>
        <w:spacing w:line="276" w:lineRule="auto"/>
        <w:jc w:val="both"/>
        <w:rPr>
          <w:rFonts w:ascii="Times New Roman" w:hAnsi="Times New Roman" w:cs="Times New Roman"/>
          <w:sz w:val="20"/>
          <w:szCs w:val="20"/>
        </w:rPr>
      </w:pPr>
    </w:p>
    <w:p w14:paraId="55CCFCC9" w14:textId="77777777" w:rsidR="007E3D2E" w:rsidRPr="008F29F4" w:rsidRDefault="007E3D2E" w:rsidP="00405B4E">
      <w:pPr>
        <w:pStyle w:val="Default"/>
        <w:spacing w:line="276" w:lineRule="auto"/>
        <w:jc w:val="both"/>
        <w:rPr>
          <w:rFonts w:ascii="Times New Roman" w:hAnsi="Times New Roman" w:cs="Times New Roman"/>
          <w:sz w:val="20"/>
          <w:szCs w:val="20"/>
        </w:rPr>
      </w:pPr>
      <w:r w:rsidRPr="008F29F4">
        <w:rPr>
          <w:rFonts w:ascii="Times New Roman" w:hAnsi="Times New Roman" w:cs="Times New Roman"/>
          <w:b/>
          <w:sz w:val="20"/>
          <w:szCs w:val="20"/>
        </w:rPr>
        <w:t>PALAVRAS-CHAVE:</w:t>
      </w:r>
      <w:r w:rsidRPr="008F29F4">
        <w:rPr>
          <w:rFonts w:ascii="Times New Roman" w:hAnsi="Times New Roman" w:cs="Times New Roman"/>
          <w:sz w:val="20"/>
          <w:szCs w:val="20"/>
        </w:rPr>
        <w:t xml:space="preserve"> União Europeia</w:t>
      </w:r>
      <w:r>
        <w:rPr>
          <w:rFonts w:ascii="Times New Roman" w:hAnsi="Times New Roman" w:cs="Times New Roman"/>
          <w:sz w:val="20"/>
          <w:szCs w:val="20"/>
        </w:rPr>
        <w:t>;</w:t>
      </w:r>
      <w:r w:rsidRPr="008F29F4">
        <w:rPr>
          <w:rFonts w:ascii="Times New Roman" w:hAnsi="Times New Roman" w:cs="Times New Roman"/>
          <w:sz w:val="20"/>
          <w:szCs w:val="20"/>
        </w:rPr>
        <w:t xml:space="preserve"> regulamento</w:t>
      </w:r>
      <w:r>
        <w:rPr>
          <w:rFonts w:ascii="Times New Roman" w:hAnsi="Times New Roman" w:cs="Times New Roman"/>
          <w:sz w:val="20"/>
          <w:szCs w:val="20"/>
        </w:rPr>
        <w:t>;</w:t>
      </w:r>
      <w:r w:rsidRPr="008F29F4">
        <w:rPr>
          <w:rFonts w:ascii="Times New Roman" w:hAnsi="Times New Roman" w:cs="Times New Roman"/>
          <w:sz w:val="20"/>
          <w:szCs w:val="20"/>
        </w:rPr>
        <w:t xml:space="preserve"> diretiva</w:t>
      </w:r>
      <w:r>
        <w:rPr>
          <w:rFonts w:ascii="Times New Roman" w:hAnsi="Times New Roman" w:cs="Times New Roman"/>
          <w:sz w:val="20"/>
          <w:szCs w:val="20"/>
        </w:rPr>
        <w:t>;</w:t>
      </w:r>
      <w:r w:rsidRPr="008F29F4">
        <w:rPr>
          <w:rFonts w:ascii="Times New Roman" w:hAnsi="Times New Roman" w:cs="Times New Roman"/>
          <w:sz w:val="20"/>
          <w:szCs w:val="20"/>
        </w:rPr>
        <w:t xml:space="preserve"> decisão.</w:t>
      </w:r>
    </w:p>
    <w:p w14:paraId="340A9A70" w14:textId="77777777" w:rsidR="007E3D2E" w:rsidRDefault="007E3D2E" w:rsidP="00405B4E">
      <w:pPr>
        <w:pStyle w:val="Default"/>
        <w:spacing w:line="276" w:lineRule="auto"/>
        <w:jc w:val="both"/>
        <w:rPr>
          <w:rFonts w:ascii="Times New Roman" w:hAnsi="Times New Roman" w:cs="Times New Roman"/>
          <w:sz w:val="20"/>
          <w:szCs w:val="20"/>
        </w:rPr>
      </w:pPr>
    </w:p>
    <w:p w14:paraId="15D3985A" w14:textId="77777777" w:rsidR="007E3D2E" w:rsidRPr="00806ADD" w:rsidRDefault="007E3D2E" w:rsidP="00405B4E">
      <w:pPr>
        <w:pStyle w:val="Default"/>
        <w:spacing w:line="276" w:lineRule="auto"/>
        <w:jc w:val="both"/>
        <w:rPr>
          <w:rFonts w:ascii="Times New Roman" w:hAnsi="Times New Roman" w:cs="Times New Roman"/>
          <w:sz w:val="20"/>
          <w:szCs w:val="20"/>
        </w:rPr>
      </w:pPr>
    </w:p>
    <w:p w14:paraId="71886A1E" w14:textId="77777777" w:rsidR="007E3D2E" w:rsidRPr="00806ADD" w:rsidRDefault="007E3D2E" w:rsidP="00405B4E">
      <w:pPr>
        <w:pStyle w:val="Default"/>
        <w:spacing w:line="276" w:lineRule="auto"/>
        <w:jc w:val="both"/>
        <w:rPr>
          <w:rFonts w:ascii="Times New Roman" w:hAnsi="Times New Roman" w:cs="Times New Roman"/>
          <w:sz w:val="20"/>
          <w:szCs w:val="20"/>
          <w:lang w:val="en-GB"/>
        </w:rPr>
      </w:pPr>
      <w:r w:rsidRPr="00806ADD">
        <w:rPr>
          <w:rFonts w:ascii="Times New Roman" w:hAnsi="Times New Roman" w:cs="Times New Roman"/>
          <w:b/>
          <w:sz w:val="20"/>
          <w:szCs w:val="20"/>
          <w:lang w:val="en-GB"/>
        </w:rPr>
        <w:t>ABSTRACT:</w:t>
      </w:r>
      <w:r w:rsidRPr="00806ADD">
        <w:rPr>
          <w:rFonts w:ascii="Times New Roman" w:hAnsi="Times New Roman" w:cs="Times New Roman"/>
          <w:sz w:val="20"/>
          <w:szCs w:val="20"/>
          <w:lang w:val="en-GB"/>
        </w:rPr>
        <w:t xml:space="preserve"> It presents a review of actual legal norms of the European Union, by consulting the Official Journal of the European Union at the address </w:t>
      </w:r>
      <w:r w:rsidRPr="00806ADD">
        <w:rPr>
          <w:rFonts w:ascii="Times New Roman" w:hAnsi="Times New Roman" w:cs="Times New Roman"/>
          <w:sz w:val="20"/>
          <w:szCs w:val="20"/>
          <w:u w:val="single"/>
          <w:lang w:val="en-GB"/>
        </w:rPr>
        <w:t>http://eur-lex.europa.eu</w:t>
      </w:r>
      <w:r w:rsidRPr="00806ADD">
        <w:rPr>
          <w:rFonts w:ascii="Times New Roman" w:hAnsi="Times New Roman" w:cs="Times New Roman"/>
          <w:sz w:val="20"/>
          <w:szCs w:val="20"/>
          <w:lang w:val="en-GB"/>
        </w:rPr>
        <w:t xml:space="preserve"> in selection of the author</w:t>
      </w:r>
      <w:r>
        <w:rPr>
          <w:rFonts w:ascii="Times New Roman" w:hAnsi="Times New Roman" w:cs="Times New Roman"/>
          <w:sz w:val="20"/>
          <w:szCs w:val="20"/>
          <w:lang w:val="en-GB"/>
        </w:rPr>
        <w:t>s</w:t>
      </w:r>
      <w:r w:rsidRPr="00806ADD">
        <w:rPr>
          <w:rFonts w:ascii="Times New Roman" w:hAnsi="Times New Roman" w:cs="Times New Roman"/>
          <w:sz w:val="20"/>
          <w:szCs w:val="20"/>
          <w:lang w:val="en-GB"/>
        </w:rPr>
        <w:t>.</w:t>
      </w:r>
    </w:p>
    <w:p w14:paraId="195BEE4C" w14:textId="77777777" w:rsidR="007E3D2E" w:rsidRPr="008B55BE" w:rsidRDefault="007E3D2E" w:rsidP="00405B4E">
      <w:pPr>
        <w:pStyle w:val="Default"/>
        <w:spacing w:line="276" w:lineRule="auto"/>
        <w:jc w:val="both"/>
        <w:rPr>
          <w:sz w:val="20"/>
          <w:szCs w:val="20"/>
          <w:lang w:val="en-GB"/>
        </w:rPr>
      </w:pPr>
    </w:p>
    <w:p w14:paraId="76D19493" w14:textId="77777777" w:rsidR="007E3D2E" w:rsidRPr="001F7A9C" w:rsidRDefault="007E3D2E" w:rsidP="00405B4E">
      <w:pPr>
        <w:pStyle w:val="Default"/>
        <w:spacing w:line="276" w:lineRule="auto"/>
        <w:jc w:val="both"/>
        <w:rPr>
          <w:rFonts w:ascii="Times New Roman" w:hAnsi="Times New Roman" w:cs="Times New Roman"/>
          <w:sz w:val="20"/>
          <w:szCs w:val="20"/>
          <w:lang w:val="en-GB"/>
        </w:rPr>
      </w:pPr>
      <w:r w:rsidRPr="001F7A9C">
        <w:rPr>
          <w:rFonts w:ascii="Times New Roman" w:hAnsi="Times New Roman" w:cs="Times New Roman"/>
          <w:b/>
          <w:sz w:val="20"/>
          <w:szCs w:val="20"/>
          <w:lang w:val="en-GB"/>
        </w:rPr>
        <w:t>KEY-WORDS:</w:t>
      </w:r>
      <w:r w:rsidRPr="001F7A9C">
        <w:rPr>
          <w:rFonts w:ascii="Times New Roman" w:hAnsi="Times New Roman" w:cs="Times New Roman"/>
          <w:sz w:val="20"/>
          <w:szCs w:val="20"/>
          <w:lang w:val="en-GB"/>
        </w:rPr>
        <w:t xml:space="preserve"> European Union, regulation</w:t>
      </w:r>
      <w:r>
        <w:rPr>
          <w:rFonts w:ascii="Times New Roman" w:hAnsi="Times New Roman" w:cs="Times New Roman"/>
          <w:sz w:val="20"/>
          <w:szCs w:val="20"/>
          <w:lang w:val="en-GB"/>
        </w:rPr>
        <w:t>;</w:t>
      </w:r>
      <w:r w:rsidRPr="001F7A9C">
        <w:rPr>
          <w:rFonts w:ascii="Times New Roman" w:hAnsi="Times New Roman" w:cs="Times New Roman"/>
          <w:sz w:val="20"/>
          <w:szCs w:val="20"/>
          <w:lang w:val="en-GB"/>
        </w:rPr>
        <w:t xml:space="preserve"> directive</w:t>
      </w:r>
      <w:r>
        <w:rPr>
          <w:rFonts w:ascii="Times New Roman" w:hAnsi="Times New Roman" w:cs="Times New Roman"/>
          <w:sz w:val="20"/>
          <w:szCs w:val="20"/>
          <w:lang w:val="en-GB"/>
        </w:rPr>
        <w:t>;</w:t>
      </w:r>
      <w:r w:rsidRPr="001F7A9C">
        <w:rPr>
          <w:rFonts w:ascii="Times New Roman" w:hAnsi="Times New Roman" w:cs="Times New Roman"/>
          <w:sz w:val="20"/>
          <w:szCs w:val="20"/>
          <w:lang w:val="en-GB"/>
        </w:rPr>
        <w:t xml:space="preserve"> decision</w:t>
      </w:r>
      <w:r w:rsidRPr="001F7A9C">
        <w:rPr>
          <w:rFonts w:ascii="Times New Roman" w:hAnsi="Times New Roman" w:cs="Times New Roman"/>
          <w:lang w:val="en"/>
        </w:rPr>
        <w:t>.</w:t>
      </w:r>
    </w:p>
    <w:p w14:paraId="613DC9BB" w14:textId="77777777" w:rsidR="007E3D2E" w:rsidRPr="001F7A9C" w:rsidRDefault="007E3D2E" w:rsidP="00405B4E">
      <w:pPr>
        <w:pStyle w:val="Default"/>
        <w:spacing w:line="276" w:lineRule="auto"/>
        <w:jc w:val="both"/>
        <w:rPr>
          <w:rFonts w:ascii="Times New Roman" w:hAnsi="Times New Roman" w:cs="Times New Roman"/>
          <w:lang w:val="en-GB"/>
        </w:rPr>
      </w:pPr>
    </w:p>
    <w:p w14:paraId="1A70EE5E" w14:textId="77777777" w:rsidR="007E3D2E" w:rsidRPr="00F81027" w:rsidRDefault="007E3D2E" w:rsidP="00405B4E">
      <w:pPr>
        <w:pStyle w:val="Default"/>
        <w:spacing w:line="276" w:lineRule="auto"/>
        <w:jc w:val="both"/>
        <w:rPr>
          <w:lang w:val="en-GB"/>
        </w:rPr>
      </w:pPr>
    </w:p>
    <w:p w14:paraId="7975410B" w14:textId="06F47F67" w:rsidR="007E3D2E" w:rsidRPr="00B31BBC" w:rsidRDefault="007E3D2E" w:rsidP="00405B4E">
      <w:pPr>
        <w:spacing w:line="276" w:lineRule="auto"/>
        <w:ind w:firstLine="708"/>
        <w:jc w:val="both"/>
        <w:rPr>
          <w:bCs/>
        </w:rPr>
      </w:pPr>
      <w:bookmarkStart w:id="2" w:name="_Hlk534876856"/>
      <w:r w:rsidRPr="007801DB">
        <w:rPr>
          <w:bCs/>
        </w:rPr>
        <w:t xml:space="preserve">As </w:t>
      </w:r>
      <w:r w:rsidRPr="00B31BBC">
        <w:rPr>
          <w:bCs/>
        </w:rPr>
        <w:t xml:space="preserve">organizações de Estados, para </w:t>
      </w:r>
      <w:r w:rsidR="00387497" w:rsidRPr="00B31BBC">
        <w:rPr>
          <w:bCs/>
        </w:rPr>
        <w:t>efetivar</w:t>
      </w:r>
      <w:r w:rsidRPr="00B31BBC">
        <w:rPr>
          <w:bCs/>
        </w:rPr>
        <w:t xml:space="preserve"> o seu desempenho, necessitam de órgãos habilitados para prosseguir os </w:t>
      </w:r>
      <w:r w:rsidR="00387497" w:rsidRPr="00B31BBC">
        <w:rPr>
          <w:bCs/>
        </w:rPr>
        <w:t>objetivos</w:t>
      </w:r>
      <w:r w:rsidRPr="00B31BBC">
        <w:rPr>
          <w:bCs/>
        </w:rPr>
        <w:t xml:space="preserve"> constitutivos. No caso da União Europeia, a doutrina utiliza usualmente a expressão instituições.</w:t>
      </w:r>
    </w:p>
    <w:p w14:paraId="224D4C57" w14:textId="5828CB24" w:rsidR="007E3D2E" w:rsidRPr="00B31BBC" w:rsidRDefault="007E3D2E" w:rsidP="00405B4E">
      <w:pPr>
        <w:pStyle w:val="Default"/>
        <w:spacing w:line="276" w:lineRule="auto"/>
        <w:ind w:firstLine="708"/>
        <w:jc w:val="both"/>
        <w:rPr>
          <w:rFonts w:ascii="Times New Roman" w:hAnsi="Times New Roman" w:cs="Times New Roman"/>
        </w:rPr>
      </w:pPr>
      <w:r w:rsidRPr="00B31BBC">
        <w:rPr>
          <w:rFonts w:ascii="Times New Roman" w:hAnsi="Times New Roman" w:cs="Times New Roman"/>
        </w:rPr>
        <w:t xml:space="preserve">Uma das características essenciais de uma organização internacional é a existência de uma estrutura orgânica permanente e independente, graças à qual adquire a necessária estabilidade e continuidade para alcançar os seus </w:t>
      </w:r>
      <w:r w:rsidR="00387497" w:rsidRPr="00B31BBC">
        <w:rPr>
          <w:rFonts w:ascii="Times New Roman" w:hAnsi="Times New Roman" w:cs="Times New Roman"/>
        </w:rPr>
        <w:t>objetivos</w:t>
      </w:r>
      <w:r w:rsidRPr="00B31BBC">
        <w:rPr>
          <w:rFonts w:ascii="Times New Roman" w:hAnsi="Times New Roman" w:cs="Times New Roman"/>
        </w:rPr>
        <w:t>.</w:t>
      </w:r>
    </w:p>
    <w:p w14:paraId="0A767D80" w14:textId="52D25E6A" w:rsidR="007E3D2E" w:rsidRPr="00B31BBC" w:rsidRDefault="007E3D2E" w:rsidP="00405B4E">
      <w:pPr>
        <w:spacing w:line="276" w:lineRule="auto"/>
        <w:ind w:firstLine="708"/>
        <w:jc w:val="both"/>
        <w:rPr>
          <w:bCs/>
        </w:rPr>
      </w:pPr>
      <w:r w:rsidRPr="00B31BBC">
        <w:t xml:space="preserve">Essas organizações de Estados estabelecem no seu </w:t>
      </w:r>
      <w:r w:rsidR="00387497" w:rsidRPr="00B31BBC">
        <w:t>ato</w:t>
      </w:r>
      <w:r w:rsidRPr="00B31BBC">
        <w:t xml:space="preserve"> constitutivo </w:t>
      </w:r>
      <w:r w:rsidR="00387497" w:rsidRPr="00B31BBC">
        <w:t>objetivos</w:t>
      </w:r>
      <w:r w:rsidRPr="00B31BBC">
        <w:t xml:space="preserve"> a atingir, o que só se realizam através da atuação efetiva desses órgãos. Dentre estes, uns terão a seu cargo as tarefas decisórias, executivas, de fiscalização e até judiciais e outros servirão de apoio permanente e logístico. A União Europeia, desde a criação das Comunidades Europeias, não se afastou deste quadro.</w:t>
      </w:r>
    </w:p>
    <w:p w14:paraId="7EB94D72" w14:textId="32B92E59" w:rsidR="007E3D2E" w:rsidRPr="00B31BBC" w:rsidRDefault="007E3D2E" w:rsidP="00405B4E">
      <w:pPr>
        <w:spacing w:line="276" w:lineRule="auto"/>
        <w:ind w:firstLine="708"/>
        <w:jc w:val="both"/>
      </w:pPr>
      <w:r w:rsidRPr="00B31BBC">
        <w:t xml:space="preserve">As fontes de direito </w:t>
      </w:r>
      <w:r>
        <w:t>euro</w:t>
      </w:r>
      <w:r w:rsidRPr="00B31BBC">
        <w:t xml:space="preserve">comunitário </w:t>
      </w:r>
      <w:r w:rsidR="00387497" w:rsidRPr="00B31BBC">
        <w:t>refletem</w:t>
      </w:r>
      <w:r w:rsidRPr="00B31BBC">
        <w:t xml:space="preserve"> a juventude deste ramo do direito, </w:t>
      </w:r>
      <w:r>
        <w:t>com</w:t>
      </w:r>
      <w:r w:rsidRPr="00B31BBC">
        <w:t xml:space="preserve"> 70 anos</w:t>
      </w:r>
      <w:r w:rsidRPr="00B31BBC">
        <w:rPr>
          <w:rStyle w:val="Refdenotaderodap"/>
        </w:rPr>
        <w:footnoteReference w:id="4"/>
      </w:r>
      <w:r w:rsidRPr="00B31BBC">
        <w:t>, quando, dos Tratados que criaram as Comunidades Europeias, resultou uma nova ordem jurídica, com uma finalidade própria e independente da dos Estados</w:t>
      </w:r>
      <w:r>
        <w:t>-</w:t>
      </w:r>
      <w:r>
        <w:lastRenderedPageBreak/>
        <w:t>M</w:t>
      </w:r>
      <w:r w:rsidRPr="00B31BBC">
        <w:t>embros, mas que com esta se relaciona, com uma dupla origem convencional e unilateral</w:t>
      </w:r>
      <w:r w:rsidRPr="00B31BBC">
        <w:rPr>
          <w:rStyle w:val="Refdenotaderodap"/>
        </w:rPr>
        <w:footnoteReference w:id="5"/>
      </w:r>
      <w:r w:rsidRPr="00B31BBC">
        <w:t>.</w:t>
      </w:r>
    </w:p>
    <w:p w14:paraId="25DD063A" w14:textId="77777777" w:rsidR="007E3D2E" w:rsidRPr="00B31BBC" w:rsidRDefault="007E3D2E" w:rsidP="00405B4E">
      <w:pPr>
        <w:spacing w:line="276" w:lineRule="auto"/>
        <w:ind w:firstLine="708"/>
        <w:jc w:val="both"/>
      </w:pPr>
      <w:r w:rsidRPr="00B31BBC">
        <w:t xml:space="preserve">O direito </w:t>
      </w:r>
      <w:r>
        <w:t>da União</w:t>
      </w:r>
      <w:r w:rsidRPr="00B31BBC">
        <w:t xml:space="preserve"> originário ou primário é, segundo um critério de fonte formal, o direito criado pelos Estados-Membros através de tratados internacionais, constituído pelas normas que criaram as Comunidades Europeias e a União Europeia, conferindo-lhes as suas atribuições e regulando a sua organização e funcionamento internos, bem como as alterações a estes tratados</w:t>
      </w:r>
      <w:r w:rsidRPr="00B31BBC">
        <w:rPr>
          <w:rStyle w:val="Refdenotaderodap"/>
        </w:rPr>
        <w:footnoteReference w:id="6"/>
      </w:r>
      <w:r w:rsidRPr="00B31BBC">
        <w:t>.</w:t>
      </w:r>
    </w:p>
    <w:p w14:paraId="2B44A3A2" w14:textId="77777777" w:rsidR="007E3D2E" w:rsidRPr="00B31BBC" w:rsidRDefault="007E3D2E" w:rsidP="00405B4E">
      <w:pPr>
        <w:pStyle w:val="Default"/>
        <w:spacing w:line="276" w:lineRule="auto"/>
        <w:ind w:firstLine="708"/>
        <w:jc w:val="both"/>
        <w:rPr>
          <w:rFonts w:ascii="Times New Roman" w:hAnsi="Times New Roman" w:cs="Times New Roman"/>
        </w:rPr>
      </w:pPr>
      <w:r w:rsidRPr="00B31BBC">
        <w:rPr>
          <w:rFonts w:ascii="Times New Roman" w:hAnsi="Times New Roman" w:cs="Times New Roman"/>
        </w:rPr>
        <w:t xml:space="preserve">O direito </w:t>
      </w:r>
      <w:r>
        <w:rPr>
          <w:rFonts w:ascii="Times New Roman" w:hAnsi="Times New Roman" w:cs="Times New Roman"/>
        </w:rPr>
        <w:t>da União</w:t>
      </w:r>
      <w:r w:rsidRPr="00B31BBC">
        <w:rPr>
          <w:rFonts w:ascii="Times New Roman" w:hAnsi="Times New Roman" w:cs="Times New Roman"/>
        </w:rPr>
        <w:t xml:space="preserve"> derivado ou secundário é o direito que resulta dos tratados institutivos</w:t>
      </w:r>
      <w:r w:rsidRPr="00B31BBC">
        <w:rPr>
          <w:rStyle w:val="Refdenotaderodap"/>
          <w:rFonts w:ascii="Times New Roman" w:hAnsi="Times New Roman" w:cs="Times New Roman"/>
        </w:rPr>
        <w:footnoteReference w:id="7"/>
      </w:r>
      <w:r w:rsidRPr="00B31BBC">
        <w:rPr>
          <w:rFonts w:ascii="Times New Roman" w:hAnsi="Times New Roman" w:cs="Times New Roman"/>
        </w:rPr>
        <w:t>, resulta dos tratados e de uma série de procedimentos aí previstos. É constituído pelos atos adotados pel</w:t>
      </w:r>
      <w:r>
        <w:rPr>
          <w:rFonts w:ascii="Times New Roman" w:hAnsi="Times New Roman" w:cs="Times New Roman"/>
        </w:rPr>
        <w:t>a</w:t>
      </w:r>
      <w:r w:rsidRPr="00B31BBC">
        <w:rPr>
          <w:rFonts w:ascii="Times New Roman" w:hAnsi="Times New Roman" w:cs="Times New Roman"/>
        </w:rPr>
        <w:t xml:space="preserve">s </w:t>
      </w:r>
      <w:r>
        <w:rPr>
          <w:rFonts w:ascii="Times New Roman" w:hAnsi="Times New Roman" w:cs="Times New Roman"/>
        </w:rPr>
        <w:t xml:space="preserve">instituições e </w:t>
      </w:r>
      <w:r w:rsidRPr="00B31BBC">
        <w:rPr>
          <w:rFonts w:ascii="Times New Roman" w:hAnsi="Times New Roman" w:cs="Times New Roman"/>
        </w:rPr>
        <w:t>órgãos da União Europeia</w:t>
      </w:r>
      <w:r w:rsidRPr="00B31BBC">
        <w:rPr>
          <w:rStyle w:val="Refdenotaderodap"/>
          <w:rFonts w:ascii="Times New Roman" w:hAnsi="Times New Roman" w:cs="Times New Roman"/>
        </w:rPr>
        <w:footnoteReference w:id="8"/>
      </w:r>
      <w:r w:rsidRPr="00B31BBC">
        <w:rPr>
          <w:rFonts w:ascii="Times New Roman" w:hAnsi="Times New Roman" w:cs="Times New Roman"/>
        </w:rPr>
        <w:t>, no desempenho das competências que os tratados lhes conferem. Pode assumir as formas típicas previstas no artigo 288.º do TFUE: regulamentos, diretivas, decisões, recomendações e pareceres, mas surgem ainda numerosos atos adotados pelas instituições,</w:t>
      </w:r>
      <w:r>
        <w:rPr>
          <w:rFonts w:ascii="Times New Roman" w:hAnsi="Times New Roman" w:cs="Times New Roman"/>
        </w:rPr>
        <w:t xml:space="preserve"> órgãos e organismos da União,</w:t>
      </w:r>
      <w:r w:rsidRPr="00B31BBC">
        <w:rPr>
          <w:rFonts w:ascii="Times New Roman" w:hAnsi="Times New Roman" w:cs="Times New Roman"/>
        </w:rPr>
        <w:t xml:space="preserve"> uns previstos por artigos dos tratados e outros ainda que não previstos expressamente pelos tratados (atípicos porque não </w:t>
      </w:r>
      <w:r>
        <w:rPr>
          <w:rFonts w:ascii="Times New Roman" w:hAnsi="Times New Roman" w:cs="Times New Roman"/>
        </w:rPr>
        <w:t>constando</w:t>
      </w:r>
      <w:r w:rsidRPr="00B31BBC">
        <w:rPr>
          <w:rFonts w:ascii="Times New Roman" w:hAnsi="Times New Roman" w:cs="Times New Roman"/>
        </w:rPr>
        <w:t xml:space="preserve"> no artigo 288.º do TFUE), antes nascem da prática</w:t>
      </w:r>
      <w:r>
        <w:rPr>
          <w:rFonts w:ascii="Times New Roman" w:hAnsi="Times New Roman" w:cs="Times New Roman"/>
        </w:rPr>
        <w:t xml:space="preserve"> de exercício dessas </w:t>
      </w:r>
      <w:r w:rsidRPr="00B31BBC">
        <w:rPr>
          <w:rFonts w:ascii="Times New Roman" w:hAnsi="Times New Roman" w:cs="Times New Roman"/>
        </w:rPr>
        <w:t>instituições,</w:t>
      </w:r>
      <w:r>
        <w:rPr>
          <w:rFonts w:ascii="Times New Roman" w:hAnsi="Times New Roman" w:cs="Times New Roman"/>
        </w:rPr>
        <w:t xml:space="preserve"> órgãos e organismos da União</w:t>
      </w:r>
      <w:r w:rsidRPr="00B31BBC">
        <w:rPr>
          <w:rFonts w:ascii="Times New Roman" w:hAnsi="Times New Roman" w:cs="Times New Roman"/>
        </w:rPr>
        <w:t>.</w:t>
      </w:r>
      <w:r>
        <w:rPr>
          <w:rFonts w:ascii="Times New Roman" w:hAnsi="Times New Roman" w:cs="Times New Roman"/>
        </w:rPr>
        <w:t xml:space="preserve"> </w:t>
      </w:r>
    </w:p>
    <w:p w14:paraId="61E7E175" w14:textId="2B1AFBE5" w:rsidR="009F2596" w:rsidRPr="00B3610B" w:rsidRDefault="007E3D2E" w:rsidP="00405B4E">
      <w:pPr>
        <w:pStyle w:val="Default"/>
        <w:spacing w:line="276" w:lineRule="auto"/>
        <w:ind w:firstLine="708"/>
        <w:jc w:val="both"/>
        <w:rPr>
          <w:rFonts w:ascii="Times New Roman" w:hAnsi="Times New Roman" w:cs="Times New Roman"/>
        </w:rPr>
      </w:pPr>
      <w:r w:rsidRPr="00B31BBC">
        <w:rPr>
          <w:rFonts w:ascii="Times New Roman" w:hAnsi="Times New Roman" w:cs="Times New Roman"/>
        </w:rPr>
        <w:t>É neste quadro, e resultando de uma escolha pessoal</w:t>
      </w:r>
      <w:r>
        <w:rPr>
          <w:rFonts w:ascii="Times New Roman" w:hAnsi="Times New Roman" w:cs="Times New Roman"/>
        </w:rPr>
        <w:t xml:space="preserve"> sempre norteada pela matéria lecionada nas unidades curriculares na Universidade Portucalense, tendo também em conta pormenores de atualidade</w:t>
      </w:r>
      <w:r w:rsidRPr="00B31BBC">
        <w:rPr>
          <w:rFonts w:ascii="Times New Roman" w:hAnsi="Times New Roman" w:cs="Times New Roman"/>
        </w:rPr>
        <w:t>, que se apresentam alguns documentos considerados pertinentes no âmbito do direito da União Europeia.</w:t>
      </w:r>
      <w:r>
        <w:rPr>
          <w:rFonts w:ascii="Times New Roman" w:hAnsi="Times New Roman" w:cs="Times New Roman"/>
        </w:rPr>
        <w:t xml:space="preserve"> </w:t>
      </w:r>
      <w:bookmarkStart w:id="3" w:name="_Hlk95733608"/>
      <w:r>
        <w:rPr>
          <w:rFonts w:ascii="Times New Roman" w:hAnsi="Times New Roman" w:cs="Times New Roman"/>
        </w:rPr>
        <w:t xml:space="preserve">Numa junção entre </w:t>
      </w:r>
      <w:r w:rsidRPr="000C432A">
        <w:rPr>
          <w:rFonts w:ascii="Times New Roman" w:hAnsi="Times New Roman" w:cs="Times New Roman"/>
          <w:i/>
          <w:iCs/>
        </w:rPr>
        <w:t xml:space="preserve">hard </w:t>
      </w:r>
      <w:proofErr w:type="spellStart"/>
      <w:r w:rsidRPr="000C432A">
        <w:rPr>
          <w:rFonts w:ascii="Times New Roman" w:hAnsi="Times New Roman" w:cs="Times New Roman"/>
          <w:i/>
          <w:iCs/>
        </w:rPr>
        <w:t>law</w:t>
      </w:r>
      <w:proofErr w:type="spellEnd"/>
      <w:r>
        <w:rPr>
          <w:rFonts w:ascii="Times New Roman" w:hAnsi="Times New Roman" w:cs="Times New Roman"/>
        </w:rPr>
        <w:t xml:space="preserve"> e </w:t>
      </w:r>
      <w:r w:rsidRPr="000C432A">
        <w:rPr>
          <w:rFonts w:ascii="Times New Roman" w:hAnsi="Times New Roman" w:cs="Times New Roman"/>
          <w:i/>
          <w:iCs/>
        </w:rPr>
        <w:t xml:space="preserve">soft </w:t>
      </w:r>
      <w:proofErr w:type="spellStart"/>
      <w:r w:rsidRPr="000C432A">
        <w:rPr>
          <w:rFonts w:ascii="Times New Roman" w:hAnsi="Times New Roman" w:cs="Times New Roman"/>
          <w:i/>
          <w:iCs/>
        </w:rPr>
        <w:t>law</w:t>
      </w:r>
      <w:proofErr w:type="spellEnd"/>
      <w:r>
        <w:rPr>
          <w:rFonts w:ascii="Times New Roman" w:hAnsi="Times New Roman" w:cs="Times New Roman"/>
        </w:rPr>
        <w:t xml:space="preserve">, este sempre presente no direito de carácter não estadual, surgem documentos </w:t>
      </w:r>
      <w:r w:rsidRPr="000C432A">
        <w:rPr>
          <w:rFonts w:ascii="Times New Roman" w:hAnsi="Times New Roman" w:cs="Times New Roman"/>
          <w:i/>
          <w:iCs/>
        </w:rPr>
        <w:t>sui generis</w:t>
      </w:r>
      <w:r>
        <w:rPr>
          <w:rFonts w:ascii="Times New Roman" w:hAnsi="Times New Roman" w:cs="Times New Roman"/>
        </w:rPr>
        <w:t xml:space="preserve"> que muito contribuem para o entendimento da União Europeia. Pontualmente, até mesmo sendo a publicitação institucional a única forma de aceder à informação.</w:t>
      </w:r>
      <w:bookmarkEnd w:id="2"/>
      <w:bookmarkEnd w:id="3"/>
    </w:p>
    <w:p w14:paraId="127B2964" w14:textId="77777777" w:rsidR="007E3D2E" w:rsidRPr="00405B4E" w:rsidRDefault="007E3D2E" w:rsidP="00405B4E">
      <w:pPr>
        <w:spacing w:line="276" w:lineRule="auto"/>
        <w:rPr>
          <w:sz w:val="20"/>
          <w:szCs w:val="20"/>
        </w:rPr>
      </w:pPr>
    </w:p>
    <w:p w14:paraId="016C6EFD" w14:textId="67161AFA" w:rsidR="00405B4E" w:rsidRDefault="00405B4E" w:rsidP="00405B4E">
      <w:pPr>
        <w:spacing w:line="276" w:lineRule="auto"/>
        <w:rPr>
          <w:sz w:val="20"/>
          <w:szCs w:val="20"/>
        </w:rPr>
      </w:pPr>
    </w:p>
    <w:p w14:paraId="5615CECC" w14:textId="77777777" w:rsidR="00405B4E" w:rsidRPr="00405B4E" w:rsidRDefault="00405B4E" w:rsidP="00405B4E">
      <w:pPr>
        <w:spacing w:line="276" w:lineRule="auto"/>
        <w:rPr>
          <w:sz w:val="20"/>
          <w:szCs w:val="20"/>
        </w:rPr>
      </w:pPr>
    </w:p>
    <w:p w14:paraId="16F0173A" w14:textId="77777777" w:rsidR="007E3D2E" w:rsidRDefault="007E3D2E" w:rsidP="00405B4E">
      <w:pPr>
        <w:spacing w:line="276" w:lineRule="auto"/>
        <w:jc w:val="both"/>
      </w:pPr>
      <w:r>
        <w:t>Diário da República n.º 42, 1.ª série, de 1 de março de 2022, pp. 2 e 3.</w:t>
      </w:r>
      <w:r>
        <w:rPr>
          <w:rStyle w:val="Refdenotaderodap"/>
        </w:rPr>
        <w:footnoteReference w:id="9"/>
      </w:r>
    </w:p>
    <w:p w14:paraId="13B7C8EA" w14:textId="77777777" w:rsidR="007E3D2E" w:rsidRDefault="007E3D2E" w:rsidP="00405B4E">
      <w:pPr>
        <w:spacing w:line="276" w:lineRule="auto"/>
        <w:ind w:firstLine="708"/>
        <w:jc w:val="both"/>
        <w:rPr>
          <w:sz w:val="20"/>
          <w:szCs w:val="20"/>
        </w:rPr>
      </w:pPr>
      <w:r>
        <w:t>Resolução do Conselho de Ministros português n.º 29/2022 que propõe ao Conselho da União Europeia dois membros efetivos e cinco suplentes do Comité das Regiões, para o quinquénio em curso. Na sequência do resultado das eleições autárquicas portuguesas que ocorreram no dia 26 de setembro de 2021, cessaram mandatos agora renovados.</w:t>
      </w:r>
    </w:p>
    <w:p w14:paraId="0CA37F5E" w14:textId="3A833486" w:rsidR="007E3D2E" w:rsidRDefault="007E3D2E" w:rsidP="00405B4E">
      <w:pPr>
        <w:spacing w:line="276" w:lineRule="auto"/>
        <w:rPr>
          <w:sz w:val="20"/>
          <w:szCs w:val="20"/>
        </w:rPr>
      </w:pPr>
    </w:p>
    <w:p w14:paraId="5682C03C" w14:textId="77777777" w:rsidR="00405B4E" w:rsidRDefault="00405B4E" w:rsidP="00405B4E">
      <w:pPr>
        <w:spacing w:line="276" w:lineRule="auto"/>
        <w:rPr>
          <w:sz w:val="20"/>
          <w:szCs w:val="20"/>
        </w:rPr>
      </w:pPr>
    </w:p>
    <w:p w14:paraId="775A0220" w14:textId="77777777" w:rsidR="007E3D2E" w:rsidRDefault="007E3D2E" w:rsidP="00405B4E">
      <w:pPr>
        <w:spacing w:line="276" w:lineRule="auto"/>
        <w:rPr>
          <w:sz w:val="20"/>
          <w:szCs w:val="20"/>
        </w:rPr>
      </w:pPr>
      <w:r w:rsidRPr="005D75E0">
        <w:rPr>
          <w:color w:val="000000"/>
          <w:lang w:eastAsia="en-US"/>
        </w:rPr>
        <w:lastRenderedPageBreak/>
        <w:t xml:space="preserve">Documento </w:t>
      </w:r>
      <w:proofErr w:type="gramStart"/>
      <w:r w:rsidRPr="005D75E0">
        <w:rPr>
          <w:color w:val="000000"/>
          <w:lang w:eastAsia="en-US"/>
        </w:rPr>
        <w:t>C(</w:t>
      </w:r>
      <w:proofErr w:type="gramEnd"/>
      <w:r w:rsidRPr="005D75E0">
        <w:rPr>
          <w:color w:val="000000"/>
          <w:lang w:eastAsia="en-US"/>
        </w:rPr>
        <w:t>202</w:t>
      </w:r>
      <w:r>
        <w:rPr>
          <w:color w:val="000000"/>
          <w:lang w:eastAsia="en-US"/>
        </w:rPr>
        <w:t>2</w:t>
      </w:r>
      <w:r w:rsidRPr="005D75E0">
        <w:rPr>
          <w:color w:val="000000"/>
          <w:lang w:eastAsia="en-US"/>
        </w:rPr>
        <w:t xml:space="preserve">) </w:t>
      </w:r>
      <w:r>
        <w:rPr>
          <w:color w:val="000000"/>
        </w:rPr>
        <w:t>1382</w:t>
      </w:r>
      <w:r w:rsidRPr="005D75E0">
        <w:rPr>
          <w:color w:val="000000"/>
          <w:lang w:eastAsia="en-US"/>
        </w:rPr>
        <w:t xml:space="preserve"> final</w:t>
      </w:r>
      <w:r w:rsidRPr="005D75E0">
        <w:rPr>
          <w:color w:val="000000"/>
        </w:rPr>
        <w:t xml:space="preserve"> de </w:t>
      </w:r>
      <w:r>
        <w:rPr>
          <w:color w:val="000000"/>
        </w:rPr>
        <w:t>02</w:t>
      </w:r>
      <w:r w:rsidRPr="005D75E0">
        <w:rPr>
          <w:color w:val="000000"/>
        </w:rPr>
        <w:t>.</w:t>
      </w:r>
      <w:r>
        <w:rPr>
          <w:color w:val="000000"/>
        </w:rPr>
        <w:t>03</w:t>
      </w:r>
      <w:r w:rsidRPr="005D75E0">
        <w:rPr>
          <w:color w:val="000000"/>
        </w:rPr>
        <w:t>.202</w:t>
      </w:r>
      <w:r>
        <w:rPr>
          <w:color w:val="000000"/>
        </w:rPr>
        <w:t>2</w:t>
      </w:r>
      <w:r w:rsidRPr="005D75E0">
        <w:rPr>
          <w:color w:val="000000"/>
        </w:rPr>
        <w:t xml:space="preserve">, </w:t>
      </w:r>
      <w:r>
        <w:rPr>
          <w:color w:val="000000"/>
        </w:rPr>
        <w:t>39</w:t>
      </w:r>
      <w:r w:rsidRPr="005D75E0">
        <w:rPr>
          <w:color w:val="000000"/>
        </w:rPr>
        <w:t xml:space="preserve"> </w:t>
      </w:r>
      <w:r w:rsidRPr="00962ED5">
        <w:t>páginas.</w:t>
      </w:r>
      <w:r w:rsidRPr="00962ED5">
        <w:rPr>
          <w:rStyle w:val="Refdenotaderodap"/>
        </w:rPr>
        <w:footnoteReference w:id="10"/>
      </w:r>
    </w:p>
    <w:p w14:paraId="531082AE" w14:textId="77777777" w:rsidR="007E3D2E" w:rsidRPr="00DD460F" w:rsidRDefault="007E3D2E" w:rsidP="00405B4E">
      <w:pPr>
        <w:shd w:val="clear" w:color="auto" w:fill="FFFFFF"/>
        <w:spacing w:line="276" w:lineRule="auto"/>
        <w:ind w:firstLine="708"/>
        <w:jc w:val="both"/>
        <w:rPr>
          <w:bCs/>
        </w:rPr>
      </w:pPr>
      <w:r>
        <w:rPr>
          <w:color w:val="000000"/>
        </w:rPr>
        <w:t>Comunicação d</w:t>
      </w:r>
      <w:r w:rsidRPr="003E113A">
        <w:rPr>
          <w:color w:val="000000"/>
        </w:rPr>
        <w:t xml:space="preserve">a Comissão </w:t>
      </w:r>
      <w:r>
        <w:rPr>
          <w:color w:val="000000"/>
        </w:rPr>
        <w:t>a</w:t>
      </w:r>
      <w:r w:rsidRPr="003E113A">
        <w:rPr>
          <w:color w:val="000000"/>
        </w:rPr>
        <w:t xml:space="preserve">o </w:t>
      </w:r>
      <w:r w:rsidRPr="00236D08">
        <w:t>Parlamento Europeu, ao Conselho, ao Comité Económico e Social Europeu e ao Comité das Regiões</w:t>
      </w:r>
      <w:r>
        <w:t xml:space="preserve"> </w:t>
      </w:r>
      <w:proofErr w:type="spellStart"/>
      <w:r w:rsidRPr="00FF7D01">
        <w:rPr>
          <w:i/>
          <w:iCs/>
        </w:rPr>
        <w:t>Guidelines</w:t>
      </w:r>
      <w:proofErr w:type="spellEnd"/>
      <w:r w:rsidRPr="00FF7D01">
        <w:rPr>
          <w:i/>
          <w:iCs/>
        </w:rPr>
        <w:t xml:space="preserve"> on </w:t>
      </w:r>
      <w:proofErr w:type="spellStart"/>
      <w:r w:rsidRPr="00FF7D01">
        <w:rPr>
          <w:i/>
          <w:iCs/>
        </w:rPr>
        <w:t>the</w:t>
      </w:r>
      <w:proofErr w:type="spellEnd"/>
      <w:r w:rsidRPr="00FF7D01">
        <w:rPr>
          <w:i/>
          <w:iCs/>
        </w:rPr>
        <w:t xml:space="preserve"> </w:t>
      </w:r>
      <w:proofErr w:type="spellStart"/>
      <w:r w:rsidRPr="00FF7D01">
        <w:rPr>
          <w:i/>
          <w:iCs/>
        </w:rPr>
        <w:t>application</w:t>
      </w:r>
      <w:proofErr w:type="spellEnd"/>
      <w:r w:rsidRPr="00FF7D01">
        <w:rPr>
          <w:i/>
          <w:iCs/>
        </w:rPr>
        <w:t xml:space="preserve"> </w:t>
      </w:r>
      <w:proofErr w:type="spellStart"/>
      <w:r w:rsidRPr="00FF7D01">
        <w:rPr>
          <w:i/>
          <w:iCs/>
        </w:rPr>
        <w:t>of</w:t>
      </w:r>
      <w:proofErr w:type="spellEnd"/>
      <w:r w:rsidRPr="00FF7D01">
        <w:rPr>
          <w:i/>
          <w:iCs/>
        </w:rPr>
        <w:t xml:space="preserve"> </w:t>
      </w:r>
      <w:proofErr w:type="spellStart"/>
      <w:r w:rsidRPr="00FF7D01">
        <w:rPr>
          <w:i/>
          <w:iCs/>
        </w:rPr>
        <w:t>the</w:t>
      </w:r>
      <w:proofErr w:type="spellEnd"/>
      <w:r w:rsidRPr="00FF7D01">
        <w:rPr>
          <w:i/>
          <w:iCs/>
        </w:rPr>
        <w:t xml:space="preserve"> </w:t>
      </w:r>
      <w:proofErr w:type="spellStart"/>
      <w:r w:rsidRPr="00FF7D01">
        <w:rPr>
          <w:i/>
          <w:iCs/>
        </w:rPr>
        <w:t>Regulation</w:t>
      </w:r>
      <w:proofErr w:type="spellEnd"/>
      <w:r w:rsidRPr="00FF7D01">
        <w:rPr>
          <w:i/>
          <w:iCs/>
        </w:rPr>
        <w:t xml:space="preserve"> (EU, EURATOM) 2020/2092 on a general regime </w:t>
      </w:r>
      <w:proofErr w:type="spellStart"/>
      <w:r w:rsidRPr="00FF7D01">
        <w:rPr>
          <w:i/>
          <w:iCs/>
        </w:rPr>
        <w:t>of</w:t>
      </w:r>
      <w:proofErr w:type="spellEnd"/>
      <w:r w:rsidRPr="00FF7D01">
        <w:rPr>
          <w:i/>
          <w:iCs/>
        </w:rPr>
        <w:t xml:space="preserve"> </w:t>
      </w:r>
      <w:proofErr w:type="spellStart"/>
      <w:r w:rsidRPr="00FF7D01">
        <w:rPr>
          <w:i/>
          <w:iCs/>
        </w:rPr>
        <w:t>conditionality</w:t>
      </w:r>
      <w:proofErr w:type="spellEnd"/>
      <w:r w:rsidRPr="00FF7D01">
        <w:rPr>
          <w:i/>
          <w:iCs/>
        </w:rPr>
        <w:t xml:space="preserve"> for </w:t>
      </w:r>
      <w:proofErr w:type="spellStart"/>
      <w:r w:rsidRPr="00FF7D01">
        <w:rPr>
          <w:i/>
          <w:iCs/>
        </w:rPr>
        <w:t>the</w:t>
      </w:r>
      <w:proofErr w:type="spellEnd"/>
      <w:r w:rsidRPr="00FF7D01">
        <w:rPr>
          <w:i/>
          <w:iCs/>
        </w:rPr>
        <w:t xml:space="preserve"> </w:t>
      </w:r>
      <w:proofErr w:type="spellStart"/>
      <w:r w:rsidRPr="00FF7D01">
        <w:rPr>
          <w:i/>
          <w:iCs/>
        </w:rPr>
        <w:t>protection</w:t>
      </w:r>
      <w:proofErr w:type="spellEnd"/>
      <w:r w:rsidRPr="00FF7D01">
        <w:rPr>
          <w:i/>
          <w:iCs/>
        </w:rPr>
        <w:t xml:space="preserve"> </w:t>
      </w:r>
      <w:proofErr w:type="spellStart"/>
      <w:r w:rsidRPr="00FF7D01">
        <w:rPr>
          <w:i/>
          <w:iCs/>
        </w:rPr>
        <w:t>of</w:t>
      </w:r>
      <w:proofErr w:type="spellEnd"/>
      <w:r w:rsidRPr="00FF7D01">
        <w:rPr>
          <w:i/>
          <w:iCs/>
        </w:rPr>
        <w:t xml:space="preserve"> </w:t>
      </w:r>
      <w:proofErr w:type="spellStart"/>
      <w:r w:rsidRPr="00FF7D01">
        <w:rPr>
          <w:i/>
          <w:iCs/>
        </w:rPr>
        <w:t>the</w:t>
      </w:r>
      <w:proofErr w:type="spellEnd"/>
      <w:r w:rsidRPr="00FF7D01">
        <w:rPr>
          <w:i/>
          <w:iCs/>
        </w:rPr>
        <w:t xml:space="preserve"> </w:t>
      </w:r>
      <w:proofErr w:type="spellStart"/>
      <w:r w:rsidRPr="00FF7D01">
        <w:rPr>
          <w:i/>
          <w:iCs/>
        </w:rPr>
        <w:t>Union</w:t>
      </w:r>
      <w:proofErr w:type="spellEnd"/>
      <w:r w:rsidRPr="00FF7D01">
        <w:rPr>
          <w:i/>
          <w:iCs/>
        </w:rPr>
        <w:t xml:space="preserve"> budget</w:t>
      </w:r>
      <w:r>
        <w:t xml:space="preserve">. O </w:t>
      </w:r>
      <w:r w:rsidRPr="00114884">
        <w:rPr>
          <w:b/>
        </w:rPr>
        <w:t xml:space="preserve">REGULAMENTO (UE, </w:t>
      </w:r>
      <w:proofErr w:type="spellStart"/>
      <w:r w:rsidRPr="00114884">
        <w:rPr>
          <w:b/>
        </w:rPr>
        <w:t>Euratom</w:t>
      </w:r>
      <w:proofErr w:type="spellEnd"/>
      <w:r w:rsidRPr="00114884">
        <w:rPr>
          <w:b/>
        </w:rPr>
        <w:t>) 2020/2092 DO PARLAMENTO EUROPEU E DO CONSELHO</w:t>
      </w:r>
      <w:r w:rsidRPr="00C975FA">
        <w:rPr>
          <w:bCs/>
        </w:rPr>
        <w:t xml:space="preserve"> de 16 de dezembro de 2020</w:t>
      </w:r>
      <w:r>
        <w:rPr>
          <w:bCs/>
        </w:rPr>
        <w:t xml:space="preserve">, no </w:t>
      </w:r>
      <w:r w:rsidRPr="00C975FA">
        <w:rPr>
          <w:bCs/>
        </w:rPr>
        <w:t>JO</w:t>
      </w:r>
      <w:r>
        <w:rPr>
          <w:bCs/>
        </w:rPr>
        <w:t>UE</w:t>
      </w:r>
      <w:r w:rsidRPr="00C975FA">
        <w:rPr>
          <w:bCs/>
        </w:rPr>
        <w:t xml:space="preserve"> L 433</w:t>
      </w:r>
      <w:r>
        <w:rPr>
          <w:bCs/>
        </w:rPr>
        <w:t xml:space="preserve"> </w:t>
      </w:r>
      <w:r w:rsidRPr="00C975FA">
        <w:rPr>
          <w:bCs/>
        </w:rPr>
        <w:t>I de 22.12.2020, p</w:t>
      </w:r>
      <w:r>
        <w:rPr>
          <w:bCs/>
        </w:rPr>
        <w:t>p</w:t>
      </w:r>
      <w:r w:rsidRPr="00C975FA">
        <w:rPr>
          <w:bCs/>
        </w:rPr>
        <w:t>. 1</w:t>
      </w:r>
      <w:r>
        <w:rPr>
          <w:bCs/>
        </w:rPr>
        <w:t xml:space="preserve"> a </w:t>
      </w:r>
      <w:r w:rsidRPr="00C975FA">
        <w:rPr>
          <w:bCs/>
        </w:rPr>
        <w:t>10</w:t>
      </w:r>
      <w:r>
        <w:rPr>
          <w:rStyle w:val="Refdenotaderodap"/>
          <w:bCs/>
        </w:rPr>
        <w:footnoteReference w:id="11"/>
      </w:r>
      <w:r>
        <w:rPr>
          <w:bCs/>
        </w:rPr>
        <w:t xml:space="preserve">, </w:t>
      </w:r>
      <w:r w:rsidRPr="00B642D8">
        <w:rPr>
          <w:bCs/>
        </w:rPr>
        <w:t>relativo a um regime geral de condicionalidade para a proteção do orçamento da União</w:t>
      </w:r>
      <w:r>
        <w:rPr>
          <w:bCs/>
        </w:rPr>
        <w:t xml:space="preserve"> </w:t>
      </w:r>
      <w:r w:rsidRPr="008943A7">
        <w:t>é um instrumento permanente que ultrapassa os limites de um determinado quadro financeiro plurianual</w:t>
      </w:r>
      <w:r>
        <w:rPr>
          <w:rStyle w:val="Refdenotaderodap"/>
        </w:rPr>
        <w:footnoteReference w:id="12"/>
      </w:r>
      <w:r w:rsidRPr="00B642D8">
        <w:rPr>
          <w:bCs/>
        </w:rPr>
        <w:t>.</w:t>
      </w:r>
      <w:r>
        <w:rPr>
          <w:bCs/>
        </w:rPr>
        <w:t xml:space="preserve"> </w:t>
      </w:r>
      <w:r>
        <w:t xml:space="preserve">Ler também com a </w:t>
      </w:r>
      <w:r w:rsidRPr="00814363">
        <w:t xml:space="preserve">Resolução do Parlamento Europeu, de 10 de junho de 2021, sobre a situação do Estado de direito na União Europeia e a aplicação do Regulamento relativo à </w:t>
      </w:r>
      <w:r w:rsidRPr="00FB4F21">
        <w:t xml:space="preserve">condicionalidade (Regulamento (UE, </w:t>
      </w:r>
      <w:proofErr w:type="spellStart"/>
      <w:r w:rsidRPr="00FB4F21">
        <w:t>Euratom</w:t>
      </w:r>
      <w:proofErr w:type="spellEnd"/>
      <w:r w:rsidRPr="00FB4F21">
        <w:t>) 2020/2092) (</w:t>
      </w:r>
      <w:hyperlink r:id="rId8" w:history="1">
        <w:r w:rsidRPr="00FB4F21">
          <w:rPr>
            <w:rStyle w:val="Hiperligao"/>
          </w:rPr>
          <w:t>2021/2711(RSP)</w:t>
        </w:r>
      </w:hyperlink>
      <w:r w:rsidRPr="00FB4F21">
        <w:t>)</w:t>
      </w:r>
      <w:r w:rsidRPr="00FB4F21">
        <w:rPr>
          <w:rStyle w:val="Refdenotaderodap"/>
        </w:rPr>
        <w:footnoteReference w:id="13"/>
      </w:r>
      <w:r w:rsidRPr="00FB4F21">
        <w:t xml:space="preserve"> e ainda as Conclusões da Reunião do Conselho Europeu de 10 e 11 de dezembro de 2020</w:t>
      </w:r>
      <w:r w:rsidRPr="00FB4F21">
        <w:rPr>
          <w:rStyle w:val="Refdenotaderodap"/>
        </w:rPr>
        <w:footnoteReference w:id="14"/>
      </w:r>
      <w:r w:rsidRPr="00FB4F21">
        <w:t>.</w:t>
      </w:r>
    </w:p>
    <w:p w14:paraId="3B722D32" w14:textId="77777777" w:rsidR="007E3D2E" w:rsidRDefault="007E3D2E" w:rsidP="00405B4E">
      <w:pPr>
        <w:spacing w:line="276" w:lineRule="auto"/>
        <w:rPr>
          <w:sz w:val="20"/>
          <w:szCs w:val="20"/>
        </w:rPr>
      </w:pPr>
    </w:p>
    <w:p w14:paraId="263CA4CB" w14:textId="77777777" w:rsidR="007E3D2E" w:rsidRDefault="007E3D2E" w:rsidP="00405B4E">
      <w:pPr>
        <w:spacing w:line="276" w:lineRule="auto"/>
        <w:jc w:val="both"/>
      </w:pPr>
      <w:r>
        <w:t>4 de março de 2022</w:t>
      </w:r>
    </w:p>
    <w:p w14:paraId="0812D77C" w14:textId="1D7EDFA7" w:rsidR="007E3D2E" w:rsidRPr="00405B4E" w:rsidRDefault="007E3D2E" w:rsidP="00405B4E">
      <w:pPr>
        <w:spacing w:line="276" w:lineRule="auto"/>
        <w:ind w:firstLine="708"/>
        <w:jc w:val="both"/>
        <w:rPr>
          <w:sz w:val="20"/>
          <w:szCs w:val="20"/>
        </w:rPr>
      </w:pPr>
      <w:r w:rsidRPr="006B540B">
        <w:t xml:space="preserve">A </w:t>
      </w:r>
      <w:r>
        <w:t>C</w:t>
      </w:r>
      <w:r w:rsidRPr="006B540B">
        <w:t xml:space="preserve">omissão </w:t>
      </w:r>
      <w:r w:rsidRPr="00FD6805">
        <w:t>anuncia o lançamento</w:t>
      </w:r>
      <w:r>
        <w:t xml:space="preserve"> de</w:t>
      </w:r>
      <w:r w:rsidRPr="00FD6805">
        <w:t xml:space="preserve"> um instrumento de denúncia de irregularidades para facilitar a comunicação de eventuais violações das sanções. Trata-se de uma plataforma em linha segura, que os denunciantes de todo o mundo podem utilizar para denunciar de forma anónima violações de sanções da UE passadas, atuais ou previstas</w:t>
      </w:r>
      <w:r w:rsidRPr="006B540B">
        <w:t>, conforme</w:t>
      </w:r>
      <w:r>
        <w:t xml:space="preserve"> na </w:t>
      </w:r>
      <w:bookmarkStart w:id="4" w:name="_Hlk97307556"/>
      <w:r>
        <w:rPr>
          <w:color w:val="000000"/>
        </w:rPr>
        <w:t>Comunicação d</w:t>
      </w:r>
      <w:r w:rsidRPr="003E113A">
        <w:rPr>
          <w:color w:val="000000"/>
        </w:rPr>
        <w:t xml:space="preserve">a Comissão </w:t>
      </w:r>
      <w:r>
        <w:rPr>
          <w:color w:val="000000"/>
        </w:rPr>
        <w:t>a</w:t>
      </w:r>
      <w:r w:rsidRPr="003E113A">
        <w:rPr>
          <w:color w:val="000000"/>
        </w:rPr>
        <w:t xml:space="preserve">o </w:t>
      </w:r>
      <w:r w:rsidRPr="00236D08">
        <w:t>Parlamento Europeu, ao Conselho, ao Comité Económico e Social Europeu e ao Comité das Regiões</w:t>
      </w:r>
      <w:r>
        <w:t xml:space="preserve"> </w:t>
      </w:r>
      <w:r w:rsidRPr="00FD6805">
        <w:rPr>
          <w:i/>
          <w:iCs/>
        </w:rPr>
        <w:t>O sistema económico e financeiro europeu: promover a abertura, a solidez e a resiliência</w:t>
      </w:r>
      <w:r>
        <w:t xml:space="preserve">, no </w:t>
      </w:r>
      <w:r w:rsidRPr="005D75E0">
        <w:rPr>
          <w:color w:val="000000"/>
          <w:lang w:eastAsia="en-US"/>
        </w:rPr>
        <w:t>Documento COM(202</w:t>
      </w:r>
      <w:r>
        <w:rPr>
          <w:color w:val="000000"/>
          <w:lang w:eastAsia="en-US"/>
        </w:rPr>
        <w:t>1</w:t>
      </w:r>
      <w:r w:rsidRPr="005D75E0">
        <w:rPr>
          <w:color w:val="000000"/>
          <w:lang w:eastAsia="en-US"/>
        </w:rPr>
        <w:t xml:space="preserve">) </w:t>
      </w:r>
      <w:r>
        <w:rPr>
          <w:color w:val="000000"/>
        </w:rPr>
        <w:t>32</w:t>
      </w:r>
      <w:r w:rsidRPr="005D75E0">
        <w:rPr>
          <w:color w:val="000000"/>
          <w:lang w:eastAsia="en-US"/>
        </w:rPr>
        <w:t xml:space="preserve"> final</w:t>
      </w:r>
      <w:r w:rsidRPr="005D75E0">
        <w:rPr>
          <w:color w:val="000000"/>
        </w:rPr>
        <w:t xml:space="preserve"> de </w:t>
      </w:r>
      <w:r>
        <w:rPr>
          <w:color w:val="000000"/>
        </w:rPr>
        <w:t>19</w:t>
      </w:r>
      <w:r w:rsidRPr="005D75E0">
        <w:rPr>
          <w:color w:val="000000"/>
        </w:rPr>
        <w:t>.</w:t>
      </w:r>
      <w:r>
        <w:rPr>
          <w:color w:val="000000"/>
        </w:rPr>
        <w:t>02</w:t>
      </w:r>
      <w:r w:rsidRPr="005D75E0">
        <w:rPr>
          <w:color w:val="000000"/>
        </w:rPr>
        <w:t>.202</w:t>
      </w:r>
      <w:r>
        <w:rPr>
          <w:color w:val="000000"/>
        </w:rPr>
        <w:t>1</w:t>
      </w:r>
      <w:bookmarkEnd w:id="4"/>
      <w:r w:rsidRPr="005D75E0">
        <w:rPr>
          <w:color w:val="000000"/>
        </w:rPr>
        <w:t xml:space="preserve">, </w:t>
      </w:r>
      <w:r>
        <w:rPr>
          <w:color w:val="000000"/>
        </w:rPr>
        <w:t>de 22</w:t>
      </w:r>
      <w:r w:rsidRPr="005D75E0">
        <w:rPr>
          <w:color w:val="000000"/>
        </w:rPr>
        <w:t xml:space="preserve"> páginas</w:t>
      </w:r>
      <w:r w:rsidRPr="006B540B">
        <w:rPr>
          <w:rStyle w:val="Refdenotaderodap"/>
          <w:color w:val="444444"/>
        </w:rPr>
        <w:footnoteReference w:id="15"/>
      </w:r>
      <w:r>
        <w:rPr>
          <w:color w:val="000000"/>
        </w:rPr>
        <w:t>. Nela se lembra que as “</w:t>
      </w:r>
      <w:r>
        <w:t>sanções da UE são um instrumento fundamental para promover os objetivos da Política Externa e de Segurança Comum (PESC), que permite à UE intervir para, nomeadamente, preservar a paz e reforçar a segurança internacional. Por conseguinte, desempenham um papel fundamental na promoção dos valores da UE e na projeção da sua influência a nível internacional.</w:t>
      </w:r>
      <w:r>
        <w:rPr>
          <w:color w:val="000000"/>
        </w:rPr>
        <w:t>” “</w:t>
      </w:r>
      <w:r>
        <w:t xml:space="preserve">No seu papel de guardiã dos Tratados, a Comissão acompanha e recolhe informações sobre eventuais violações do direito da UE pelos Estados-Membros. Para equacionar a natureza confidencial das informações sobre violações das sanções da UE e </w:t>
      </w:r>
      <w:r>
        <w:lastRenderedPageBreak/>
        <w:t>as potenciais implicações para aqueles que denunciam atividades ilícitas, a Comissão [cria] um instrumento específico para facilitar a denúncia anónima.”</w:t>
      </w:r>
    </w:p>
    <w:p w14:paraId="55E167B8" w14:textId="77777777" w:rsidR="007E3D2E" w:rsidRPr="008F7F12" w:rsidRDefault="007E3D2E" w:rsidP="00405B4E">
      <w:pPr>
        <w:spacing w:line="276" w:lineRule="auto"/>
        <w:jc w:val="both"/>
      </w:pPr>
      <w:r w:rsidRPr="008F7F12">
        <w:rPr>
          <w:shd w:val="clear" w:color="auto" w:fill="FFFFFF"/>
        </w:rPr>
        <w:t>PARLAMENTO EUROPEU 2022/2564(RSP) de 1 de março de 2022</w:t>
      </w:r>
      <w:r>
        <w:rPr>
          <w:shd w:val="clear" w:color="auto" w:fill="FFFFFF"/>
        </w:rPr>
        <w:t>.</w:t>
      </w:r>
      <w:r w:rsidRPr="008F7F12">
        <w:rPr>
          <w:rStyle w:val="Refdenotaderodap"/>
          <w:shd w:val="clear" w:color="auto" w:fill="FFFFFF"/>
        </w:rPr>
        <w:footnoteReference w:id="16"/>
      </w:r>
    </w:p>
    <w:p w14:paraId="4354D61C" w14:textId="77777777" w:rsidR="007E3D2E" w:rsidRDefault="007E3D2E" w:rsidP="00FC0C0D">
      <w:pPr>
        <w:spacing w:line="276" w:lineRule="auto"/>
        <w:ind w:firstLine="708"/>
        <w:jc w:val="both"/>
      </w:pPr>
      <w:r w:rsidRPr="00957260">
        <w:t>Resolução</w:t>
      </w:r>
      <w:r w:rsidRPr="008F7F12">
        <w:t xml:space="preserve"> do Parlamento Europeu</w:t>
      </w:r>
      <w:r w:rsidRPr="008F7F12">
        <w:rPr>
          <w:shd w:val="clear" w:color="auto" w:fill="FFFFFF"/>
        </w:rPr>
        <w:t xml:space="preserve"> sobre a agressão russa contra a Ucrânia </w:t>
      </w:r>
      <w:r w:rsidRPr="008F7F12">
        <w:rPr>
          <w:spacing w:val="3"/>
          <w:shd w:val="clear" w:color="auto" w:fill="FAFAFA"/>
        </w:rPr>
        <w:t>na qual "apela às instituições da União para que desenvolvam esforços no sentido de conceder à Ucrânia</w:t>
      </w:r>
      <w:r w:rsidRPr="006B1ED6">
        <w:rPr>
          <w:color w:val="262626"/>
          <w:spacing w:val="3"/>
          <w:shd w:val="clear" w:color="auto" w:fill="FAFAFA"/>
        </w:rPr>
        <w:t xml:space="preserve"> o estatuto de país candidato à adesão à UE"</w:t>
      </w:r>
      <w:r>
        <w:rPr>
          <w:color w:val="262626"/>
          <w:spacing w:val="3"/>
          <w:shd w:val="clear" w:color="auto" w:fill="FAFAFA"/>
        </w:rPr>
        <w:t>,</w:t>
      </w:r>
      <w:r w:rsidRPr="00957260">
        <w:t xml:space="preserve"> aprovada por 637 deputados também exige que a União Europeia imponha "sanções mais duras" à Rússia</w:t>
      </w:r>
      <w:r>
        <w:rPr>
          <w:rStyle w:val="Refdenotaderodap"/>
        </w:rPr>
        <w:footnoteReference w:id="17"/>
      </w:r>
      <w:r>
        <w:t>. Tal acontece no seguimento de notícias sobre os pedidos de adesão da própria Ucrânia, da Geórgia e da Moldávia</w:t>
      </w:r>
      <w:r>
        <w:rPr>
          <w:rStyle w:val="Refdenotaderodap"/>
        </w:rPr>
        <w:footnoteReference w:id="18"/>
      </w:r>
      <w:r>
        <w:t>.</w:t>
      </w:r>
    </w:p>
    <w:p w14:paraId="28A6C8F7" w14:textId="77777777" w:rsidR="007E3D2E" w:rsidRDefault="007E3D2E" w:rsidP="00405B4E">
      <w:pPr>
        <w:spacing w:line="276" w:lineRule="auto"/>
        <w:ind w:firstLine="708"/>
        <w:jc w:val="both"/>
      </w:pPr>
    </w:p>
    <w:p w14:paraId="21786893" w14:textId="77777777" w:rsidR="007E3D2E" w:rsidRPr="00957260" w:rsidRDefault="007E3D2E" w:rsidP="00405B4E">
      <w:pPr>
        <w:spacing w:line="276" w:lineRule="auto"/>
        <w:jc w:val="both"/>
      </w:pPr>
      <w:r>
        <w:t>7 de março de 2022</w:t>
      </w:r>
    </w:p>
    <w:p w14:paraId="235095C3" w14:textId="77777777" w:rsidR="007E3D2E" w:rsidRPr="002A0313" w:rsidRDefault="007E3D2E" w:rsidP="00405B4E">
      <w:pPr>
        <w:spacing w:line="276" w:lineRule="auto"/>
        <w:ind w:firstLine="708"/>
        <w:jc w:val="both"/>
        <w:rPr>
          <w:b/>
          <w:bCs/>
          <w:i/>
          <w:iCs/>
        </w:rPr>
      </w:pPr>
      <w:r>
        <w:t xml:space="preserve">Publicado pela Comissão Europeia o </w:t>
      </w:r>
      <w:r w:rsidRPr="002A0313">
        <w:t>Relatório geral sobre a atividade da União Europeia</w:t>
      </w:r>
      <w:r>
        <w:t xml:space="preserve"> </w:t>
      </w:r>
      <w:r w:rsidRPr="002A0313">
        <w:rPr>
          <w:i/>
          <w:iCs/>
        </w:rPr>
        <w:t>A UE em 2021</w:t>
      </w:r>
      <w:r>
        <w:rPr>
          <w:rStyle w:val="Refdenotaderodap"/>
        </w:rPr>
        <w:footnoteReference w:id="19"/>
      </w:r>
      <w:r>
        <w:t xml:space="preserve">. </w:t>
      </w:r>
    </w:p>
    <w:p w14:paraId="658E22D1" w14:textId="77777777" w:rsidR="007E3D2E" w:rsidRDefault="007E3D2E" w:rsidP="00405B4E">
      <w:pPr>
        <w:pStyle w:val="Ttulo1"/>
        <w:shd w:val="clear" w:color="auto" w:fill="FFFFFF"/>
        <w:spacing w:line="276" w:lineRule="auto"/>
        <w:rPr>
          <w:rFonts w:ascii="Lucida Sans Unicode" w:hAnsi="Lucida Sans Unicode" w:cs="Lucida Sans Unicode"/>
          <w:color w:val="112250"/>
          <w:sz w:val="20"/>
          <w:szCs w:val="20"/>
        </w:rPr>
      </w:pPr>
    </w:p>
    <w:p w14:paraId="18DAA8FC" w14:textId="77777777" w:rsidR="007E3D2E" w:rsidRPr="008F7F12" w:rsidRDefault="007E3D2E" w:rsidP="00405B4E">
      <w:pPr>
        <w:spacing w:line="276" w:lineRule="auto"/>
        <w:jc w:val="both"/>
      </w:pPr>
      <w:r w:rsidRPr="008F7F12">
        <w:rPr>
          <w:shd w:val="clear" w:color="auto" w:fill="FFFFFF"/>
        </w:rPr>
        <w:t>PARLAMENTO EUROPEU 2022/</w:t>
      </w:r>
      <w:r>
        <w:t>2535</w:t>
      </w:r>
      <w:r w:rsidRPr="008F7F12">
        <w:rPr>
          <w:shd w:val="clear" w:color="auto" w:fill="FFFFFF"/>
        </w:rPr>
        <w:t>(RSP) de 1</w:t>
      </w:r>
      <w:r>
        <w:rPr>
          <w:shd w:val="clear" w:color="auto" w:fill="FFFFFF"/>
        </w:rPr>
        <w:t>0</w:t>
      </w:r>
      <w:r w:rsidRPr="008F7F12">
        <w:rPr>
          <w:shd w:val="clear" w:color="auto" w:fill="FFFFFF"/>
        </w:rPr>
        <w:t xml:space="preserve"> de março de 2022</w:t>
      </w:r>
      <w:r>
        <w:rPr>
          <w:shd w:val="clear" w:color="auto" w:fill="FFFFFF"/>
        </w:rPr>
        <w:t>.</w:t>
      </w:r>
      <w:r w:rsidRPr="008F7F12">
        <w:rPr>
          <w:rStyle w:val="Refdenotaderodap"/>
          <w:shd w:val="clear" w:color="auto" w:fill="FFFFFF"/>
        </w:rPr>
        <w:footnoteReference w:id="20"/>
      </w:r>
    </w:p>
    <w:p w14:paraId="17918518" w14:textId="77777777" w:rsidR="007E3D2E" w:rsidRPr="00E127EC" w:rsidRDefault="007E3D2E" w:rsidP="00405B4E">
      <w:pPr>
        <w:spacing w:line="276" w:lineRule="auto"/>
        <w:ind w:firstLine="708"/>
        <w:jc w:val="both"/>
        <w:rPr>
          <w:shd w:val="clear" w:color="auto" w:fill="FFFFFF"/>
        </w:rPr>
      </w:pPr>
      <w:r w:rsidRPr="00957260">
        <w:t>Resolução</w:t>
      </w:r>
      <w:r w:rsidRPr="008F7F12">
        <w:t xml:space="preserve"> do Parlamento Europeu</w:t>
      </w:r>
      <w:r w:rsidRPr="008F7F12">
        <w:rPr>
          <w:shd w:val="clear" w:color="auto" w:fill="FFFFFF"/>
        </w:rPr>
        <w:t xml:space="preserve"> sobre</w:t>
      </w:r>
      <w:r>
        <w:rPr>
          <w:shd w:val="clear" w:color="auto" w:fill="FFFFFF"/>
        </w:rPr>
        <w:t xml:space="preserve"> </w:t>
      </w:r>
      <w:r>
        <w:t>o Estado de direito e as consequências do acórdão do Tribunal de Justiça da União Europeia</w:t>
      </w:r>
      <w:r>
        <w:rPr>
          <w:rStyle w:val="Refdenotaderodap"/>
        </w:rPr>
        <w:footnoteReference w:id="21"/>
      </w:r>
      <w:r>
        <w:t xml:space="preserve"> pela ação proposta pelo Parlamento Europeu contra a Comissão em 29 de outubro de 2021</w:t>
      </w:r>
      <w:r>
        <w:rPr>
          <w:rStyle w:val="Refdenotaderodap"/>
        </w:rPr>
        <w:footnoteReference w:id="22"/>
      </w:r>
      <w:r>
        <w:t>, tendo em conta os acórdãos do TJUE de 16 de fevereiro de 2022</w:t>
      </w:r>
      <w:r>
        <w:rPr>
          <w:rStyle w:val="Refdenotaderodap"/>
        </w:rPr>
        <w:footnoteReference w:id="23"/>
      </w:r>
      <w:r>
        <w:t xml:space="preserve"> e as suas conclusões segundo as quais o mecanismo de condicionalidade do Estado de direito está em conformidade com o direito da UE, confirmando a adequação da base jurídica, a compatibilidade do regime com o artigo 7.º do TUE e o princípio da segurança jurídica, bem como as competências da UE em matéria de Estado de direito nos Estados-Membros.</w:t>
      </w:r>
      <w:bookmarkStart w:id="7" w:name="_Hlk98407113"/>
      <w:r w:rsidRPr="00B2738A">
        <w:t xml:space="preserve"> </w:t>
      </w:r>
    </w:p>
    <w:bookmarkEnd w:id="7"/>
    <w:p w14:paraId="44ABB060" w14:textId="77777777" w:rsidR="007E3D2E" w:rsidRPr="002246C1" w:rsidRDefault="007E3D2E" w:rsidP="00405B4E">
      <w:pPr>
        <w:spacing w:line="276" w:lineRule="auto"/>
      </w:pPr>
    </w:p>
    <w:p w14:paraId="099A37BB" w14:textId="77777777" w:rsidR="007E3D2E" w:rsidRPr="00623617" w:rsidRDefault="007E3D2E" w:rsidP="00405B4E">
      <w:pPr>
        <w:spacing w:line="276" w:lineRule="auto"/>
      </w:pPr>
      <w:bookmarkStart w:id="8" w:name="_Hlk98408023"/>
      <w:r w:rsidRPr="00623617">
        <w:t>15 de março de 2022</w:t>
      </w:r>
    </w:p>
    <w:p w14:paraId="7C58C723" w14:textId="77777777" w:rsidR="007E3D2E" w:rsidRPr="00623617" w:rsidRDefault="007E3D2E" w:rsidP="00FC0C0D">
      <w:pPr>
        <w:spacing w:line="276" w:lineRule="auto"/>
        <w:ind w:firstLine="708"/>
        <w:jc w:val="both"/>
      </w:pPr>
      <w:r w:rsidRPr="00623617">
        <w:t>Notificada na imprensa a primeira operação da Procuradoria Europeia em Portugal</w:t>
      </w:r>
      <w:bookmarkEnd w:id="8"/>
      <w:r w:rsidRPr="00623617">
        <w:rPr>
          <w:rStyle w:val="Refdenotaderodap"/>
        </w:rPr>
        <w:footnoteReference w:id="24"/>
      </w:r>
      <w:r w:rsidRPr="00623617">
        <w:t>.</w:t>
      </w:r>
    </w:p>
    <w:p w14:paraId="4CC620FB" w14:textId="3EA6FB42" w:rsidR="007E3D2E" w:rsidRDefault="00623617" w:rsidP="00FC0C0D">
      <w:pPr>
        <w:spacing w:line="276" w:lineRule="auto"/>
        <w:ind w:firstLine="708"/>
        <w:jc w:val="both"/>
      </w:pPr>
      <w:r w:rsidRPr="00623617">
        <w:lastRenderedPageBreak/>
        <w:t>Devido a suspeitas de contrabando agravado e branqueamento de capitais por parte de uma empresa chinesa que importava têxtil da China para revenda em Espanha foram feitas buscas autorizadas pelo Tribunal Central de Instrução Criminal e operacionalizadas com a PSP e dois procuradores europeus.</w:t>
      </w:r>
      <w:r>
        <w:t xml:space="preserve"> </w:t>
      </w:r>
    </w:p>
    <w:p w14:paraId="11DBF8BA" w14:textId="3EE1ACD8" w:rsidR="001D5679" w:rsidRDefault="001D5679" w:rsidP="00405B4E">
      <w:pPr>
        <w:spacing w:line="276" w:lineRule="auto"/>
        <w:jc w:val="both"/>
      </w:pPr>
    </w:p>
    <w:p w14:paraId="72B0B9ED" w14:textId="77777777" w:rsidR="001D5679" w:rsidRDefault="001D5679" w:rsidP="00405B4E">
      <w:pPr>
        <w:spacing w:line="276" w:lineRule="auto"/>
        <w:jc w:val="both"/>
      </w:pPr>
    </w:p>
    <w:p w14:paraId="67EC1C6A" w14:textId="77777777" w:rsidR="007E3D2E" w:rsidRPr="00043DF4" w:rsidRDefault="007E3D2E" w:rsidP="00405B4E">
      <w:pPr>
        <w:shd w:val="clear" w:color="auto" w:fill="FFFFFF"/>
        <w:spacing w:line="276" w:lineRule="auto"/>
        <w:jc w:val="both"/>
        <w:rPr>
          <w:color w:val="333333"/>
        </w:rPr>
      </w:pPr>
      <w:bookmarkStart w:id="9" w:name="_Hlk98486300"/>
      <w:r w:rsidRPr="00044913">
        <w:rPr>
          <w:color w:val="333333"/>
        </w:rPr>
        <w:t>COMISSÃO</w:t>
      </w:r>
      <w:r w:rsidRPr="00043DF4">
        <w:rPr>
          <w:color w:val="333333"/>
        </w:rPr>
        <w:t xml:space="preserve"> </w:t>
      </w:r>
      <w:r w:rsidRPr="00044913">
        <w:rPr>
          <w:color w:val="333333"/>
        </w:rPr>
        <w:t>2022/C 123/01</w:t>
      </w:r>
      <w:r w:rsidRPr="00043DF4">
        <w:rPr>
          <w:color w:val="333333"/>
        </w:rPr>
        <w:t>, JOUE C 123 de 18.03.2022, p</w:t>
      </w:r>
      <w:r>
        <w:rPr>
          <w:color w:val="333333"/>
        </w:rPr>
        <w:t>p</w:t>
      </w:r>
      <w:r w:rsidRPr="00043DF4">
        <w:rPr>
          <w:color w:val="333333"/>
        </w:rPr>
        <w:t>. 1</w:t>
      </w:r>
      <w:r>
        <w:rPr>
          <w:color w:val="333333"/>
        </w:rPr>
        <w:t xml:space="preserve"> a 13</w:t>
      </w:r>
      <w:r w:rsidRPr="00043DF4">
        <w:rPr>
          <w:color w:val="333333"/>
        </w:rPr>
        <w:t>.</w:t>
      </w:r>
      <w:r w:rsidRPr="00043DF4">
        <w:rPr>
          <w:rStyle w:val="Refdenotaderodap"/>
          <w:color w:val="333333"/>
        </w:rPr>
        <w:footnoteReference w:id="25"/>
      </w:r>
    </w:p>
    <w:p w14:paraId="680B098A" w14:textId="77777777" w:rsidR="007E3D2E" w:rsidRPr="00043DF4" w:rsidRDefault="007E3D2E" w:rsidP="00405B4E">
      <w:pPr>
        <w:shd w:val="clear" w:color="auto" w:fill="FFFFFF"/>
        <w:spacing w:line="276" w:lineRule="auto"/>
        <w:ind w:firstLine="708"/>
        <w:jc w:val="both"/>
        <w:rPr>
          <w:color w:val="333333"/>
        </w:rPr>
      </w:pPr>
      <w:r w:rsidRPr="00044913">
        <w:rPr>
          <w:color w:val="333333"/>
        </w:rPr>
        <w:t xml:space="preserve">Aprovação do conteúdo de um projeto de Comunicação da Comissão </w:t>
      </w:r>
      <w:r w:rsidRPr="00043DF4">
        <w:rPr>
          <w:color w:val="333333"/>
        </w:rPr>
        <w:t>com</w:t>
      </w:r>
      <w:r w:rsidRPr="00044913">
        <w:rPr>
          <w:color w:val="333333"/>
        </w:rPr>
        <w:t xml:space="preserve"> Orientações sobre a aplicação do direito da concorrência da UE às convenções coletivas relativas às condições de trabalho dos trabalhadores independentes sem empregados</w:t>
      </w:r>
      <w:r w:rsidRPr="00043DF4">
        <w:rPr>
          <w:color w:val="333333"/>
        </w:rPr>
        <w:t>, q</w:t>
      </w:r>
      <w:r w:rsidRPr="00043DF4">
        <w:t>ue remete para consulta pública a decorrer.</w:t>
      </w:r>
      <w:r w:rsidRPr="00043DF4">
        <w:rPr>
          <w:rStyle w:val="Refdenotaderodap"/>
        </w:rPr>
        <w:footnoteReference w:id="26"/>
      </w:r>
    </w:p>
    <w:p w14:paraId="0A79D6B7" w14:textId="77777777" w:rsidR="007E3D2E" w:rsidRDefault="007E3D2E" w:rsidP="00405B4E">
      <w:pPr>
        <w:spacing w:line="276" w:lineRule="auto"/>
      </w:pPr>
    </w:p>
    <w:p w14:paraId="7F2EED50" w14:textId="77777777" w:rsidR="007E3D2E" w:rsidRPr="00800DCA" w:rsidRDefault="007E3D2E" w:rsidP="00405B4E">
      <w:pPr>
        <w:shd w:val="clear" w:color="auto" w:fill="FFFFFF"/>
        <w:spacing w:line="276" w:lineRule="auto"/>
        <w:jc w:val="both"/>
      </w:pPr>
      <w:bookmarkStart w:id="10" w:name="_Hlk98487596"/>
      <w:r w:rsidRPr="00800DCA">
        <w:t>COMISSÃO 2022/C 123/02, JOUE C 123 de 18.03.2022, pp. 12 a 37.</w:t>
      </w:r>
      <w:r w:rsidRPr="00800DCA">
        <w:rPr>
          <w:rStyle w:val="Refdenotaderodap"/>
        </w:rPr>
        <w:footnoteReference w:id="27"/>
      </w:r>
    </w:p>
    <w:p w14:paraId="4653172A" w14:textId="185D0EF2" w:rsidR="007E3D2E" w:rsidRPr="00405B4E" w:rsidRDefault="007E3D2E" w:rsidP="00405B4E">
      <w:pPr>
        <w:spacing w:line="276" w:lineRule="auto"/>
        <w:ind w:firstLine="708"/>
        <w:jc w:val="both"/>
        <w:rPr>
          <w:highlight w:val="yellow"/>
        </w:rPr>
      </w:pPr>
      <w:r w:rsidRPr="00800DCA">
        <w:t>Comunicação</w:t>
      </w:r>
      <w:r w:rsidR="00800DCA">
        <w:t xml:space="preserve"> da Comissão de </w:t>
      </w:r>
      <w:r w:rsidR="00800DCA">
        <w:rPr>
          <w:shd w:val="clear" w:color="auto" w:fill="FFFFFF"/>
        </w:rPr>
        <w:t>o</w:t>
      </w:r>
      <w:r w:rsidRPr="00800DCA">
        <w:rPr>
          <w:shd w:val="clear" w:color="auto" w:fill="FFFFFF"/>
        </w:rPr>
        <w:t xml:space="preserve">rientações sobre a aplicação do Regulamento (UE, </w:t>
      </w:r>
      <w:proofErr w:type="spellStart"/>
      <w:r w:rsidRPr="00800DCA">
        <w:rPr>
          <w:shd w:val="clear" w:color="auto" w:fill="FFFFFF"/>
        </w:rPr>
        <w:t>Euratom</w:t>
      </w:r>
      <w:proofErr w:type="spellEnd"/>
      <w:r w:rsidRPr="00800DCA">
        <w:rPr>
          <w:shd w:val="clear" w:color="auto" w:fill="FFFFFF"/>
        </w:rPr>
        <w:t>) 2020/2092 relativo a um regime geral de condicionalidade para a proteção do orçamento da União</w:t>
      </w:r>
      <w:r w:rsidRPr="00800DCA">
        <w:rPr>
          <w:rStyle w:val="Refdenotaderodap"/>
          <w:shd w:val="clear" w:color="auto" w:fill="FFFFFF"/>
        </w:rPr>
        <w:footnoteReference w:id="28"/>
      </w:r>
      <w:r w:rsidRPr="00800DCA">
        <w:rPr>
          <w:shd w:val="clear" w:color="auto" w:fill="FFFFFF"/>
        </w:rPr>
        <w:t>.</w:t>
      </w:r>
      <w:r w:rsidR="00800DCA">
        <w:rPr>
          <w:shd w:val="clear" w:color="auto" w:fill="FFFFFF"/>
        </w:rPr>
        <w:t xml:space="preserve"> </w:t>
      </w:r>
      <w:r w:rsidR="004D683F" w:rsidRPr="004D683F">
        <w:rPr>
          <w:shd w:val="clear" w:color="auto" w:fill="FFFFFF"/>
        </w:rPr>
        <w:t xml:space="preserve">O objetivo do Regulamento relativo à condicionalidade é proteger o </w:t>
      </w:r>
      <w:r w:rsidR="007363C1" w:rsidRPr="004D683F">
        <w:rPr>
          <w:shd w:val="clear" w:color="auto" w:fill="FFFFFF"/>
        </w:rPr>
        <w:t>orçamento</w:t>
      </w:r>
      <w:r w:rsidR="004D683F" w:rsidRPr="004D683F">
        <w:rPr>
          <w:shd w:val="clear" w:color="auto" w:fill="FFFFFF"/>
        </w:rPr>
        <w:t xml:space="preserve"> da </w:t>
      </w:r>
      <w:r w:rsidR="007363C1" w:rsidRPr="004D683F">
        <w:rPr>
          <w:shd w:val="clear" w:color="auto" w:fill="FFFFFF"/>
        </w:rPr>
        <w:t>União</w:t>
      </w:r>
      <w:r w:rsidR="004D683F" w:rsidRPr="004D683F">
        <w:rPr>
          <w:shd w:val="clear" w:color="auto" w:fill="FFFFFF"/>
        </w:rPr>
        <w:t xml:space="preserve"> em caso de </w:t>
      </w:r>
      <w:r w:rsidR="007363C1" w:rsidRPr="004D683F">
        <w:rPr>
          <w:shd w:val="clear" w:color="auto" w:fill="FFFFFF"/>
        </w:rPr>
        <w:t>violações</w:t>
      </w:r>
      <w:r w:rsidR="004D683F" w:rsidRPr="004D683F">
        <w:rPr>
          <w:shd w:val="clear" w:color="auto" w:fill="FFFFFF"/>
        </w:rPr>
        <w:t xml:space="preserve"> dos </w:t>
      </w:r>
      <w:r w:rsidR="007363C1" w:rsidRPr="004D683F">
        <w:rPr>
          <w:shd w:val="clear" w:color="auto" w:fill="FFFFFF"/>
        </w:rPr>
        <w:t>princípios</w:t>
      </w:r>
      <w:r w:rsidR="004D683F" w:rsidRPr="004D683F">
        <w:rPr>
          <w:shd w:val="clear" w:color="auto" w:fill="FFFFFF"/>
        </w:rPr>
        <w:t xml:space="preserve"> do Estado de direito num Estado-Membro</w:t>
      </w:r>
      <w:r w:rsidR="00800DCA">
        <w:rPr>
          <w:shd w:val="clear" w:color="auto" w:fill="FFFFFF"/>
        </w:rPr>
        <w:t>. É um instrumento permanente aplicável para além dos limites de um dado quadro financeiro plurianual.</w:t>
      </w:r>
    </w:p>
    <w:bookmarkEnd w:id="10"/>
    <w:p w14:paraId="7CAC7EE5" w14:textId="77777777" w:rsidR="007E3D2E" w:rsidRPr="00405B4E" w:rsidRDefault="007E3D2E" w:rsidP="00405B4E">
      <w:pPr>
        <w:spacing w:line="276" w:lineRule="auto"/>
        <w:rPr>
          <w:highlight w:val="yellow"/>
        </w:rPr>
      </w:pPr>
    </w:p>
    <w:p w14:paraId="008D12D4" w14:textId="77777777" w:rsidR="007E3D2E" w:rsidRPr="00FC0C0D" w:rsidRDefault="007E3D2E" w:rsidP="00405B4E">
      <w:pPr>
        <w:spacing w:line="276" w:lineRule="auto"/>
        <w:rPr>
          <w:shd w:val="clear" w:color="auto" w:fill="FFFFFF"/>
        </w:rPr>
      </w:pPr>
      <w:bookmarkStart w:id="11" w:name="_Hlk98487931"/>
      <w:r w:rsidRPr="00FC0C0D">
        <w:rPr>
          <w:shd w:val="clear" w:color="auto" w:fill="FFFFFF"/>
        </w:rPr>
        <w:t>PARLAMENTO EUROPEU 2022/C 125/01,</w:t>
      </w:r>
      <w:r w:rsidRPr="00FC0C0D">
        <w:t xml:space="preserve"> JOUE C 125 de 18.03.2022, pp. 2 a 9.</w:t>
      </w:r>
      <w:r w:rsidRPr="00FC0C0D">
        <w:rPr>
          <w:rStyle w:val="Refdenotaderodap"/>
        </w:rPr>
        <w:footnoteReference w:id="29"/>
      </w:r>
    </w:p>
    <w:p w14:paraId="3F17F767" w14:textId="77777777" w:rsidR="007E3D2E" w:rsidRPr="00FC0C0D" w:rsidRDefault="007E3D2E" w:rsidP="00405B4E">
      <w:pPr>
        <w:spacing w:line="276" w:lineRule="auto"/>
        <w:ind w:firstLine="708"/>
        <w:jc w:val="both"/>
      </w:pPr>
      <w:r w:rsidRPr="00FC0C0D">
        <w:rPr>
          <w:shd w:val="clear" w:color="auto" w:fill="FFFFFF"/>
        </w:rPr>
        <w:t>Resolução do Parlamento Europeu, de 1 de março de 2022, sobre a agressão russa contra a Ucrânia.</w:t>
      </w:r>
    </w:p>
    <w:bookmarkEnd w:id="11"/>
    <w:p w14:paraId="157B0097" w14:textId="77777777" w:rsidR="007E3D2E" w:rsidRDefault="007E3D2E" w:rsidP="00405B4E">
      <w:pPr>
        <w:spacing w:line="276" w:lineRule="auto"/>
      </w:pPr>
    </w:p>
    <w:p w14:paraId="2AD25B73" w14:textId="77777777" w:rsidR="007E3D2E" w:rsidRDefault="007E3D2E" w:rsidP="00405B4E">
      <w:pPr>
        <w:spacing w:line="276" w:lineRule="auto"/>
      </w:pPr>
      <w:r>
        <w:t>21 de março de 2022</w:t>
      </w:r>
    </w:p>
    <w:p w14:paraId="630B2643" w14:textId="77777777" w:rsidR="007E3D2E" w:rsidRPr="00FE5522" w:rsidRDefault="007E3D2E" w:rsidP="00405B4E">
      <w:pPr>
        <w:spacing w:line="276" w:lineRule="auto"/>
        <w:ind w:firstLine="708"/>
        <w:jc w:val="both"/>
        <w:rPr>
          <w:b/>
          <w:bCs/>
        </w:rPr>
      </w:pPr>
      <w:r>
        <w:t xml:space="preserve">Publicada </w:t>
      </w:r>
      <w:r w:rsidRPr="00C3400A">
        <w:t>Declaração das autoridades da Rede Europeia da Concorrência</w:t>
      </w:r>
      <w:r>
        <w:rPr>
          <w:rStyle w:val="Refdenotaderodap"/>
        </w:rPr>
        <w:footnoteReference w:id="30"/>
      </w:r>
      <w:r w:rsidRPr="00C3400A">
        <w:t xml:space="preserve"> sobre a aplicação do direito da concorrência no contexto da invasão russa da Ucrânia</w:t>
      </w:r>
      <w:r>
        <w:rPr>
          <w:rStyle w:val="Refdenotaderodap"/>
        </w:rPr>
        <w:footnoteReference w:id="31"/>
      </w:r>
      <w:r>
        <w:t xml:space="preserve">, no seguimento da Declaração </w:t>
      </w:r>
      <w:r w:rsidRPr="00FE5522">
        <w:t>Comum dos membros do Conselho Europeu</w:t>
      </w:r>
      <w:r>
        <w:t xml:space="preserve"> de 24 de fevereiro de 2022</w:t>
      </w:r>
      <w:r>
        <w:rPr>
          <w:rStyle w:val="Refdenotaderodap"/>
        </w:rPr>
        <w:footnoteReference w:id="32"/>
      </w:r>
      <w:r>
        <w:t>. A</w:t>
      </w:r>
      <w:r w:rsidRPr="00EA6EF0">
        <w:t xml:space="preserve"> REC reconhece que as condições de crise podem desencadear a necessidade de as empresas enfrentarem perturbações graves causadas pelo impacto da guerra e/ou </w:t>
      </w:r>
      <w:r w:rsidRPr="00EA6EF0">
        <w:lastRenderedPageBreak/>
        <w:t xml:space="preserve">das sanções no mercado único. </w:t>
      </w:r>
      <w:r>
        <w:t>N</w:t>
      </w:r>
      <w:r w:rsidRPr="00EA6EF0">
        <w:t xml:space="preserve">ão intervirá ativamente contra iniciativas estritamente necessárias e temporárias especificamente destinadas a evitar </w:t>
      </w:r>
      <w:r>
        <w:t xml:space="preserve">tais </w:t>
      </w:r>
      <w:r w:rsidRPr="00EA6EF0">
        <w:t>perturbações graves. As empresas podem contactar os membros da REC a qualquer momento para obter orientações informais sobre a compatibilidade das suas iniciativas com o direito da concorrência da UE/Espaço Económico Europeu. Ao mesmo tempo, a REC não hesitará em tomar medidas contra as empresas que tiram partido da situação atual, entrando em cartéis ou abusando da sua posição dominante.</w:t>
      </w:r>
    </w:p>
    <w:p w14:paraId="3DC7D03A" w14:textId="77777777" w:rsidR="007E3D2E" w:rsidRDefault="007E3D2E" w:rsidP="00405B4E">
      <w:pPr>
        <w:spacing w:line="276" w:lineRule="auto"/>
      </w:pPr>
    </w:p>
    <w:p w14:paraId="0790C005" w14:textId="77777777" w:rsidR="00800DCA" w:rsidRDefault="00800DCA" w:rsidP="00405B4E">
      <w:pPr>
        <w:spacing w:line="276" w:lineRule="auto"/>
        <w:rPr>
          <w:color w:val="000000"/>
          <w:lang w:eastAsia="en-US"/>
        </w:rPr>
      </w:pPr>
      <w:bookmarkStart w:id="12" w:name="_Hlk98855750"/>
    </w:p>
    <w:p w14:paraId="358C0C86" w14:textId="45131170" w:rsidR="007E3D2E" w:rsidRDefault="007E3D2E" w:rsidP="00405B4E">
      <w:pPr>
        <w:spacing w:line="276" w:lineRule="auto"/>
        <w:rPr>
          <w:sz w:val="20"/>
          <w:szCs w:val="20"/>
        </w:rPr>
      </w:pPr>
      <w:r w:rsidRPr="005D75E0">
        <w:rPr>
          <w:color w:val="000000"/>
          <w:lang w:eastAsia="en-US"/>
        </w:rPr>
        <w:t xml:space="preserve">Documento </w:t>
      </w:r>
      <w:proofErr w:type="gramStart"/>
      <w:r w:rsidRPr="005D75E0">
        <w:rPr>
          <w:color w:val="000000"/>
          <w:lang w:eastAsia="en-US"/>
        </w:rPr>
        <w:t>C(</w:t>
      </w:r>
      <w:proofErr w:type="gramEnd"/>
      <w:r w:rsidRPr="005D75E0">
        <w:rPr>
          <w:color w:val="000000"/>
          <w:lang w:eastAsia="en-US"/>
        </w:rPr>
        <w:t>202</w:t>
      </w:r>
      <w:r>
        <w:rPr>
          <w:color w:val="000000"/>
          <w:lang w:eastAsia="en-US"/>
        </w:rPr>
        <w:t>2</w:t>
      </w:r>
      <w:r w:rsidRPr="005D75E0">
        <w:rPr>
          <w:color w:val="000000"/>
          <w:lang w:eastAsia="en-US"/>
        </w:rPr>
        <w:t>)</w:t>
      </w:r>
      <w:r>
        <w:rPr>
          <w:color w:val="000000"/>
        </w:rPr>
        <w:t>118</w:t>
      </w:r>
      <w:r w:rsidRPr="005D75E0">
        <w:rPr>
          <w:color w:val="000000"/>
          <w:lang w:eastAsia="en-US"/>
        </w:rPr>
        <w:t xml:space="preserve"> final</w:t>
      </w:r>
      <w:r w:rsidRPr="005D75E0">
        <w:rPr>
          <w:color w:val="000000"/>
        </w:rPr>
        <w:t xml:space="preserve"> de </w:t>
      </w:r>
      <w:r>
        <w:rPr>
          <w:color w:val="000000"/>
        </w:rPr>
        <w:t>22</w:t>
      </w:r>
      <w:r w:rsidRPr="005D75E0">
        <w:rPr>
          <w:color w:val="000000"/>
        </w:rPr>
        <w:t>.</w:t>
      </w:r>
      <w:r>
        <w:rPr>
          <w:color w:val="000000"/>
        </w:rPr>
        <w:t>03</w:t>
      </w:r>
      <w:r w:rsidRPr="005D75E0">
        <w:rPr>
          <w:color w:val="000000"/>
        </w:rPr>
        <w:t>.202</w:t>
      </w:r>
      <w:r>
        <w:rPr>
          <w:color w:val="000000"/>
        </w:rPr>
        <w:t>2</w:t>
      </w:r>
      <w:r w:rsidRPr="005D75E0">
        <w:rPr>
          <w:color w:val="000000"/>
        </w:rPr>
        <w:t xml:space="preserve">, </w:t>
      </w:r>
      <w:r>
        <w:rPr>
          <w:color w:val="000000"/>
        </w:rPr>
        <w:t>14</w:t>
      </w:r>
      <w:r w:rsidRPr="005D75E0">
        <w:rPr>
          <w:color w:val="000000"/>
        </w:rPr>
        <w:t xml:space="preserve"> </w:t>
      </w:r>
      <w:r w:rsidRPr="00962ED5">
        <w:t>páginas.</w:t>
      </w:r>
      <w:r w:rsidRPr="00962ED5">
        <w:rPr>
          <w:rStyle w:val="Refdenotaderodap"/>
        </w:rPr>
        <w:footnoteReference w:id="33"/>
      </w:r>
    </w:p>
    <w:p w14:paraId="58C94725" w14:textId="77777777" w:rsidR="007E3D2E" w:rsidRDefault="007E3D2E" w:rsidP="00FC0C0D">
      <w:pPr>
        <w:spacing w:line="276" w:lineRule="auto"/>
        <w:ind w:firstLine="708"/>
        <w:jc w:val="both"/>
      </w:pPr>
      <w:r>
        <w:rPr>
          <w:color w:val="000000"/>
        </w:rPr>
        <w:t>Relatório d</w:t>
      </w:r>
      <w:r w:rsidRPr="003E113A">
        <w:rPr>
          <w:color w:val="000000"/>
        </w:rPr>
        <w:t xml:space="preserve">a Comissão </w:t>
      </w:r>
      <w:r>
        <w:rPr>
          <w:color w:val="000000"/>
        </w:rPr>
        <w:t>a</w:t>
      </w:r>
      <w:r w:rsidRPr="003E113A">
        <w:rPr>
          <w:color w:val="000000"/>
        </w:rPr>
        <w:t xml:space="preserve">o </w:t>
      </w:r>
      <w:r w:rsidRPr="00236D08">
        <w:t>Parlamento Europeu, ao Conselho, ao Comité Económico e Social Europeu e ao Comité das Regiões</w:t>
      </w:r>
      <w:r>
        <w:t xml:space="preserve"> que avalia a execução e as realizações do programa Direitos, Igualdade e Cidadania 2014 – 2020.</w:t>
      </w:r>
    </w:p>
    <w:bookmarkEnd w:id="12"/>
    <w:p w14:paraId="3CBB47CF" w14:textId="77777777" w:rsidR="007E3D2E" w:rsidRDefault="007E3D2E" w:rsidP="00405B4E">
      <w:pPr>
        <w:spacing w:line="276" w:lineRule="auto"/>
      </w:pPr>
    </w:p>
    <w:p w14:paraId="77BEA337" w14:textId="77777777" w:rsidR="007E3D2E" w:rsidRDefault="007E3D2E" w:rsidP="00405B4E">
      <w:pPr>
        <w:spacing w:line="276" w:lineRule="auto"/>
        <w:rPr>
          <w:sz w:val="20"/>
          <w:szCs w:val="20"/>
        </w:rPr>
      </w:pPr>
      <w:bookmarkStart w:id="13" w:name="_Hlk99012419"/>
      <w:r w:rsidRPr="005D75E0">
        <w:rPr>
          <w:color w:val="000000"/>
          <w:lang w:eastAsia="en-US"/>
        </w:rPr>
        <w:t xml:space="preserve">Documento </w:t>
      </w:r>
      <w:proofErr w:type="gramStart"/>
      <w:r w:rsidRPr="005D75E0">
        <w:rPr>
          <w:color w:val="000000"/>
          <w:lang w:eastAsia="en-US"/>
        </w:rPr>
        <w:t>C(</w:t>
      </w:r>
      <w:proofErr w:type="gramEnd"/>
      <w:r w:rsidRPr="005D75E0">
        <w:rPr>
          <w:color w:val="000000"/>
          <w:lang w:eastAsia="en-US"/>
        </w:rPr>
        <w:t>202</w:t>
      </w:r>
      <w:r>
        <w:rPr>
          <w:color w:val="000000"/>
          <w:lang w:eastAsia="en-US"/>
        </w:rPr>
        <w:t>2</w:t>
      </w:r>
      <w:r w:rsidRPr="005D75E0">
        <w:rPr>
          <w:color w:val="000000"/>
          <w:lang w:eastAsia="en-US"/>
        </w:rPr>
        <w:t xml:space="preserve">) </w:t>
      </w:r>
      <w:r>
        <w:rPr>
          <w:color w:val="000000"/>
        </w:rPr>
        <w:t>121</w:t>
      </w:r>
      <w:r w:rsidRPr="005D75E0">
        <w:rPr>
          <w:color w:val="000000"/>
          <w:lang w:eastAsia="en-US"/>
        </w:rPr>
        <w:t xml:space="preserve"> final</w:t>
      </w:r>
      <w:r w:rsidRPr="005D75E0">
        <w:rPr>
          <w:color w:val="000000"/>
        </w:rPr>
        <w:t xml:space="preserve"> de </w:t>
      </w:r>
      <w:r>
        <w:rPr>
          <w:color w:val="000000"/>
        </w:rPr>
        <w:t>22</w:t>
      </w:r>
      <w:r w:rsidRPr="005D75E0">
        <w:rPr>
          <w:color w:val="000000"/>
        </w:rPr>
        <w:t>.</w:t>
      </w:r>
      <w:r>
        <w:rPr>
          <w:color w:val="000000"/>
        </w:rPr>
        <w:t>03</w:t>
      </w:r>
      <w:r w:rsidRPr="005D75E0">
        <w:rPr>
          <w:color w:val="000000"/>
        </w:rPr>
        <w:t>.202</w:t>
      </w:r>
      <w:r>
        <w:rPr>
          <w:color w:val="000000"/>
        </w:rPr>
        <w:t>2</w:t>
      </w:r>
      <w:r w:rsidRPr="005D75E0">
        <w:rPr>
          <w:color w:val="000000"/>
        </w:rPr>
        <w:t xml:space="preserve">, </w:t>
      </w:r>
      <w:r>
        <w:rPr>
          <w:color w:val="000000"/>
        </w:rPr>
        <w:t>17</w:t>
      </w:r>
      <w:r w:rsidRPr="005D75E0">
        <w:rPr>
          <w:color w:val="000000"/>
        </w:rPr>
        <w:t xml:space="preserve"> </w:t>
      </w:r>
      <w:r w:rsidRPr="00962ED5">
        <w:t>páginas.</w:t>
      </w:r>
      <w:r w:rsidRPr="00962ED5">
        <w:rPr>
          <w:rStyle w:val="Refdenotaderodap"/>
        </w:rPr>
        <w:footnoteReference w:id="34"/>
      </w:r>
    </w:p>
    <w:p w14:paraId="67887F12" w14:textId="77777777" w:rsidR="007E3D2E" w:rsidRPr="0033017D" w:rsidRDefault="007E3D2E" w:rsidP="00405B4E">
      <w:pPr>
        <w:spacing w:line="276" w:lineRule="auto"/>
        <w:ind w:firstLine="708"/>
        <w:jc w:val="both"/>
      </w:pPr>
      <w:r>
        <w:rPr>
          <w:color w:val="000000"/>
        </w:rPr>
        <w:t>Relatório d</w:t>
      </w:r>
      <w:r w:rsidRPr="003E113A">
        <w:rPr>
          <w:color w:val="000000"/>
        </w:rPr>
        <w:t xml:space="preserve">a Comissão </w:t>
      </w:r>
      <w:r>
        <w:rPr>
          <w:color w:val="000000"/>
        </w:rPr>
        <w:t>a</w:t>
      </w:r>
      <w:r w:rsidRPr="003E113A">
        <w:rPr>
          <w:color w:val="000000"/>
        </w:rPr>
        <w:t xml:space="preserve">o </w:t>
      </w:r>
      <w:r w:rsidRPr="00236D08">
        <w:t>Parlamento Europeu, ao Conselho, ao Comité Económico e Social Europeu e ao Comité das Regiões</w:t>
      </w:r>
      <w:r>
        <w:t xml:space="preserve"> </w:t>
      </w:r>
      <w:r w:rsidRPr="0033017D">
        <w:t>que avalia a execução e os resultados do programa «Justiça» 2014-2020</w:t>
      </w:r>
      <w:r>
        <w:t>. O presente relatório divulga os resultados obtidos até à data pelo programa, conforme previsto no Regulamento (UE) n.º 1382/2013 do Parlamento Europeu e do Conselho, de 17 de dezembro de 2013, que cria o Programa «Justiça» para o período de 2014 a 2020 (JOUE L 354 de 28.12.2013).</w:t>
      </w:r>
    </w:p>
    <w:bookmarkEnd w:id="13"/>
    <w:p w14:paraId="7A7FCCBF" w14:textId="77777777" w:rsidR="007E3D2E" w:rsidRDefault="007E3D2E" w:rsidP="00405B4E">
      <w:pPr>
        <w:spacing w:line="276" w:lineRule="auto"/>
      </w:pPr>
    </w:p>
    <w:p w14:paraId="45E0A462" w14:textId="77777777" w:rsidR="00800DCA" w:rsidRDefault="00800DCA" w:rsidP="00800DCA">
      <w:pPr>
        <w:spacing w:line="276" w:lineRule="auto"/>
      </w:pPr>
      <w:r>
        <w:t>DECISÃO DO PARLAMENTO, de 5 de outubro de 2021, JOUE C 132 de 24.03.2022, p. 221</w:t>
      </w:r>
      <w:r w:rsidRPr="00800DCA">
        <w:rPr>
          <w:rStyle w:val="Refdenotaderodap"/>
        </w:rPr>
        <w:footnoteReference w:id="35"/>
      </w:r>
    </w:p>
    <w:p w14:paraId="13DEBB38" w14:textId="2CE8CCED" w:rsidR="007E3D2E" w:rsidRDefault="00800DCA" w:rsidP="00800DCA">
      <w:pPr>
        <w:spacing w:line="276" w:lineRule="auto"/>
        <w:ind w:right="-1"/>
        <w:jc w:val="both"/>
      </w:pPr>
      <w:r>
        <w:tab/>
        <w:t xml:space="preserve">Nesta decisão do Parlamento Europeu, é renovado o mandato de </w:t>
      </w:r>
      <w:proofErr w:type="spellStart"/>
      <w:r>
        <w:t>Julia</w:t>
      </w:r>
      <w:proofErr w:type="spellEnd"/>
      <w:r>
        <w:t xml:space="preserve"> </w:t>
      </w:r>
      <w:proofErr w:type="spellStart"/>
      <w:r>
        <w:t>Laffranque</w:t>
      </w:r>
      <w:proofErr w:type="spellEnd"/>
      <w:r>
        <w:t xml:space="preserve"> no comité criado pelo artigo 255.º do Tratado sobre o Funcionamento da União Europeia.</w:t>
      </w:r>
    </w:p>
    <w:p w14:paraId="4279A189" w14:textId="77777777" w:rsidR="007E3D2E" w:rsidRDefault="007E3D2E" w:rsidP="00405B4E">
      <w:pPr>
        <w:spacing w:line="276" w:lineRule="auto"/>
      </w:pPr>
    </w:p>
    <w:p w14:paraId="4F36E401" w14:textId="77777777" w:rsidR="007E3D2E" w:rsidRPr="00DF756F" w:rsidRDefault="007E3D2E" w:rsidP="00405B4E">
      <w:pPr>
        <w:shd w:val="clear" w:color="auto" w:fill="FFFFFF"/>
        <w:spacing w:line="276" w:lineRule="auto"/>
        <w:jc w:val="both"/>
        <w:rPr>
          <w:color w:val="000000"/>
        </w:rPr>
      </w:pPr>
      <w:r w:rsidRPr="00DF756F">
        <w:rPr>
          <w:b/>
          <w:bCs/>
          <w:color w:val="000000"/>
        </w:rPr>
        <w:t>DECISÃO (UE) 202</w:t>
      </w:r>
      <w:r>
        <w:rPr>
          <w:b/>
          <w:bCs/>
          <w:color w:val="000000"/>
        </w:rPr>
        <w:t>2</w:t>
      </w:r>
      <w:r w:rsidRPr="00DF756F">
        <w:rPr>
          <w:b/>
          <w:bCs/>
          <w:color w:val="000000"/>
        </w:rPr>
        <w:t>/</w:t>
      </w:r>
      <w:r>
        <w:rPr>
          <w:b/>
          <w:bCs/>
          <w:color w:val="000000"/>
        </w:rPr>
        <w:t>482</w:t>
      </w:r>
      <w:r w:rsidRPr="00DF756F">
        <w:rPr>
          <w:b/>
          <w:bCs/>
          <w:color w:val="000000"/>
        </w:rPr>
        <w:t xml:space="preserve"> DA COMISSÃO</w:t>
      </w:r>
      <w:r w:rsidRPr="00DF756F">
        <w:rPr>
          <w:color w:val="000000"/>
        </w:rPr>
        <w:t xml:space="preserve">, de </w:t>
      </w:r>
      <w:r w:rsidRPr="002B58CC">
        <w:rPr>
          <w:color w:val="000000"/>
        </w:rPr>
        <w:t>1</w:t>
      </w:r>
      <w:r>
        <w:rPr>
          <w:color w:val="000000"/>
        </w:rPr>
        <w:t>6</w:t>
      </w:r>
      <w:r w:rsidRPr="002B58CC">
        <w:rPr>
          <w:color w:val="000000"/>
        </w:rPr>
        <w:t xml:space="preserve"> de m</w:t>
      </w:r>
      <w:r>
        <w:rPr>
          <w:color w:val="000000"/>
        </w:rPr>
        <w:t>a</w:t>
      </w:r>
      <w:r w:rsidRPr="002B58CC">
        <w:rPr>
          <w:color w:val="000000"/>
        </w:rPr>
        <w:t>r</w:t>
      </w:r>
      <w:r>
        <w:rPr>
          <w:color w:val="000000"/>
        </w:rPr>
        <w:t>ç</w:t>
      </w:r>
      <w:r w:rsidRPr="002B58CC">
        <w:rPr>
          <w:color w:val="000000"/>
        </w:rPr>
        <w:t>o de 202</w:t>
      </w:r>
      <w:r>
        <w:rPr>
          <w:color w:val="000000"/>
        </w:rPr>
        <w:t>2</w:t>
      </w:r>
      <w:r w:rsidRPr="00DF756F">
        <w:rPr>
          <w:color w:val="000000"/>
        </w:rPr>
        <w:t xml:space="preserve">, JOUE L </w:t>
      </w:r>
      <w:r>
        <w:rPr>
          <w:color w:val="000000"/>
        </w:rPr>
        <w:t>98</w:t>
      </w:r>
      <w:r w:rsidRPr="00EA3A8E">
        <w:rPr>
          <w:color w:val="000000"/>
        </w:rPr>
        <w:t>, de 2</w:t>
      </w:r>
      <w:r>
        <w:rPr>
          <w:color w:val="000000"/>
        </w:rPr>
        <w:t>5</w:t>
      </w:r>
      <w:r w:rsidRPr="00EA3A8E">
        <w:rPr>
          <w:color w:val="000000"/>
        </w:rPr>
        <w:t>.</w:t>
      </w:r>
      <w:r>
        <w:rPr>
          <w:color w:val="000000"/>
        </w:rPr>
        <w:t>03</w:t>
      </w:r>
      <w:r w:rsidRPr="00EA3A8E">
        <w:rPr>
          <w:color w:val="000000"/>
        </w:rPr>
        <w:t>.202</w:t>
      </w:r>
      <w:r>
        <w:rPr>
          <w:color w:val="000000"/>
        </w:rPr>
        <w:t>2</w:t>
      </w:r>
      <w:r w:rsidRPr="00EA3A8E">
        <w:rPr>
          <w:color w:val="000000"/>
        </w:rPr>
        <w:t xml:space="preserve">, pp. </w:t>
      </w:r>
      <w:r>
        <w:rPr>
          <w:color w:val="000000"/>
        </w:rPr>
        <w:t>82</w:t>
      </w:r>
      <w:r w:rsidRPr="00EA3A8E">
        <w:rPr>
          <w:color w:val="000000"/>
        </w:rPr>
        <w:t xml:space="preserve"> </w:t>
      </w:r>
      <w:r>
        <w:rPr>
          <w:color w:val="000000"/>
        </w:rPr>
        <w:t>e</w:t>
      </w:r>
      <w:r w:rsidRPr="00EA3A8E">
        <w:rPr>
          <w:color w:val="000000"/>
        </w:rPr>
        <w:t xml:space="preserve"> </w:t>
      </w:r>
      <w:r>
        <w:rPr>
          <w:color w:val="000000"/>
        </w:rPr>
        <w:t>83.</w:t>
      </w:r>
      <w:r w:rsidRPr="00DF756F">
        <w:rPr>
          <w:rStyle w:val="Refdenotaderodap"/>
          <w:color w:val="000000"/>
        </w:rPr>
        <w:footnoteReference w:id="36"/>
      </w:r>
    </w:p>
    <w:p w14:paraId="07D5CF09" w14:textId="77777777" w:rsidR="007E3D2E" w:rsidRPr="00585218" w:rsidRDefault="007E3D2E" w:rsidP="00800DCA">
      <w:pPr>
        <w:shd w:val="clear" w:color="auto" w:fill="FFFFFF"/>
        <w:spacing w:line="276" w:lineRule="auto"/>
        <w:ind w:firstLine="708"/>
        <w:jc w:val="both"/>
      </w:pPr>
      <w:r w:rsidRPr="00DF756F">
        <w:rPr>
          <w:color w:val="000000"/>
        </w:rPr>
        <w:t xml:space="preserve">Decisão </w:t>
      </w:r>
      <w:r w:rsidRPr="00E127EC">
        <w:rPr>
          <w:color w:val="000000"/>
        </w:rPr>
        <w:t>de Execução relativa ao</w:t>
      </w:r>
      <w:r w:rsidRPr="00DF756F">
        <w:rPr>
          <w:color w:val="000000"/>
        </w:rPr>
        <w:t xml:space="preserve"> </w:t>
      </w:r>
      <w:r>
        <w:rPr>
          <w:color w:val="000000"/>
        </w:rPr>
        <w:t>registo</w:t>
      </w:r>
      <w:r w:rsidRPr="00DF756F">
        <w:rPr>
          <w:color w:val="000000"/>
        </w:rPr>
        <w:t xml:space="preserve"> da iniciativa de cidadania europeia</w:t>
      </w:r>
      <w:r>
        <w:rPr>
          <w:color w:val="000000"/>
        </w:rPr>
        <w:t xml:space="preserve"> </w:t>
      </w:r>
      <w:r w:rsidRPr="006C2C5D">
        <w:rPr>
          <w:color w:val="000000"/>
        </w:rPr>
        <w:t>sobre proibição de peles na UE</w:t>
      </w:r>
      <w:r w:rsidRPr="00DF756F">
        <w:rPr>
          <w:color w:val="000000"/>
        </w:rPr>
        <w:t xml:space="preserve"> intitulada «</w:t>
      </w:r>
      <w:proofErr w:type="spellStart"/>
      <w:r w:rsidRPr="00A16ED4">
        <w:rPr>
          <w:i/>
          <w:iCs/>
          <w:color w:val="000000"/>
        </w:rPr>
        <w:t>Fur</w:t>
      </w:r>
      <w:proofErr w:type="spellEnd"/>
      <w:r w:rsidRPr="00A16ED4">
        <w:rPr>
          <w:i/>
          <w:iCs/>
          <w:color w:val="000000"/>
        </w:rPr>
        <w:t xml:space="preserve"> Free </w:t>
      </w:r>
      <w:proofErr w:type="spellStart"/>
      <w:r w:rsidRPr="00A16ED4">
        <w:rPr>
          <w:i/>
          <w:iCs/>
          <w:color w:val="000000"/>
        </w:rPr>
        <w:t>Europe</w:t>
      </w:r>
      <w:proofErr w:type="spellEnd"/>
      <w:r w:rsidRPr="00DF756F">
        <w:rPr>
          <w:color w:val="000000"/>
        </w:rPr>
        <w:t>»</w:t>
      </w:r>
      <w:r w:rsidRPr="00E127EC">
        <w:rPr>
          <w:rFonts w:ascii="Roboto" w:hAnsi="Roboto"/>
          <w:b/>
          <w:bCs/>
          <w:color w:val="333333"/>
          <w:sz w:val="21"/>
          <w:szCs w:val="21"/>
        </w:rPr>
        <w:t xml:space="preserve"> </w:t>
      </w:r>
      <w:r w:rsidRPr="00E127EC">
        <w:rPr>
          <w:color w:val="000000"/>
        </w:rPr>
        <w:t>(Uma Europa sem peles)</w:t>
      </w:r>
      <w:r>
        <w:rPr>
          <w:rFonts w:ascii="Roboto" w:hAnsi="Roboto"/>
          <w:b/>
          <w:bCs/>
          <w:color w:val="333333"/>
          <w:sz w:val="21"/>
          <w:szCs w:val="21"/>
        </w:rPr>
        <w:t xml:space="preserve"> </w:t>
      </w:r>
      <w:r w:rsidRPr="00B2738A">
        <w:rPr>
          <w:color w:val="000000"/>
        </w:rPr>
        <w:t>legalmente admissíve</w:t>
      </w:r>
      <w:r>
        <w:rPr>
          <w:color w:val="000000"/>
        </w:rPr>
        <w:t xml:space="preserve">l </w:t>
      </w:r>
      <w:r w:rsidRPr="00DF756F">
        <w:rPr>
          <w:color w:val="000000"/>
        </w:rPr>
        <w:t xml:space="preserve">em conformidade com o Regulamento (UE) 2019/788 do Parlamento Europeu e do Conselho. </w:t>
      </w:r>
      <w:r w:rsidRPr="00B2738A">
        <w:rPr>
          <w:color w:val="000000"/>
        </w:rPr>
        <w:t>Os organizadores da iniciativa apelam à Comissão para que introduza a nível da UE uma proibição de possuir ou matar animais para a produção de peles com pelo. Solicitam igualmente a proibição de comercializar essas peles com pelo e os produtos que as contenham no mercado da UE</w:t>
      </w:r>
      <w:r w:rsidRPr="00B2738A">
        <w:rPr>
          <w:rStyle w:val="Refdenotaderodap"/>
        </w:rPr>
        <w:footnoteReference w:id="37"/>
      </w:r>
      <w:r w:rsidRPr="00B2738A">
        <w:t>.</w:t>
      </w:r>
    </w:p>
    <w:p w14:paraId="3074497D" w14:textId="77777777" w:rsidR="007E3D2E" w:rsidRDefault="007E3D2E" w:rsidP="00405B4E">
      <w:pPr>
        <w:pStyle w:val="title-bold"/>
        <w:shd w:val="clear" w:color="auto" w:fill="FFFFFF"/>
        <w:spacing w:before="0" w:beforeAutospacing="0" w:after="0" w:afterAutospacing="0" w:line="276" w:lineRule="auto"/>
        <w:jc w:val="both"/>
      </w:pPr>
    </w:p>
    <w:p w14:paraId="7834033E" w14:textId="77777777" w:rsidR="007E3D2E" w:rsidRPr="00B67C1E" w:rsidRDefault="007E3D2E" w:rsidP="00405B4E">
      <w:pPr>
        <w:pStyle w:val="title-bold"/>
        <w:shd w:val="clear" w:color="auto" w:fill="FFFFFF"/>
        <w:spacing w:before="0" w:beforeAutospacing="0" w:after="0" w:afterAutospacing="0" w:line="276" w:lineRule="auto"/>
        <w:jc w:val="both"/>
      </w:pPr>
      <w:r w:rsidRPr="008D593C">
        <w:rPr>
          <w:b/>
          <w:bCs/>
        </w:rPr>
        <w:t>DECISÃO (UE) 2022/492 DO CONSELHO EUROPEU</w:t>
      </w:r>
      <w:r w:rsidRPr="00DB05F0">
        <w:t xml:space="preserve"> de 24 de março de 2022, </w:t>
      </w:r>
      <w:r w:rsidRPr="00B67C1E">
        <w:rPr>
          <w:rStyle w:val="nfase"/>
          <w:i w:val="0"/>
          <w:iCs w:val="0"/>
        </w:rPr>
        <w:t>JOUE L 100 de 28.03.2022, p. 54.</w:t>
      </w:r>
      <w:r w:rsidRPr="00DB05F0">
        <w:rPr>
          <w:rStyle w:val="Refdenotaderodap"/>
          <w:lang w:val="en-US"/>
        </w:rPr>
        <w:footnoteReference w:id="38"/>
      </w:r>
    </w:p>
    <w:p w14:paraId="7E6D629F" w14:textId="77777777" w:rsidR="007E3D2E" w:rsidRDefault="007E3D2E" w:rsidP="00405B4E">
      <w:pPr>
        <w:pStyle w:val="title-bold"/>
        <w:shd w:val="clear" w:color="auto" w:fill="FFFFFF"/>
        <w:spacing w:before="0" w:beforeAutospacing="0" w:after="0" w:afterAutospacing="0" w:line="276" w:lineRule="auto"/>
        <w:ind w:firstLine="675"/>
        <w:jc w:val="both"/>
      </w:pPr>
      <w:r w:rsidRPr="00DB05F0">
        <w:t xml:space="preserve">Decisão do Conselho Europeu que </w:t>
      </w:r>
      <w:r>
        <w:t>re</w:t>
      </w:r>
      <w:r w:rsidRPr="00DB05F0">
        <w:t>elege presidente do Conselho Europeu</w:t>
      </w:r>
      <w:r>
        <w:t xml:space="preserve"> </w:t>
      </w:r>
      <w:r w:rsidRPr="00DB05F0">
        <w:rPr>
          <w:i/>
          <w:iCs/>
        </w:rPr>
        <w:t>Charles Michel</w:t>
      </w:r>
      <w:r>
        <w:t xml:space="preserve"> para o período compreendido entre 1 de junho de 2022 e 30 de novembro de 2024. O mandato de presidente do Conselho Europeu é renovável uma vez</w:t>
      </w:r>
      <w:r w:rsidRPr="00DB05F0">
        <w:t xml:space="preserve"> </w:t>
      </w:r>
      <w:r>
        <w:t>nos termos do artigo 15.º, n.º 5, do TUE e fora já eleito em 2 de julho de 2019</w:t>
      </w:r>
      <w:r>
        <w:rPr>
          <w:rStyle w:val="Refdenotaderodap"/>
        </w:rPr>
        <w:footnoteReference w:id="39"/>
      </w:r>
      <w:r>
        <w:t xml:space="preserve">. </w:t>
      </w:r>
    </w:p>
    <w:p w14:paraId="456D6CC4" w14:textId="77777777" w:rsidR="007E3D2E" w:rsidRPr="00B67C1E" w:rsidRDefault="007E3D2E" w:rsidP="00405B4E">
      <w:pPr>
        <w:pStyle w:val="title-bold"/>
        <w:shd w:val="clear" w:color="auto" w:fill="FFFFFF"/>
        <w:spacing w:before="0" w:beforeAutospacing="0" w:after="0" w:afterAutospacing="0" w:line="276" w:lineRule="auto"/>
        <w:ind w:firstLine="675"/>
        <w:jc w:val="both"/>
      </w:pPr>
    </w:p>
    <w:p w14:paraId="11F2708D" w14:textId="77777777" w:rsidR="007E3D2E" w:rsidRPr="00832F24" w:rsidRDefault="007E3D2E" w:rsidP="00405B4E">
      <w:pPr>
        <w:spacing w:line="276" w:lineRule="auto"/>
      </w:pPr>
      <w:bookmarkStart w:id="14" w:name="_Hlk99436855"/>
      <w:r w:rsidRPr="00832F24">
        <w:rPr>
          <w:color w:val="000000"/>
          <w:lang w:eastAsia="en-US"/>
        </w:rPr>
        <w:t xml:space="preserve">Documento </w:t>
      </w:r>
      <w:proofErr w:type="gramStart"/>
      <w:r w:rsidRPr="00832F24">
        <w:rPr>
          <w:color w:val="000000"/>
          <w:lang w:eastAsia="en-US"/>
        </w:rPr>
        <w:t>C(</w:t>
      </w:r>
      <w:proofErr w:type="gramEnd"/>
      <w:r w:rsidRPr="00832F24">
        <w:rPr>
          <w:color w:val="000000"/>
          <w:lang w:eastAsia="en-US"/>
        </w:rPr>
        <w:t xml:space="preserve">2022) </w:t>
      </w:r>
      <w:r w:rsidRPr="00832F24">
        <w:rPr>
          <w:color w:val="000000"/>
        </w:rPr>
        <w:t>127</w:t>
      </w:r>
      <w:r w:rsidRPr="00832F24">
        <w:rPr>
          <w:color w:val="000000"/>
          <w:lang w:eastAsia="en-US"/>
        </w:rPr>
        <w:t xml:space="preserve"> final</w:t>
      </w:r>
      <w:r w:rsidRPr="00832F24">
        <w:rPr>
          <w:color w:val="000000"/>
        </w:rPr>
        <w:t xml:space="preserve"> de 28.03.2022, 1</w:t>
      </w:r>
      <w:r>
        <w:rPr>
          <w:color w:val="000000"/>
        </w:rPr>
        <w:t>2</w:t>
      </w:r>
      <w:r w:rsidRPr="00832F24">
        <w:rPr>
          <w:color w:val="000000"/>
        </w:rPr>
        <w:t xml:space="preserve"> </w:t>
      </w:r>
      <w:r w:rsidRPr="00832F24">
        <w:t>páginas.</w:t>
      </w:r>
      <w:r w:rsidRPr="00832F24">
        <w:rPr>
          <w:rStyle w:val="Refdenotaderodap"/>
        </w:rPr>
        <w:footnoteReference w:id="40"/>
      </w:r>
    </w:p>
    <w:p w14:paraId="1F4FC013" w14:textId="5EF9EBED" w:rsidR="007E3D2E" w:rsidRPr="008D593C" w:rsidRDefault="007E3D2E" w:rsidP="008D593C">
      <w:pPr>
        <w:spacing w:line="276" w:lineRule="auto"/>
        <w:ind w:firstLine="708"/>
        <w:jc w:val="both"/>
        <w:rPr>
          <w:color w:val="333333"/>
        </w:rPr>
      </w:pPr>
      <w:r w:rsidRPr="00832F24">
        <w:rPr>
          <w:color w:val="000000"/>
        </w:rPr>
        <w:t xml:space="preserve">Relatório da Comissão ao </w:t>
      </w:r>
      <w:r w:rsidRPr="00832F24">
        <w:t xml:space="preserve">Parlamento Europeu, ao Conselho, ao Comité Económico e Social Europeu e ao Comité das Regiões </w:t>
      </w:r>
      <w:r w:rsidRPr="004356BF">
        <w:rPr>
          <w:color w:val="333333"/>
        </w:rPr>
        <w:t>sobre o Regulamento (UE) n.º 606/2013</w:t>
      </w:r>
      <w:r>
        <w:rPr>
          <w:color w:val="333333"/>
        </w:rPr>
        <w:t xml:space="preserve">. O </w:t>
      </w:r>
      <w:r w:rsidRPr="00C16A96">
        <w:t xml:space="preserve">Regulamento </w:t>
      </w:r>
      <w:r w:rsidRPr="00AE0F79">
        <w:t xml:space="preserve">(UE) </w:t>
      </w:r>
      <w:r>
        <w:t>n</w:t>
      </w:r>
      <w:r w:rsidRPr="00AE0F79">
        <w:t xml:space="preserve">.º 606/2013 </w:t>
      </w:r>
      <w:r>
        <w:t>do Parlamento Europeu e d</w:t>
      </w:r>
      <w:r w:rsidRPr="00AE0F79">
        <w:t>o Conselho d</w:t>
      </w:r>
      <w:r w:rsidRPr="00C16A96">
        <w:t>e 12 de junho de 2013</w:t>
      </w:r>
      <w:r>
        <w:t xml:space="preserve">, </w:t>
      </w:r>
      <w:r w:rsidRPr="00C16A96">
        <w:t>relativo ao reconhecimento mútuo de medidas de proteção em matéria civil estabelece as regras de um mecanismo simples e célere para o reconhecimento das medidas de proteção em matéria civil decretadas num Estado</w:t>
      </w:r>
      <w:r>
        <w:t>-M</w:t>
      </w:r>
      <w:r w:rsidRPr="00C16A96">
        <w:t>embro, atento o artigo 81.º, n.º</w:t>
      </w:r>
      <w:r w:rsidRPr="00C16A96">
        <w:rPr>
          <w:sz w:val="14"/>
          <w:szCs w:val="14"/>
        </w:rPr>
        <w:t xml:space="preserve"> </w:t>
      </w:r>
      <w:r w:rsidRPr="00C16A96">
        <w:t xml:space="preserve">1, do Tratado sobre o Funcionamento da União Europeia (TFUE) </w:t>
      </w:r>
      <w:r>
        <w:t xml:space="preserve">e </w:t>
      </w:r>
      <w:r w:rsidRPr="00C16A96">
        <w:t>estabelece que a cooperação judiciária nas matérias civis com incidência transfronteiriça assenta no princípio do reconhecimento mútuo das decisões judiciais e extrajudiciais</w:t>
      </w:r>
      <w:r>
        <w:t xml:space="preserve"> (</w:t>
      </w:r>
      <w:r w:rsidRPr="00C16A96">
        <w:t>JOUE L 181 de 29.06.2013, pp. 4 a 12</w:t>
      </w:r>
      <w:r>
        <w:t>)</w:t>
      </w:r>
      <w:r>
        <w:rPr>
          <w:rStyle w:val="Refdenotaderodap"/>
        </w:rPr>
        <w:footnoteReference w:id="41"/>
      </w:r>
      <w:r w:rsidRPr="00C16A96">
        <w:t>.</w:t>
      </w:r>
    </w:p>
    <w:p w14:paraId="009706ED" w14:textId="77777777" w:rsidR="007E3D2E" w:rsidRDefault="007E3D2E" w:rsidP="00405B4E">
      <w:pPr>
        <w:spacing w:line="276" w:lineRule="auto"/>
        <w:jc w:val="both"/>
        <w:rPr>
          <w:b/>
        </w:rPr>
      </w:pPr>
      <w:bookmarkStart w:id="15" w:name="_Hlk100214037"/>
    </w:p>
    <w:p w14:paraId="3CF15B62" w14:textId="77777777" w:rsidR="007E3D2E" w:rsidRPr="00A32044" w:rsidRDefault="007E3D2E" w:rsidP="00405B4E">
      <w:pPr>
        <w:spacing w:line="276" w:lineRule="auto"/>
        <w:jc w:val="both"/>
      </w:pPr>
      <w:r w:rsidRPr="00A32044">
        <w:rPr>
          <w:b/>
        </w:rPr>
        <w:t>REGULAMENTO (UE) 2022/555 DO CONSELHO</w:t>
      </w:r>
      <w:r w:rsidRPr="00A32044">
        <w:rPr>
          <w:bCs/>
        </w:rPr>
        <w:t xml:space="preserve"> de </w:t>
      </w:r>
      <w:r w:rsidRPr="00A32044">
        <w:t>5 de abril de 2022</w:t>
      </w:r>
      <w:r w:rsidRPr="00A32044">
        <w:rPr>
          <w:bCs/>
        </w:rPr>
        <w:t>, no JOUE L 108 I de 07.04.2022, pp. 1 a 12</w:t>
      </w:r>
      <w:r w:rsidRPr="00A32044">
        <w:rPr>
          <w:rStyle w:val="Refdenotaderodap"/>
          <w:bCs/>
        </w:rPr>
        <w:footnoteReference w:id="42"/>
      </w:r>
      <w:r w:rsidRPr="00A32044">
        <w:rPr>
          <w:bCs/>
        </w:rPr>
        <w:t>.</w:t>
      </w:r>
      <w:bookmarkEnd w:id="14"/>
    </w:p>
    <w:p w14:paraId="124B9BAB" w14:textId="7AE55D7C" w:rsidR="007E3D2E" w:rsidRPr="000E0DE7" w:rsidRDefault="007E3D2E" w:rsidP="00405B4E">
      <w:pPr>
        <w:spacing w:line="276" w:lineRule="auto"/>
        <w:ind w:firstLine="708"/>
        <w:jc w:val="both"/>
        <w:rPr>
          <w:bCs/>
        </w:rPr>
      </w:pPr>
      <w:r w:rsidRPr="00A32044">
        <w:rPr>
          <w:bCs/>
        </w:rPr>
        <w:t xml:space="preserve">Regulamento que altera o Regulamento (CE) n.º 168/2007 </w:t>
      </w:r>
      <w:r w:rsidRPr="00A32044">
        <w:t>do Conselho, de 15 de Fevereiro de 2007</w:t>
      </w:r>
      <w:r w:rsidRPr="00A32044">
        <w:rPr>
          <w:bCs/>
        </w:rPr>
        <w:t xml:space="preserve"> (JOUE L 53 de 22.02.2007, pp. 1 a 14)</w:t>
      </w:r>
      <w:r w:rsidRPr="00A32044">
        <w:rPr>
          <w:rStyle w:val="Refdenotaderodap"/>
          <w:bCs/>
        </w:rPr>
        <w:footnoteReference w:id="43"/>
      </w:r>
      <w:r w:rsidRPr="00A32044">
        <w:rPr>
          <w:bCs/>
        </w:rPr>
        <w:t xml:space="preserve"> que cria a Agência dos Direitos Fundamentais da União Europeia (FRA)</w:t>
      </w:r>
      <w:r w:rsidRPr="00A32044">
        <w:rPr>
          <w:rStyle w:val="Refdenotaderodap"/>
          <w:bCs/>
        </w:rPr>
        <w:footnoteReference w:id="44"/>
      </w:r>
      <w:r w:rsidRPr="00A32044">
        <w:rPr>
          <w:bCs/>
        </w:rPr>
        <w:t>.</w:t>
      </w:r>
      <w:r w:rsidR="00A32044">
        <w:rPr>
          <w:bCs/>
        </w:rPr>
        <w:t xml:space="preserve"> Esta agência tem o objetivo de fornecer assistência em matéria de direitos fundamentais às instituições, órgãos e organismos da União e aos Estados-Membros.</w:t>
      </w:r>
    </w:p>
    <w:bookmarkEnd w:id="15"/>
    <w:p w14:paraId="799F9E9F" w14:textId="0FFA0D48" w:rsidR="007E3D2E" w:rsidRDefault="007E3D2E" w:rsidP="00405B4E">
      <w:pPr>
        <w:spacing w:line="276" w:lineRule="auto"/>
      </w:pPr>
    </w:p>
    <w:p w14:paraId="06DC2A6C" w14:textId="444B826E" w:rsidR="00A32044" w:rsidRPr="00A32044" w:rsidRDefault="00A32044" w:rsidP="00405B4E">
      <w:pPr>
        <w:spacing w:line="276" w:lineRule="auto"/>
      </w:pPr>
      <w:r w:rsidRPr="00A32044">
        <w:rPr>
          <w:b/>
          <w:bCs/>
          <w:color w:val="000000"/>
        </w:rPr>
        <w:t>DECISÃO (UE) 2022/666 DA COMISSÃO</w:t>
      </w:r>
      <w:r w:rsidRPr="00A32044">
        <w:rPr>
          <w:color w:val="000000"/>
        </w:rPr>
        <w:t>, de 12 de março de 2022, JOUE L 121, de 22.04.2022, pp. 36 e 37.</w:t>
      </w:r>
      <w:r w:rsidRPr="00A32044">
        <w:rPr>
          <w:rStyle w:val="Refdenotaderodap"/>
          <w:color w:val="333333"/>
        </w:rPr>
        <w:t xml:space="preserve"> </w:t>
      </w:r>
      <w:r w:rsidRPr="00A32044">
        <w:rPr>
          <w:rStyle w:val="Refdenotaderodap"/>
          <w:color w:val="333333"/>
        </w:rPr>
        <w:footnoteReference w:id="45"/>
      </w:r>
    </w:p>
    <w:p w14:paraId="1592E3AC" w14:textId="5C494AE7" w:rsidR="00A32044" w:rsidRDefault="00A32044" w:rsidP="00A32044">
      <w:pPr>
        <w:spacing w:line="276" w:lineRule="auto"/>
        <w:jc w:val="both"/>
      </w:pPr>
      <w:r>
        <w:lastRenderedPageBreak/>
        <w:tab/>
        <w:t xml:space="preserve">Decisão nomeia dois membros e cinco suplentes do Comité das Regiões, propostos pela República Portuguesa, pelo período remanescente do mandato, até 25 de janeiro de 2025. </w:t>
      </w:r>
    </w:p>
    <w:bookmarkEnd w:id="9"/>
    <w:p w14:paraId="37042190" w14:textId="77777777" w:rsidR="007E3D2E" w:rsidRPr="00250813" w:rsidRDefault="007E3D2E" w:rsidP="00405B4E">
      <w:pPr>
        <w:spacing w:line="276" w:lineRule="auto"/>
      </w:pPr>
    </w:p>
    <w:p w14:paraId="4E23FA26" w14:textId="7AB274F6" w:rsidR="005B1C8E" w:rsidRDefault="007E3D2E" w:rsidP="00FC0C0D">
      <w:pPr>
        <w:spacing w:line="276" w:lineRule="auto"/>
      </w:pPr>
      <w:r w:rsidRPr="00250813">
        <w:t>27 de abril de 2022</w:t>
      </w:r>
    </w:p>
    <w:p w14:paraId="506210D4" w14:textId="01572E3B" w:rsidR="007E3D2E" w:rsidRPr="008D593C" w:rsidRDefault="00A54561" w:rsidP="00FC0C0D">
      <w:pPr>
        <w:spacing w:line="276" w:lineRule="auto"/>
        <w:ind w:firstLine="708"/>
        <w:jc w:val="both"/>
      </w:pPr>
      <w:r>
        <w:t xml:space="preserve">Comissão </w:t>
      </w:r>
      <w:r w:rsidR="005B1C8E">
        <w:t>Eur</w:t>
      </w:r>
      <w:r>
        <w:t xml:space="preserve">opeia enviou </w:t>
      </w:r>
      <w:r w:rsidR="005B1C8E">
        <w:t xml:space="preserve">carta formal de </w:t>
      </w:r>
      <w:r>
        <w:t>notificação à Hungria</w:t>
      </w:r>
      <w:r w:rsidR="005B1C8E">
        <w:t xml:space="preserve">. Esta carta confirma a ativação do mecanismo de condicionalidade do </w:t>
      </w:r>
      <w:r w:rsidR="00FC0C0D">
        <w:t>E</w:t>
      </w:r>
      <w:r w:rsidR="005B1C8E">
        <w:t>stado de direito contra este Estado-Membro. A Hungria tem sistematicamente incumprido os valores da União, do estado de direito e também pela inexistência de uma estratégia de combate à fraude e corrupção. Deste modo, devido à má utilização dos fundos europeus, que colocam em causa o orçamento da União, deverá a Comissão avançar com o mecanismo e suspender a transferência de fundos para a Hungria.</w:t>
      </w:r>
      <w:r w:rsidR="007E3D2E" w:rsidRPr="00250813">
        <w:rPr>
          <w:rStyle w:val="Refdenotaderodap"/>
        </w:rPr>
        <w:footnoteReference w:id="46"/>
      </w:r>
    </w:p>
    <w:p w14:paraId="285A81D9" w14:textId="77777777" w:rsidR="00A54561" w:rsidRDefault="00A54561" w:rsidP="00405B4E">
      <w:pPr>
        <w:shd w:val="clear" w:color="auto" w:fill="FFFFFF"/>
        <w:spacing w:line="276" w:lineRule="auto"/>
        <w:rPr>
          <w:color w:val="333333"/>
        </w:rPr>
      </w:pPr>
      <w:bookmarkStart w:id="17" w:name="_Hlk102374252"/>
    </w:p>
    <w:p w14:paraId="5D2C78BE" w14:textId="798F2C19" w:rsidR="007E3D2E" w:rsidRPr="00FE218A" w:rsidRDefault="007E3D2E" w:rsidP="00405B4E">
      <w:pPr>
        <w:shd w:val="clear" w:color="auto" w:fill="FFFFFF"/>
        <w:spacing w:line="276" w:lineRule="auto"/>
        <w:rPr>
          <w:color w:val="333333"/>
        </w:rPr>
      </w:pPr>
      <w:r w:rsidRPr="00FE218A">
        <w:rPr>
          <w:color w:val="333333"/>
        </w:rPr>
        <w:t>JO</w:t>
      </w:r>
      <w:r>
        <w:rPr>
          <w:color w:val="333333"/>
        </w:rPr>
        <w:t>UE</w:t>
      </w:r>
      <w:r w:rsidRPr="00FE218A">
        <w:rPr>
          <w:color w:val="333333"/>
        </w:rPr>
        <w:t xml:space="preserve"> L 128 de </w:t>
      </w:r>
      <w:r>
        <w:rPr>
          <w:color w:val="333333"/>
        </w:rPr>
        <w:t>0</w:t>
      </w:r>
      <w:r w:rsidRPr="00FE218A">
        <w:rPr>
          <w:color w:val="333333"/>
        </w:rPr>
        <w:t>2.</w:t>
      </w:r>
      <w:r>
        <w:rPr>
          <w:color w:val="333333"/>
        </w:rPr>
        <w:t>0</w:t>
      </w:r>
      <w:r w:rsidRPr="00FE218A">
        <w:rPr>
          <w:color w:val="333333"/>
        </w:rPr>
        <w:t>5.2022, p</w:t>
      </w:r>
      <w:r>
        <w:rPr>
          <w:color w:val="333333"/>
        </w:rPr>
        <w:t>p</w:t>
      </w:r>
      <w:r w:rsidRPr="00FE218A">
        <w:rPr>
          <w:color w:val="333333"/>
        </w:rPr>
        <w:t>. 102</w:t>
      </w:r>
      <w:r>
        <w:rPr>
          <w:color w:val="333333"/>
        </w:rPr>
        <w:t xml:space="preserve"> a </w:t>
      </w:r>
      <w:r w:rsidRPr="00FE218A">
        <w:rPr>
          <w:color w:val="333333"/>
        </w:rPr>
        <w:t>113</w:t>
      </w:r>
      <w:bookmarkEnd w:id="17"/>
      <w:r w:rsidRPr="00EB4E5E">
        <w:rPr>
          <w:color w:val="333333"/>
        </w:rPr>
        <w:t>.</w:t>
      </w:r>
      <w:r w:rsidRPr="00EB4E5E">
        <w:rPr>
          <w:rStyle w:val="Refdenotaderodap"/>
          <w:color w:val="333333"/>
        </w:rPr>
        <w:footnoteReference w:id="47"/>
      </w:r>
    </w:p>
    <w:p w14:paraId="0E21082A" w14:textId="77777777" w:rsidR="007E3D2E" w:rsidRPr="00FE218A" w:rsidRDefault="007E3D2E" w:rsidP="00405B4E">
      <w:pPr>
        <w:pStyle w:val="oj-normal"/>
        <w:shd w:val="clear" w:color="auto" w:fill="FFFFFF"/>
        <w:spacing w:before="0" w:beforeAutospacing="0" w:after="0" w:afterAutospacing="0" w:line="276" w:lineRule="auto"/>
        <w:ind w:firstLine="708"/>
        <w:jc w:val="both"/>
        <w:rPr>
          <w:color w:val="333333"/>
        </w:rPr>
      </w:pPr>
      <w:r w:rsidRPr="00EB4E5E">
        <w:rPr>
          <w:color w:val="333333"/>
        </w:rPr>
        <w:t xml:space="preserve">Publicação do </w:t>
      </w:r>
      <w:r w:rsidRPr="00FE218A">
        <w:rPr>
          <w:color w:val="333333"/>
        </w:rPr>
        <w:t>Código de Conduta aplicável aos Membros e antigos Membros do Tribunal</w:t>
      </w:r>
      <w:r w:rsidRPr="00EB4E5E">
        <w:rPr>
          <w:color w:val="333333"/>
        </w:rPr>
        <w:t xml:space="preserve"> de Contas da União Europeia. Os membros do TCE assumem o compromisso solene de respeitar, durante o exercício das suas funções e após a cessação destas, os deveres decorrentes do cargo e têm uma responsabilidade especial no que diz respeito a questões de ética, uma vez que, através do seu exemplo, exercem uma influência significativa na cultura da organização. Nos termos d</w:t>
      </w:r>
      <w:r w:rsidRPr="00EB4E5E">
        <w:t>os artigos 285.º, 286.º e 339.º do TFUE. Este Código de Conduta faz parte das Normas de Execução</w:t>
      </w:r>
      <w:r>
        <w:rPr>
          <w:rStyle w:val="Refdenotaderodap"/>
        </w:rPr>
        <w:footnoteReference w:id="48"/>
      </w:r>
      <w:r w:rsidRPr="00EB4E5E">
        <w:t xml:space="preserve"> do Regulamento Interno do Tribunal</w:t>
      </w:r>
      <w:r>
        <w:rPr>
          <w:rStyle w:val="Refdenotaderodap"/>
        </w:rPr>
        <w:footnoteReference w:id="49"/>
      </w:r>
      <w:r w:rsidRPr="00EB4E5E">
        <w:t>, das quais constitui um anexo, e revoga e substitui o Código de Conduta dos Membros do Tribunal de 10 de fevereiro de 2022</w:t>
      </w:r>
      <w:r>
        <w:t xml:space="preserve"> (</w:t>
      </w:r>
      <w:r w:rsidRPr="009D3C4F">
        <w:t>JO</w:t>
      </w:r>
      <w:r>
        <w:t>UE</w:t>
      </w:r>
      <w:r w:rsidRPr="009D3C4F">
        <w:t xml:space="preserve"> L 46 de 25.</w:t>
      </w:r>
      <w:r>
        <w:t>0</w:t>
      </w:r>
      <w:r w:rsidRPr="009D3C4F">
        <w:t>2.2022, p</w:t>
      </w:r>
      <w:r>
        <w:t>p</w:t>
      </w:r>
      <w:r w:rsidRPr="009D3C4F">
        <w:t>. 145</w:t>
      </w:r>
      <w:r>
        <w:t xml:space="preserve"> a </w:t>
      </w:r>
      <w:r w:rsidRPr="009D3C4F">
        <w:t>157</w:t>
      </w:r>
      <w:r>
        <w:t>)</w:t>
      </w:r>
      <w:r w:rsidRPr="009D3C4F">
        <w:rPr>
          <w:rStyle w:val="Refdenotaderodap"/>
        </w:rPr>
        <w:footnoteReference w:id="50"/>
      </w:r>
      <w:r w:rsidRPr="00EB4E5E">
        <w:t>.</w:t>
      </w:r>
      <w:r>
        <w:t xml:space="preserve"> </w:t>
      </w:r>
      <w:r>
        <w:rPr>
          <w:rStyle w:val="Refdenotaderodap"/>
        </w:rPr>
        <w:footnoteReference w:id="51"/>
      </w:r>
      <w:r>
        <w:t xml:space="preserve">                            </w:t>
      </w:r>
    </w:p>
    <w:p w14:paraId="2442DF65" w14:textId="77777777" w:rsidR="007E3D2E" w:rsidRDefault="007E3D2E" w:rsidP="00405B4E">
      <w:pPr>
        <w:spacing w:line="276" w:lineRule="auto"/>
        <w:ind w:right="-710"/>
        <w:rPr>
          <w:sz w:val="20"/>
          <w:szCs w:val="20"/>
        </w:rPr>
      </w:pPr>
    </w:p>
    <w:p w14:paraId="3480D8A5" w14:textId="77777777" w:rsidR="007E3D2E" w:rsidRPr="00462C15" w:rsidRDefault="007E3D2E" w:rsidP="00405B4E">
      <w:pPr>
        <w:shd w:val="clear" w:color="auto" w:fill="FFFFFF"/>
        <w:spacing w:line="276" w:lineRule="auto"/>
        <w:jc w:val="both"/>
        <w:rPr>
          <w:color w:val="333333"/>
        </w:rPr>
      </w:pPr>
      <w:bookmarkStart w:id="21" w:name="_Hlk102634361"/>
      <w:r w:rsidRPr="00462C15">
        <w:rPr>
          <w:color w:val="333333"/>
          <w:shd w:val="clear" w:color="auto" w:fill="FFFFFF"/>
        </w:rPr>
        <w:t>PARLAMENTO EUROPEU 2022/C 184/11,</w:t>
      </w:r>
      <w:r w:rsidRPr="00462C15">
        <w:t xml:space="preserve"> </w:t>
      </w:r>
      <w:r w:rsidRPr="00462C15">
        <w:rPr>
          <w:color w:val="333333"/>
        </w:rPr>
        <w:t>JOUE C 184 de 05.05.2022, pp. 154 a 158.</w:t>
      </w:r>
      <w:r w:rsidRPr="00462C15">
        <w:rPr>
          <w:rStyle w:val="Refdenotaderodap"/>
          <w:color w:val="333333"/>
        </w:rPr>
        <w:footnoteReference w:id="52"/>
      </w:r>
    </w:p>
    <w:p w14:paraId="4E03F933" w14:textId="193A1ABD" w:rsidR="007E3D2E" w:rsidRDefault="007E3D2E" w:rsidP="00D6216A">
      <w:pPr>
        <w:shd w:val="clear" w:color="auto" w:fill="FFFFFF"/>
        <w:spacing w:line="276" w:lineRule="auto"/>
        <w:ind w:firstLine="708"/>
        <w:jc w:val="both"/>
        <w:rPr>
          <w:color w:val="333333"/>
        </w:rPr>
      </w:pPr>
      <w:r w:rsidRPr="00462C15">
        <w:rPr>
          <w:color w:val="333333"/>
          <w:shd w:val="clear" w:color="auto" w:fill="FFFFFF"/>
        </w:rPr>
        <w:t xml:space="preserve">Resolução do Parlamento Europeu, </w:t>
      </w:r>
      <w:r w:rsidRPr="00462C15">
        <w:rPr>
          <w:color w:val="333333"/>
        </w:rPr>
        <w:t xml:space="preserve">de 21 de outubro de 2021, sobre a crise do Estado de direito na Polónia e o primado do direito da UE. </w:t>
      </w:r>
      <w:r w:rsidR="00D6216A" w:rsidRPr="00462C15">
        <w:rPr>
          <w:color w:val="333333"/>
        </w:rPr>
        <w:t>Nesta resolução, o Parlamento lamenta a decisão tomada pelo “Tribunal Constitucional” ilegítimo</w:t>
      </w:r>
      <w:r w:rsidR="00462C15" w:rsidRPr="00462C15">
        <w:rPr>
          <w:color w:val="333333"/>
        </w:rPr>
        <w:t xml:space="preserve"> que colocou em causa o primado do direito da UE e representou um ataque aos valores e legislação europeia. </w:t>
      </w:r>
    </w:p>
    <w:p w14:paraId="65209009" w14:textId="77777777" w:rsidR="00462C15" w:rsidRPr="00462C15" w:rsidRDefault="00462C15" w:rsidP="00D6216A">
      <w:pPr>
        <w:shd w:val="clear" w:color="auto" w:fill="FFFFFF"/>
        <w:spacing w:line="276" w:lineRule="auto"/>
        <w:ind w:firstLine="708"/>
        <w:jc w:val="both"/>
        <w:rPr>
          <w:color w:val="333333"/>
        </w:rPr>
      </w:pPr>
    </w:p>
    <w:bookmarkEnd w:id="21"/>
    <w:p w14:paraId="71B5E005" w14:textId="77777777" w:rsidR="007E3D2E" w:rsidRDefault="007E3D2E" w:rsidP="00405B4E">
      <w:pPr>
        <w:spacing w:line="276" w:lineRule="auto"/>
        <w:ind w:right="-710"/>
        <w:rPr>
          <w:sz w:val="20"/>
          <w:szCs w:val="20"/>
        </w:rPr>
      </w:pPr>
      <w:r>
        <w:fldChar w:fldCharType="begin"/>
      </w:r>
      <w:r>
        <w:instrText xml:space="preserve"> INCLUDEPICTURE "https://portugal.representation.ec.europa.eu/sites/default/files/2022-04/logo%201.png" \* MERGEFORMATINET </w:instrText>
      </w:r>
      <w:r>
        <w:fldChar w:fldCharType="separate"/>
      </w:r>
      <w:r w:rsidRPr="00FD4F0C">
        <w:rPr>
          <w:noProof/>
        </w:rPr>
        <w:drawing>
          <wp:inline distT="0" distB="0" distL="0" distR="0" wp14:anchorId="10375959" wp14:editId="366B6507">
            <wp:extent cx="4660900" cy="1778000"/>
            <wp:effectExtent l="0" t="0" r="0" b="0"/>
            <wp:docPr id="4" name="Imagem 6" descr="9 de maio 20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m 6" descr="9 de maio 2022"/>
                    <pic:cNvPicPr>
                      <a:picLocks/>
                    </pic:cNvPicPr>
                  </pic:nvPicPr>
                  <pic:blipFill>
                    <a:blip r:embed="rId9">
                      <a:extLst>
                        <a:ext uri="{28A0092B-C50C-407E-A947-70E740481C1C}">
                          <a14:useLocalDpi xmlns:a14="http://schemas.microsoft.com/office/drawing/2010/main" val="0"/>
                        </a:ext>
                      </a:extLst>
                    </a:blip>
                    <a:srcRect l="10155" t="27454" r="6683" b="27818"/>
                    <a:stretch>
                      <a:fillRect/>
                    </a:stretch>
                  </pic:blipFill>
                  <pic:spPr bwMode="auto">
                    <a:xfrm>
                      <a:off x="0" y="0"/>
                      <a:ext cx="4660900" cy="1778000"/>
                    </a:xfrm>
                    <a:prstGeom prst="rect">
                      <a:avLst/>
                    </a:prstGeom>
                    <a:noFill/>
                    <a:ln>
                      <a:noFill/>
                    </a:ln>
                  </pic:spPr>
                </pic:pic>
              </a:graphicData>
            </a:graphic>
          </wp:inline>
        </w:drawing>
      </w:r>
      <w:r>
        <w:fldChar w:fldCharType="end"/>
      </w:r>
      <w:r>
        <w:t xml:space="preserve"> </w:t>
      </w:r>
      <w:r w:rsidRPr="006569E0">
        <w:rPr>
          <w:color w:val="1F497D"/>
          <w:sz w:val="16"/>
          <w:szCs w:val="16"/>
        </w:rPr>
        <w:t>©UE, 2022</w:t>
      </w:r>
      <w:r>
        <w:rPr>
          <w:rStyle w:val="Refdenotaderodap"/>
        </w:rPr>
        <w:footnoteReference w:id="53"/>
      </w:r>
    </w:p>
    <w:p w14:paraId="69600438" w14:textId="77777777" w:rsidR="007E3D2E" w:rsidRDefault="007E3D2E" w:rsidP="00405B4E">
      <w:pPr>
        <w:spacing w:line="276" w:lineRule="auto"/>
        <w:rPr>
          <w:sz w:val="20"/>
          <w:szCs w:val="20"/>
        </w:rPr>
      </w:pPr>
    </w:p>
    <w:p w14:paraId="238EC178" w14:textId="77777777" w:rsidR="007E3D2E" w:rsidRDefault="007E3D2E" w:rsidP="00405B4E">
      <w:pPr>
        <w:autoSpaceDE w:val="0"/>
        <w:autoSpaceDN w:val="0"/>
        <w:adjustRightInd w:val="0"/>
        <w:spacing w:line="276" w:lineRule="auto"/>
        <w:jc w:val="both"/>
        <w:rPr>
          <w:color w:val="000000"/>
        </w:rPr>
      </w:pPr>
      <w:bookmarkStart w:id="22" w:name="_Hlk102372527"/>
      <w:r>
        <w:rPr>
          <w:color w:val="000000"/>
        </w:rPr>
        <w:t>9 de Maio de 2022</w:t>
      </w:r>
    </w:p>
    <w:p w14:paraId="36A0EC5D" w14:textId="77777777" w:rsidR="007E3D2E" w:rsidRDefault="007E3D2E" w:rsidP="00405B4E">
      <w:pPr>
        <w:autoSpaceDE w:val="0"/>
        <w:autoSpaceDN w:val="0"/>
        <w:adjustRightInd w:val="0"/>
        <w:spacing w:line="276" w:lineRule="auto"/>
        <w:ind w:firstLine="708"/>
        <w:jc w:val="both"/>
      </w:pPr>
      <w:r w:rsidRPr="00EF7E7F">
        <w:t xml:space="preserve">O Dia da Europa é comemorado nesta data passados </w:t>
      </w:r>
      <w:r>
        <w:t>72</w:t>
      </w:r>
      <w:r w:rsidRPr="00EF7E7F">
        <w:t xml:space="preserve"> anos de 9 de Maio de 1950 quando nasceu a ideia da Europa comunitária. Nesse dia, em Paris, </w:t>
      </w:r>
      <w:r w:rsidRPr="00EF7E7F">
        <w:rPr>
          <w:i/>
        </w:rPr>
        <w:t xml:space="preserve">Robert </w:t>
      </w:r>
      <w:proofErr w:type="spellStart"/>
      <w:r w:rsidRPr="00EF7E7F">
        <w:rPr>
          <w:i/>
        </w:rPr>
        <w:t>Schuman</w:t>
      </w:r>
      <w:proofErr w:type="spellEnd"/>
      <w:r w:rsidRPr="00205F87">
        <w:rPr>
          <w:rStyle w:val="Refdenotaderodap"/>
          <w:iCs/>
        </w:rPr>
        <w:footnoteReference w:id="54"/>
      </w:r>
      <w:r w:rsidRPr="00EF7E7F">
        <w:t xml:space="preserve">, Ministro dos Negócios Estrangeiros francês, leu e comentou à imprensa uma declaração redigida por </w:t>
      </w:r>
      <w:r w:rsidRPr="00EF7E7F">
        <w:rPr>
          <w:i/>
        </w:rPr>
        <w:t>Jean Monet</w:t>
      </w:r>
      <w:r w:rsidRPr="00205F87">
        <w:rPr>
          <w:rStyle w:val="Refdenotaderodap"/>
          <w:iCs/>
        </w:rPr>
        <w:footnoteReference w:id="55"/>
      </w:r>
      <w:r w:rsidRPr="00EF7E7F">
        <w:t xml:space="preserve">, que viria a ser conhecida como “Declaração </w:t>
      </w:r>
      <w:proofErr w:type="spellStart"/>
      <w:r w:rsidRPr="00EF7E7F">
        <w:t>Schuman</w:t>
      </w:r>
      <w:proofErr w:type="spellEnd"/>
      <w:r w:rsidRPr="00EF7E7F">
        <w:t>”</w:t>
      </w:r>
      <w:r w:rsidRPr="00EF7E7F">
        <w:rPr>
          <w:rStyle w:val="Refdenotaderodap"/>
        </w:rPr>
        <w:footnoteReference w:id="56"/>
      </w:r>
      <w:r w:rsidRPr="00EF7E7F">
        <w:t>. Esta proposta é considerada o começo da criação do que é hoje a União Europeia porque deu origem a criação da Comunidade Europeia do Carvão e do Aço (CECA) pelo Tratado de Paris 18 de Abril de 1951</w:t>
      </w:r>
      <w:r w:rsidRPr="00EF7E7F">
        <w:rPr>
          <w:rStyle w:val="Refdenotaderodap"/>
        </w:rPr>
        <w:footnoteReference w:id="57"/>
      </w:r>
      <w:r w:rsidRPr="00EF7E7F">
        <w:t>. A esta primeira organização supranacional seguiu-se em 1957, a criação de mais duas comunidades europeias, a CEEA e CEE, precursora da União Europeia. O dia 9 de maio é comemorado desde o Conselho Europeu de Milão, de junho de 1985 como um símbolo que une todos os países membros das Comunidades Europeias hoje na realidade mais vasta da União Europeia e, juntamente com a bandeira, o lema, o hino e a moeda, identificam a União como entidade política</w:t>
      </w:r>
      <w:r w:rsidRPr="00EF7E7F">
        <w:rPr>
          <w:rStyle w:val="Refdenotaderodap"/>
        </w:rPr>
        <w:footnoteReference w:id="58"/>
      </w:r>
      <w:r w:rsidRPr="00EF7E7F">
        <w:t>. No Dia da Europa é hábito desenvolverem-se atividades e festejos que aproximam a Europa dos seus cidadãos e os povos da União entre si.</w:t>
      </w:r>
    </w:p>
    <w:p w14:paraId="56988878" w14:textId="77777777" w:rsidR="007E3D2E" w:rsidRPr="004C3BBB" w:rsidRDefault="007E3D2E" w:rsidP="00405B4E">
      <w:pPr>
        <w:autoSpaceDE w:val="0"/>
        <w:autoSpaceDN w:val="0"/>
        <w:adjustRightInd w:val="0"/>
        <w:spacing w:line="276" w:lineRule="auto"/>
        <w:ind w:firstLine="708"/>
        <w:jc w:val="both"/>
      </w:pPr>
      <w:r w:rsidRPr="00DE6B78">
        <w:t>As instituições da UE convidam a participar numa série de atividades em linha e presenciais que decorrerão por todos os Estados-Membros da UE, bem como nas instituições da UE sediadas em Bruxelas, no Luxemburgo e em Estrasburgo</w:t>
      </w:r>
      <w:r w:rsidRPr="00DE6B78">
        <w:rPr>
          <w:rStyle w:val="Refdenotaderodap"/>
        </w:rPr>
        <w:footnoteReference w:id="59"/>
      </w:r>
      <w:r w:rsidRPr="00DE6B78">
        <w:t>. </w:t>
      </w:r>
      <w:bookmarkEnd w:id="22"/>
    </w:p>
    <w:p w14:paraId="34B857E2" w14:textId="77777777" w:rsidR="007E3D2E" w:rsidRPr="00F65C99" w:rsidRDefault="007E3D2E" w:rsidP="00405B4E">
      <w:pPr>
        <w:spacing w:line="276" w:lineRule="auto"/>
        <w:ind w:firstLine="708"/>
        <w:jc w:val="both"/>
        <w:rPr>
          <w:color w:val="000000"/>
        </w:rPr>
      </w:pPr>
      <w:bookmarkStart w:id="25" w:name="_Hlk102475051"/>
      <w:r w:rsidRPr="004C3BBB">
        <w:rPr>
          <w:color w:val="000000"/>
        </w:rPr>
        <w:t xml:space="preserve">Neste dia </w:t>
      </w:r>
      <w:r w:rsidRPr="00F65C99">
        <w:rPr>
          <w:color w:val="000000"/>
        </w:rPr>
        <w:t xml:space="preserve">será oficialmente encerrada </w:t>
      </w:r>
      <w:r w:rsidRPr="004C3BBB">
        <w:rPr>
          <w:color w:val="000000"/>
        </w:rPr>
        <w:t>a</w:t>
      </w:r>
      <w:r w:rsidRPr="00F65C99">
        <w:rPr>
          <w:color w:val="000000"/>
        </w:rPr>
        <w:t xml:space="preserve"> Conferência sobre o Futuro da Europa em Estrasburgo, altura em que os copresidentes do Conselho Executivo da Conferência </w:t>
      </w:r>
      <w:r w:rsidRPr="00F65C99">
        <w:rPr>
          <w:color w:val="000000"/>
        </w:rPr>
        <w:lastRenderedPageBreak/>
        <w:t>apresentarão um relatório final com estas propostas aos presidentes do Parlamento Europeu, do Conselho e da Comissão. As três instituições analisarão rapidamente a forma de dar seguimento efetivo a essas propostas, cada uma na sua esfera de competências e em conformidade com os Tratados.</w:t>
      </w:r>
      <w:r w:rsidRPr="004C3BBB">
        <w:rPr>
          <w:color w:val="000000"/>
        </w:rPr>
        <w:t xml:space="preserve"> </w:t>
      </w:r>
      <w:r w:rsidRPr="00F65C99">
        <w:rPr>
          <w:color w:val="000000"/>
        </w:rPr>
        <w:t>A Conferência sobre o Futuro da Europa foi um processo inventivo e inovador, que abriu um novo espaço de debate com os cidadãos para dar resposta aos desafios e prioridades da Europa.</w:t>
      </w:r>
      <w:r w:rsidRPr="004C3BBB">
        <w:rPr>
          <w:rStyle w:val="Refdenotaderodap"/>
          <w:color w:val="000000"/>
        </w:rPr>
        <w:footnoteReference w:id="60"/>
      </w:r>
    </w:p>
    <w:bookmarkEnd w:id="25"/>
    <w:p w14:paraId="1F104F59" w14:textId="033BBAAC" w:rsidR="007E3D2E" w:rsidRDefault="007E3D2E" w:rsidP="00405B4E">
      <w:pPr>
        <w:spacing w:line="276" w:lineRule="auto"/>
        <w:rPr>
          <w:sz w:val="20"/>
          <w:szCs w:val="20"/>
        </w:rPr>
      </w:pPr>
    </w:p>
    <w:p w14:paraId="41DC2CAB" w14:textId="77777777" w:rsidR="00462C15" w:rsidRDefault="00462C15" w:rsidP="008D593C">
      <w:pPr>
        <w:spacing w:line="276" w:lineRule="auto"/>
        <w:jc w:val="both"/>
        <w:rPr>
          <w:b/>
          <w:bCs/>
        </w:rPr>
      </w:pPr>
    </w:p>
    <w:p w14:paraId="43907AA5" w14:textId="77777777" w:rsidR="00462C15" w:rsidRDefault="00462C15" w:rsidP="008D593C">
      <w:pPr>
        <w:spacing w:line="276" w:lineRule="auto"/>
        <w:jc w:val="both"/>
        <w:rPr>
          <w:b/>
          <w:bCs/>
        </w:rPr>
      </w:pPr>
    </w:p>
    <w:p w14:paraId="2E99C6A6" w14:textId="36AA6FD1" w:rsidR="008D593C" w:rsidRDefault="008D593C" w:rsidP="008D593C">
      <w:pPr>
        <w:spacing w:line="276" w:lineRule="auto"/>
        <w:jc w:val="both"/>
      </w:pPr>
      <w:r w:rsidRPr="008D593C">
        <w:rPr>
          <w:b/>
          <w:bCs/>
        </w:rPr>
        <w:t>DECISÃO (UE) 2022/712 DA COMISSÃO</w:t>
      </w:r>
      <w:r w:rsidRPr="008D593C">
        <w:t xml:space="preserve">, </w:t>
      </w:r>
      <w:r>
        <w:t>de 27 de abril de 2022, JOUE L 133/15, de 10.05.2022, pp. 15 a 16.</w:t>
      </w:r>
      <w:r>
        <w:rPr>
          <w:rStyle w:val="Refdenotaderodap"/>
        </w:rPr>
        <w:footnoteReference w:id="61"/>
      </w:r>
    </w:p>
    <w:p w14:paraId="2574F94E" w14:textId="1583C0E1" w:rsidR="003C0B77" w:rsidRDefault="008D593C" w:rsidP="008D593C">
      <w:pPr>
        <w:spacing w:line="276" w:lineRule="auto"/>
        <w:ind w:firstLine="675"/>
        <w:jc w:val="both"/>
      </w:pPr>
      <w:r>
        <w:t>Decisão de execução relativa ao pedido de registo da iniciativa de cidadania europeia intitulada “</w:t>
      </w:r>
      <w:proofErr w:type="spellStart"/>
      <w:r>
        <w:t>End</w:t>
      </w:r>
      <w:proofErr w:type="spellEnd"/>
      <w:r>
        <w:t xml:space="preserve"> </w:t>
      </w:r>
      <w:proofErr w:type="spellStart"/>
      <w:r>
        <w:t>The</w:t>
      </w:r>
      <w:proofErr w:type="spellEnd"/>
      <w:r>
        <w:t xml:space="preserve"> </w:t>
      </w:r>
      <w:proofErr w:type="spellStart"/>
      <w:r>
        <w:t>Slaughter</w:t>
      </w:r>
      <w:proofErr w:type="spellEnd"/>
      <w:r>
        <w:t xml:space="preserve"> Age” (“Acabar com a Era dos Matadouros”) nos termos do Regulamento (UE) 2019/788 do Parlamento Europeu e do Conselho. Esta iniciativa tem como objetivos a exclusão da pecuária das atividades que beneficiam de subvenções agrícolas, inclusão de alternativas ecológicas e éticas, como a agricultura celular e as proteínas vegetais, bem como, a introdução de incentivos à produção e venda de produtos agrícolas de base vegetal e celular. </w:t>
      </w:r>
    </w:p>
    <w:p w14:paraId="7384E666" w14:textId="4C87CD97" w:rsidR="000A458D" w:rsidRDefault="000A458D" w:rsidP="000A458D">
      <w:pPr>
        <w:spacing w:line="276" w:lineRule="auto"/>
        <w:jc w:val="both"/>
      </w:pPr>
    </w:p>
    <w:p w14:paraId="6A3135D4" w14:textId="2E7B726F" w:rsidR="000A458D" w:rsidRDefault="000A458D" w:rsidP="000A458D">
      <w:pPr>
        <w:spacing w:line="276" w:lineRule="auto"/>
        <w:jc w:val="both"/>
      </w:pPr>
      <w:r>
        <w:t>12 de maio de 2022</w:t>
      </w:r>
    </w:p>
    <w:p w14:paraId="5AABB9F1" w14:textId="4FC06C29" w:rsidR="000A458D" w:rsidRPr="008D593C" w:rsidRDefault="000A458D" w:rsidP="000A458D">
      <w:pPr>
        <w:spacing w:line="276" w:lineRule="auto"/>
        <w:ind w:firstLine="708"/>
        <w:jc w:val="both"/>
      </w:pPr>
      <w:r>
        <w:t>A Comissão lançou uma consulta pública aberta para permitir a contribuição para a avaliação da Diretiva Responsabilidade Ambiental</w:t>
      </w:r>
      <w:r>
        <w:rPr>
          <w:rStyle w:val="Refdenotaderodap"/>
        </w:rPr>
        <w:footnoteReference w:id="62"/>
      </w:r>
      <w:r>
        <w:t>. Esta Diretiva com base no princípio do “poluidor-pagador”, serve de base legislativa à UE para a prevenção e reparação dos danos causados ao solo, à água e à biodiversidade. A consulta encontra-se aberta até ao dia 4 de agosto de 2022.</w:t>
      </w:r>
    </w:p>
    <w:p w14:paraId="458A4243" w14:textId="77777777" w:rsidR="007E3D2E" w:rsidRDefault="007E3D2E" w:rsidP="00405B4E">
      <w:pPr>
        <w:spacing w:line="276" w:lineRule="auto"/>
        <w:rPr>
          <w:sz w:val="20"/>
          <w:szCs w:val="20"/>
        </w:rPr>
      </w:pPr>
    </w:p>
    <w:p w14:paraId="641CCDD8" w14:textId="77777777" w:rsidR="007E3D2E" w:rsidRPr="002B6A1E" w:rsidRDefault="007E3D2E" w:rsidP="00405B4E">
      <w:pPr>
        <w:shd w:val="clear" w:color="auto" w:fill="FFFFFF"/>
        <w:spacing w:line="276" w:lineRule="auto"/>
      </w:pPr>
      <w:r w:rsidRPr="002B6A1E">
        <w:t>JOUE L 140 de 19.05.2022, pp. 14 a 59.</w:t>
      </w:r>
      <w:r w:rsidRPr="002B6A1E">
        <w:rPr>
          <w:rStyle w:val="Refdenotaderodap"/>
        </w:rPr>
        <w:footnoteReference w:id="63"/>
      </w:r>
    </w:p>
    <w:p w14:paraId="4011B893" w14:textId="77777777" w:rsidR="007E3D2E" w:rsidRPr="002B6A1E" w:rsidRDefault="007E3D2E" w:rsidP="00405B4E">
      <w:pPr>
        <w:shd w:val="clear" w:color="auto" w:fill="FFFFFF"/>
        <w:spacing w:line="276" w:lineRule="auto"/>
        <w:ind w:firstLine="708"/>
        <w:jc w:val="both"/>
      </w:pPr>
      <w:r w:rsidRPr="002B6A1E">
        <w:t xml:space="preserve">Publicação do Regimento do Comité Económico e Social Europeu de Maio de 2022. </w:t>
      </w:r>
    </w:p>
    <w:p w14:paraId="02E2C8D5" w14:textId="77777777" w:rsidR="007E3D2E" w:rsidRDefault="007E3D2E" w:rsidP="00405B4E">
      <w:pPr>
        <w:shd w:val="clear" w:color="auto" w:fill="FFFFFF"/>
        <w:spacing w:line="276" w:lineRule="auto"/>
        <w:ind w:firstLine="708"/>
        <w:jc w:val="both"/>
      </w:pPr>
      <w:r>
        <w:t>O Comité Económico e Social Europeu foi instituído pelos Tratados de Roma em 1957, e é um órgão consultivo da União Europeia, nos termos dos artigos 13.º, n.º -, do TUE e 300.º do TFUE. De harmonia com o disposto no artigo 303.º, § 2, do TFUE, o Comité estabelece o seu Regimento.</w:t>
      </w:r>
    </w:p>
    <w:p w14:paraId="513F364B" w14:textId="77777777" w:rsidR="007E3D2E" w:rsidRDefault="007E3D2E" w:rsidP="00405B4E">
      <w:pPr>
        <w:shd w:val="clear" w:color="auto" w:fill="FFFFFF"/>
        <w:spacing w:line="276" w:lineRule="auto"/>
        <w:ind w:firstLine="708"/>
        <w:jc w:val="both"/>
      </w:pPr>
      <w:r>
        <w:t xml:space="preserve">Vem substituir o anterior </w:t>
      </w:r>
      <w:r w:rsidRPr="007A4274">
        <w:t>Regimento do Comité Económico e Social Europeu</w:t>
      </w:r>
      <w:r>
        <w:t xml:space="preserve"> de</w:t>
      </w:r>
      <w:r w:rsidRPr="007A4274">
        <w:t xml:space="preserve"> </w:t>
      </w:r>
      <w:r w:rsidRPr="00850C3D">
        <w:t>Janeiro de 2021</w:t>
      </w:r>
      <w:r>
        <w:t>, no</w:t>
      </w:r>
      <w:r w:rsidRPr="00850C3D">
        <w:t xml:space="preserve"> </w:t>
      </w:r>
      <w:r w:rsidRPr="007A4274">
        <w:t>JO</w:t>
      </w:r>
      <w:r>
        <w:t>UE</w:t>
      </w:r>
      <w:r w:rsidRPr="007A4274">
        <w:t xml:space="preserve"> L 46 de 10.</w:t>
      </w:r>
      <w:r>
        <w:t>0</w:t>
      </w:r>
      <w:r w:rsidRPr="007A4274">
        <w:t>2.2021, p</w:t>
      </w:r>
      <w:r>
        <w:t>p</w:t>
      </w:r>
      <w:r w:rsidRPr="007A4274">
        <w:t>. 47</w:t>
      </w:r>
      <w:r>
        <w:t xml:space="preserve"> a </w:t>
      </w:r>
      <w:r w:rsidRPr="007A4274">
        <w:t>81</w:t>
      </w:r>
      <w:r w:rsidRPr="007A4274">
        <w:rPr>
          <w:rStyle w:val="Refdenotaderodap"/>
        </w:rPr>
        <w:footnoteReference w:id="64"/>
      </w:r>
      <w:r>
        <w:t>.</w:t>
      </w:r>
    </w:p>
    <w:p w14:paraId="496E8AFD" w14:textId="77777777" w:rsidR="007E3D2E" w:rsidRDefault="007E3D2E" w:rsidP="00405B4E">
      <w:pPr>
        <w:shd w:val="clear" w:color="auto" w:fill="FFFFFF"/>
        <w:spacing w:after="75" w:line="276" w:lineRule="auto"/>
        <w:rPr>
          <w:rFonts w:ascii="Roboto" w:hAnsi="Roboto"/>
          <w:color w:val="333333"/>
          <w:sz w:val="21"/>
          <w:szCs w:val="21"/>
        </w:rPr>
      </w:pPr>
    </w:p>
    <w:p w14:paraId="30D6F15E" w14:textId="77777777" w:rsidR="007E3D2E" w:rsidRPr="00832F24" w:rsidRDefault="007E3D2E" w:rsidP="00405B4E">
      <w:pPr>
        <w:spacing w:line="276" w:lineRule="auto"/>
      </w:pPr>
      <w:r w:rsidRPr="00832F24">
        <w:rPr>
          <w:color w:val="000000"/>
          <w:lang w:eastAsia="en-US"/>
        </w:rPr>
        <w:lastRenderedPageBreak/>
        <w:t xml:space="preserve">Documento </w:t>
      </w:r>
      <w:proofErr w:type="gramStart"/>
      <w:r w:rsidRPr="00832F24">
        <w:rPr>
          <w:color w:val="000000"/>
          <w:lang w:eastAsia="en-US"/>
        </w:rPr>
        <w:t>C(</w:t>
      </w:r>
      <w:proofErr w:type="gramEnd"/>
      <w:r w:rsidRPr="00832F24">
        <w:rPr>
          <w:color w:val="000000"/>
          <w:lang w:eastAsia="en-US"/>
        </w:rPr>
        <w:t xml:space="preserve">2022) </w:t>
      </w:r>
      <w:r w:rsidRPr="00832F24">
        <w:rPr>
          <w:color w:val="000000"/>
        </w:rPr>
        <w:t>2</w:t>
      </w:r>
      <w:r>
        <w:rPr>
          <w:color w:val="000000"/>
        </w:rPr>
        <w:t>24</w:t>
      </w:r>
      <w:r w:rsidRPr="00832F24">
        <w:rPr>
          <w:color w:val="000000"/>
          <w:lang w:eastAsia="en-US"/>
        </w:rPr>
        <w:t xml:space="preserve"> final</w:t>
      </w:r>
      <w:r w:rsidRPr="00832F24">
        <w:rPr>
          <w:color w:val="000000"/>
        </w:rPr>
        <w:t xml:space="preserve"> de </w:t>
      </w:r>
      <w:r>
        <w:rPr>
          <w:color w:val="000000"/>
        </w:rPr>
        <w:t>19</w:t>
      </w:r>
      <w:r w:rsidRPr="00832F24">
        <w:rPr>
          <w:color w:val="000000"/>
        </w:rPr>
        <w:t>.0</w:t>
      </w:r>
      <w:r>
        <w:rPr>
          <w:color w:val="000000"/>
        </w:rPr>
        <w:t>5</w:t>
      </w:r>
      <w:r w:rsidRPr="00832F24">
        <w:rPr>
          <w:color w:val="000000"/>
        </w:rPr>
        <w:t xml:space="preserve">.2022, </w:t>
      </w:r>
      <w:r>
        <w:rPr>
          <w:color w:val="000000"/>
        </w:rPr>
        <w:t>70</w:t>
      </w:r>
      <w:r w:rsidRPr="00832F24">
        <w:rPr>
          <w:color w:val="000000"/>
        </w:rPr>
        <w:t xml:space="preserve"> </w:t>
      </w:r>
      <w:r w:rsidRPr="00832F24">
        <w:t>páginas.</w:t>
      </w:r>
      <w:r w:rsidRPr="00832F24">
        <w:rPr>
          <w:rStyle w:val="Refdenotaderodap"/>
        </w:rPr>
        <w:footnoteReference w:id="65"/>
      </w:r>
    </w:p>
    <w:p w14:paraId="59A7EB8B" w14:textId="2567F76A" w:rsidR="00C810E9" w:rsidRDefault="007E3D2E" w:rsidP="00916203">
      <w:pPr>
        <w:shd w:val="clear" w:color="auto" w:fill="FFFFFF"/>
        <w:ind w:firstLine="708"/>
        <w:jc w:val="both"/>
        <w:rPr>
          <w:rFonts w:ascii="Arial" w:hAnsi="Arial" w:cs="Arial"/>
          <w:color w:val="000000"/>
          <w:sz w:val="27"/>
          <w:szCs w:val="27"/>
        </w:rPr>
      </w:pPr>
      <w:r>
        <w:rPr>
          <w:color w:val="000000"/>
        </w:rPr>
        <w:t>Comunicação</w:t>
      </w:r>
      <w:r w:rsidRPr="00832F24">
        <w:rPr>
          <w:color w:val="000000"/>
        </w:rPr>
        <w:t xml:space="preserve"> da Comissão ao </w:t>
      </w:r>
      <w:r w:rsidRPr="00832F24">
        <w:t xml:space="preserve">Parlamento Europeu, ao Conselho, ao Comité Económico e Social Europeu e ao Comité das Regiões </w:t>
      </w:r>
      <w:r w:rsidRPr="004356BF">
        <w:rPr>
          <w:color w:val="333333"/>
        </w:rPr>
        <w:t>sobre</w:t>
      </w:r>
      <w:r>
        <w:rPr>
          <w:color w:val="333333"/>
        </w:rPr>
        <w:t xml:space="preserve"> o </w:t>
      </w:r>
      <w:r w:rsidRPr="00A33817">
        <w:t xml:space="preserve">Painel de Avaliação da Justiça na UE de </w:t>
      </w:r>
      <w:r w:rsidRPr="00BB6187">
        <w:t>2022: dez anos de acompanhamento da eficácia dos sistemas judiciais. Na décima edição desta panorâmica anual que fornece dados comparativos sobre a eficiência, a qualidade e a independência dos sistemas judiciais nos Estados-Membros</w:t>
      </w:r>
      <w:r w:rsidRPr="00BB6187">
        <w:rPr>
          <w:rStyle w:val="Refdenotaderodap"/>
        </w:rPr>
        <w:footnoteReference w:id="66"/>
      </w:r>
      <w:r w:rsidRPr="00BB6187">
        <w:t>. Pela primeira vez, o painel de avaliação deste ano inclui também dados sobre os efeitos da pandemia de COVID-19 na eficiência dos sistemas judiciais e na acessibilidade das pessoas com deficiência à justiça, bem como um reforço da dimensão empresarial</w:t>
      </w:r>
      <w:r>
        <w:rPr>
          <w:rStyle w:val="Refdenotaderodap"/>
        </w:rPr>
        <w:footnoteReference w:id="67"/>
      </w:r>
      <w:r w:rsidRPr="00BB6187">
        <w:t>.</w:t>
      </w:r>
      <w:r>
        <w:rPr>
          <w:rFonts w:ascii="Arial" w:hAnsi="Arial" w:cs="Arial"/>
          <w:color w:val="000000"/>
          <w:sz w:val="27"/>
          <w:szCs w:val="27"/>
        </w:rPr>
        <w:t xml:space="preserve"> </w:t>
      </w:r>
    </w:p>
    <w:p w14:paraId="2FE75B36" w14:textId="44B2C459" w:rsidR="00C810E9" w:rsidRPr="00916203" w:rsidRDefault="00C810E9" w:rsidP="00916203">
      <w:pPr>
        <w:spacing w:line="276" w:lineRule="auto"/>
        <w:jc w:val="both"/>
      </w:pPr>
      <w:r w:rsidRPr="00916203">
        <w:rPr>
          <w:shd w:val="clear" w:color="auto" w:fill="FFFFFF"/>
        </w:rPr>
        <w:t xml:space="preserve">PARLAMENTO EUROPEU </w:t>
      </w:r>
      <w:r w:rsidR="004914B8" w:rsidRPr="00916203">
        <w:rPr>
          <w:shd w:val="clear" w:color="auto" w:fill="FFFFFF"/>
        </w:rPr>
        <w:t>2021/2180(INI)</w:t>
      </w:r>
      <w:r w:rsidRPr="00916203">
        <w:rPr>
          <w:shd w:val="clear" w:color="auto" w:fill="FFFFFF"/>
        </w:rPr>
        <w:t xml:space="preserve"> de 1</w:t>
      </w:r>
      <w:r w:rsidR="004914B8" w:rsidRPr="00916203">
        <w:rPr>
          <w:shd w:val="clear" w:color="auto" w:fill="FFFFFF"/>
        </w:rPr>
        <w:t>9</w:t>
      </w:r>
      <w:r w:rsidRPr="00916203">
        <w:rPr>
          <w:shd w:val="clear" w:color="auto" w:fill="FFFFFF"/>
        </w:rPr>
        <w:t xml:space="preserve"> de ma</w:t>
      </w:r>
      <w:r w:rsidR="004914B8" w:rsidRPr="00916203">
        <w:rPr>
          <w:shd w:val="clear" w:color="auto" w:fill="FFFFFF"/>
        </w:rPr>
        <w:t>i</w:t>
      </w:r>
      <w:r w:rsidRPr="00916203">
        <w:rPr>
          <w:shd w:val="clear" w:color="auto" w:fill="FFFFFF"/>
        </w:rPr>
        <w:t>o de 2022.</w:t>
      </w:r>
      <w:r w:rsidR="004914B8" w:rsidRPr="00916203">
        <w:rPr>
          <w:rStyle w:val="Refdenotaderodap"/>
        </w:rPr>
        <w:t xml:space="preserve"> </w:t>
      </w:r>
      <w:r w:rsidR="004914B8" w:rsidRPr="00916203">
        <w:rPr>
          <w:rStyle w:val="Refdenotaderodap"/>
        </w:rPr>
        <w:footnoteReference w:id="68"/>
      </w:r>
    </w:p>
    <w:p w14:paraId="20FB2800" w14:textId="007B6EAE" w:rsidR="00A10E5F" w:rsidRDefault="00C810E9" w:rsidP="00916203">
      <w:pPr>
        <w:spacing w:line="276" w:lineRule="auto"/>
        <w:ind w:firstLine="708"/>
      </w:pPr>
      <w:r w:rsidRPr="00916203">
        <w:t>Resolução do Parlamento Europeu</w:t>
      </w:r>
      <w:r w:rsidRPr="00916203">
        <w:rPr>
          <w:shd w:val="clear" w:color="auto" w:fill="FFFFFF"/>
        </w:rPr>
        <w:t xml:space="preserve"> sobre o relatório de 2021 da Comissão sobre o Estado de Direito</w:t>
      </w:r>
      <w:r w:rsidRPr="00916203">
        <w:t>.</w:t>
      </w:r>
    </w:p>
    <w:p w14:paraId="0A3475AB" w14:textId="77777777" w:rsidR="007E3D2E" w:rsidRDefault="007E3D2E" w:rsidP="00916203">
      <w:pPr>
        <w:spacing w:line="276" w:lineRule="auto"/>
        <w:rPr>
          <w:sz w:val="20"/>
          <w:szCs w:val="20"/>
        </w:rPr>
      </w:pPr>
    </w:p>
    <w:p w14:paraId="1992E1C9" w14:textId="77777777" w:rsidR="007E3D2E" w:rsidRPr="00C518F8" w:rsidRDefault="007E3D2E" w:rsidP="00916203">
      <w:pPr>
        <w:spacing w:line="276" w:lineRule="auto"/>
      </w:pPr>
      <w:r w:rsidRPr="00C518F8">
        <w:t>28 de maio de 2022</w:t>
      </w:r>
    </w:p>
    <w:p w14:paraId="3EA8E137" w14:textId="2279241C" w:rsidR="00B03D35" w:rsidRPr="00B03D35" w:rsidRDefault="007E3D2E" w:rsidP="00916203">
      <w:pPr>
        <w:spacing w:line="276" w:lineRule="auto"/>
        <w:ind w:firstLine="708"/>
        <w:jc w:val="both"/>
        <w:rPr>
          <w:color w:val="000000"/>
        </w:rPr>
      </w:pPr>
      <w:r w:rsidRPr="00C518F8">
        <w:rPr>
          <w:color w:val="000000"/>
        </w:rPr>
        <w:t xml:space="preserve">Entrada em vigor do </w:t>
      </w:r>
      <w:r w:rsidRPr="00B03D35">
        <w:t>Decreto-Lei n.º 109-G/2021, de 10 de dezembro</w:t>
      </w:r>
      <w:r w:rsidRPr="00C518F8">
        <w:rPr>
          <w:color w:val="000000"/>
        </w:rPr>
        <w:t xml:space="preserve"> que, ao transpor parcialmente a Diretiva (UE) 2019/2161 </w:t>
      </w:r>
      <w:r w:rsidRPr="00C518F8">
        <w:rPr>
          <w:color w:val="333333"/>
          <w:shd w:val="clear" w:color="auto" w:fill="FFFFFF"/>
        </w:rPr>
        <w:t>do Parlamento Europeu e do Conselho de 27 de novembro (</w:t>
      </w:r>
      <w:r w:rsidRPr="00C518F8">
        <w:rPr>
          <w:rStyle w:val="nfase"/>
          <w:i w:val="0"/>
          <w:iCs w:val="0"/>
          <w:color w:val="333333"/>
          <w:shd w:val="clear" w:color="auto" w:fill="FFFFFF"/>
        </w:rPr>
        <w:t>JOUE</w:t>
      </w:r>
      <w:r w:rsidRPr="00C518F8">
        <w:rPr>
          <w:rStyle w:val="nfase"/>
          <w:color w:val="333333"/>
          <w:shd w:val="clear" w:color="auto" w:fill="FFFFFF"/>
        </w:rPr>
        <w:t xml:space="preserve"> </w:t>
      </w:r>
      <w:r w:rsidRPr="00C518F8">
        <w:rPr>
          <w:rStyle w:val="nfase"/>
          <w:i w:val="0"/>
          <w:iCs w:val="0"/>
          <w:color w:val="333333"/>
          <w:shd w:val="clear" w:color="auto" w:fill="FFFFFF"/>
        </w:rPr>
        <w:t>L 328, 18.12.2019, pp. 7 a 28</w:t>
      </w:r>
      <w:r w:rsidRPr="00C518F8">
        <w:rPr>
          <w:color w:val="333333"/>
          <w:shd w:val="clear" w:color="auto" w:fill="FFFFFF"/>
        </w:rPr>
        <w:t>)</w:t>
      </w:r>
      <w:r w:rsidRPr="00C518F8">
        <w:rPr>
          <w:rStyle w:val="Refdenotaderodap"/>
          <w:color w:val="333333"/>
          <w:shd w:val="clear" w:color="auto" w:fill="FFFFFF"/>
        </w:rPr>
        <w:footnoteReference w:id="69"/>
      </w:r>
      <w:r w:rsidRPr="00C518F8">
        <w:rPr>
          <w:color w:val="000000"/>
        </w:rPr>
        <w:t>, relativa à defesa dos consumidores</w:t>
      </w:r>
      <w:r>
        <w:rPr>
          <w:rStyle w:val="Refdenotaderodap"/>
          <w:color w:val="000000"/>
        </w:rPr>
        <w:footnoteReference w:id="70"/>
      </w:r>
      <w:r w:rsidRPr="00C518F8">
        <w:rPr>
          <w:color w:val="000000"/>
        </w:rPr>
        <w:t>, introduz novas regras para uma maior transparência dos mercados em linha, estabelecendo também sanções eficazes, aplicáveis em caso de violação dos direitos dos consumidores</w:t>
      </w:r>
      <w:r w:rsidRPr="00C518F8">
        <w:rPr>
          <w:rStyle w:val="Refdenotaderodap"/>
          <w:color w:val="000000"/>
        </w:rPr>
        <w:footnoteReference w:id="71"/>
      </w:r>
      <w:r w:rsidRPr="00C518F8">
        <w:rPr>
          <w:color w:val="000000"/>
        </w:rPr>
        <w:t>.</w:t>
      </w:r>
    </w:p>
    <w:p w14:paraId="52176F79" w14:textId="77777777" w:rsidR="00B03D35" w:rsidRDefault="00B03D35" w:rsidP="00B03D35">
      <w:pPr>
        <w:spacing w:line="276" w:lineRule="auto"/>
        <w:jc w:val="both"/>
      </w:pPr>
    </w:p>
    <w:p w14:paraId="75A7365E" w14:textId="1E62DF26" w:rsidR="007E3D2E" w:rsidRPr="00B03D35" w:rsidRDefault="007E3D2E" w:rsidP="00B03D35">
      <w:pPr>
        <w:spacing w:line="276" w:lineRule="auto"/>
        <w:jc w:val="both"/>
      </w:pPr>
      <w:r w:rsidRPr="00B03D35">
        <w:t>2 de junho de 2022</w:t>
      </w:r>
    </w:p>
    <w:p w14:paraId="2ADDB780" w14:textId="7554DB17" w:rsidR="007E3D2E" w:rsidRPr="00B03D35" w:rsidRDefault="00B03D35" w:rsidP="002B6A1E">
      <w:pPr>
        <w:spacing w:line="276" w:lineRule="auto"/>
        <w:ind w:firstLine="708"/>
        <w:jc w:val="both"/>
      </w:pPr>
      <w:r w:rsidRPr="00B03D35">
        <w:t>Dez anos de iniciativas europeias</w:t>
      </w:r>
      <w:r w:rsidR="007E3D2E" w:rsidRPr="00B03D35">
        <w:rPr>
          <w:rStyle w:val="Refdenotaderodap"/>
        </w:rPr>
        <w:footnoteReference w:id="72"/>
      </w:r>
    </w:p>
    <w:p w14:paraId="200862A2" w14:textId="4BD8C97B" w:rsidR="00B03D35" w:rsidRPr="00B03D35" w:rsidRDefault="00B03D35" w:rsidP="00B03D35">
      <w:pPr>
        <w:spacing w:line="276" w:lineRule="auto"/>
        <w:jc w:val="both"/>
      </w:pPr>
      <w:r w:rsidRPr="00B03D35">
        <w:lastRenderedPageBreak/>
        <w:tab/>
        <w:t>Nesta data a Iniciativa de Cidadania Europeia celebra o seu 10.º aniversário, que ao longo dos anos, contou com a participação de 16 milhões de cidadãos em 90 iniciativas. Dessas iniciativas, seis atingiram o limiar de um milhão de apoiantes e outras quatro estão prestes a alcançá-lo. Algumas destas iniciativas originaram alterações legislativas da UE e outras orientaram políticas a nível nacional</w:t>
      </w:r>
      <w:r w:rsidR="005E6F67">
        <w:t>.</w:t>
      </w:r>
    </w:p>
    <w:p w14:paraId="472B1A14" w14:textId="4B2D4B7B" w:rsidR="00B03D35" w:rsidRPr="005E6F67" w:rsidRDefault="007E3D2E" w:rsidP="005E6F67">
      <w:pPr>
        <w:spacing w:line="276" w:lineRule="auto"/>
        <w:ind w:left="-1560" w:right="-1561"/>
        <w:jc w:val="center"/>
        <w:rPr>
          <w:sz w:val="20"/>
          <w:szCs w:val="20"/>
        </w:rPr>
      </w:pPr>
      <w:r w:rsidRPr="00B03D35">
        <w:fldChar w:fldCharType="begin"/>
      </w:r>
      <w:r w:rsidRPr="00B03D35">
        <w:instrText xml:space="preserve"> INCLUDEPICTURE "https://eurocid.mne.gov.pt/sites/default/files/styles/article_banner/public/repository/media/imagem/6562/dia-da-ice-2022.jpg?itok=SkBSlZio" \* MERGEFORMATINET </w:instrText>
      </w:r>
      <w:r w:rsidRPr="00B03D35">
        <w:fldChar w:fldCharType="separate"/>
      </w:r>
      <w:r w:rsidRPr="00B03D35">
        <w:rPr>
          <w:noProof/>
        </w:rPr>
        <w:drawing>
          <wp:inline distT="0" distB="0" distL="0" distR="0" wp14:anchorId="510F9223" wp14:editId="5BBA606F">
            <wp:extent cx="5353050" cy="1238250"/>
            <wp:effectExtent l="0" t="0" r="6350" b="6350"/>
            <wp:docPr id="5" name="Imagem 7" descr="Dia da ICE 20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m 7" descr="Dia da ICE 2022"/>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53050" cy="1238250"/>
                    </a:xfrm>
                    <a:prstGeom prst="rect">
                      <a:avLst/>
                    </a:prstGeom>
                    <a:noFill/>
                    <a:ln>
                      <a:noFill/>
                    </a:ln>
                  </pic:spPr>
                </pic:pic>
              </a:graphicData>
            </a:graphic>
          </wp:inline>
        </w:drawing>
      </w:r>
      <w:r w:rsidRPr="00B03D35">
        <w:fldChar w:fldCharType="end"/>
      </w:r>
      <w:r w:rsidRPr="00B03D35">
        <w:t xml:space="preserve"> </w:t>
      </w:r>
      <w:r w:rsidRPr="00B03D35">
        <w:rPr>
          <w:rStyle w:val="Refdenotaderodap"/>
        </w:rPr>
        <w:footnoteReference w:id="73"/>
      </w:r>
    </w:p>
    <w:p w14:paraId="3E2C71FD" w14:textId="20F08BAC" w:rsidR="00462C15" w:rsidRDefault="00462C15" w:rsidP="00B03D35">
      <w:pPr>
        <w:shd w:val="clear" w:color="auto" w:fill="FFFFFF"/>
        <w:spacing w:after="75" w:line="276" w:lineRule="auto"/>
        <w:jc w:val="both"/>
        <w:rPr>
          <w:color w:val="333333"/>
        </w:rPr>
      </w:pPr>
      <w:r w:rsidRPr="00462C15">
        <w:rPr>
          <w:b/>
          <w:bCs/>
          <w:color w:val="333333"/>
        </w:rPr>
        <w:t xml:space="preserve">DECISÃO (UE) </w:t>
      </w:r>
      <w:r>
        <w:rPr>
          <w:b/>
          <w:bCs/>
          <w:color w:val="333333"/>
        </w:rPr>
        <w:t>2022/907 DA COMISSÃO</w:t>
      </w:r>
      <w:r>
        <w:rPr>
          <w:color w:val="333333"/>
        </w:rPr>
        <w:t>, de 1 de junho de 2022, JOUE L 157, de 10.06.2022, pp. 13 a 14.</w:t>
      </w:r>
      <w:r>
        <w:rPr>
          <w:rStyle w:val="Refdenotaderodap"/>
          <w:color w:val="333333"/>
        </w:rPr>
        <w:footnoteReference w:id="74"/>
      </w:r>
    </w:p>
    <w:p w14:paraId="4C06548C" w14:textId="52F778F0" w:rsidR="00462C15" w:rsidRDefault="00462C15" w:rsidP="002B6A1E">
      <w:pPr>
        <w:shd w:val="clear" w:color="auto" w:fill="FFFFFF"/>
        <w:spacing w:line="276" w:lineRule="auto"/>
        <w:jc w:val="both"/>
        <w:rPr>
          <w:color w:val="333333"/>
        </w:rPr>
      </w:pPr>
      <w:r>
        <w:rPr>
          <w:color w:val="333333"/>
        </w:rPr>
        <w:tab/>
        <w:t>Decisão de execução relativa ao pedido de registo da iniciativa de cidadania europeia intitulada “</w:t>
      </w:r>
      <w:proofErr w:type="spellStart"/>
      <w:r>
        <w:rPr>
          <w:color w:val="333333"/>
        </w:rPr>
        <w:t>Good</w:t>
      </w:r>
      <w:proofErr w:type="spellEnd"/>
      <w:r>
        <w:rPr>
          <w:color w:val="333333"/>
        </w:rPr>
        <w:t xml:space="preserve"> </w:t>
      </w:r>
      <w:proofErr w:type="spellStart"/>
      <w:r>
        <w:rPr>
          <w:color w:val="333333"/>
        </w:rPr>
        <w:t>Clothes</w:t>
      </w:r>
      <w:proofErr w:type="spellEnd"/>
      <w:r>
        <w:rPr>
          <w:color w:val="333333"/>
        </w:rPr>
        <w:t xml:space="preserve">, Fair </w:t>
      </w:r>
      <w:proofErr w:type="spellStart"/>
      <w:r>
        <w:rPr>
          <w:color w:val="333333"/>
        </w:rPr>
        <w:t>Pay</w:t>
      </w:r>
      <w:proofErr w:type="spellEnd"/>
      <w:r>
        <w:rPr>
          <w:color w:val="333333"/>
        </w:rPr>
        <w:t xml:space="preserve">” (Vestuário bom, salário justo), nos termos do Regulamento (UE) 2019/788 do Parlamento Europeu e do Conselho. Esta iniciativa tem como objetivo que a Comissão proponha legislação de modo a obrigar as empresas do setor do vestuário e calçado </w:t>
      </w:r>
      <w:r w:rsidR="00B03D35">
        <w:rPr>
          <w:color w:val="333333"/>
        </w:rPr>
        <w:t xml:space="preserve">a exercer um dever de diligência no que concerne os salários de subsistência nas suas cadeias de abastecimento. </w:t>
      </w:r>
    </w:p>
    <w:p w14:paraId="7AE75F48" w14:textId="193F5408" w:rsidR="00B03D35" w:rsidRDefault="00B03D35" w:rsidP="002B6A1E">
      <w:pPr>
        <w:shd w:val="clear" w:color="auto" w:fill="FFFFFF"/>
        <w:spacing w:line="276" w:lineRule="auto"/>
        <w:jc w:val="both"/>
        <w:rPr>
          <w:color w:val="333333"/>
        </w:rPr>
      </w:pPr>
    </w:p>
    <w:p w14:paraId="2D876896" w14:textId="2E87D95B" w:rsidR="00B03D35" w:rsidRDefault="00B03D35" w:rsidP="002B6A1E">
      <w:pPr>
        <w:shd w:val="clear" w:color="auto" w:fill="FFFFFF"/>
        <w:spacing w:line="276" w:lineRule="auto"/>
        <w:jc w:val="both"/>
        <w:rPr>
          <w:color w:val="333333"/>
        </w:rPr>
      </w:pPr>
      <w:r>
        <w:rPr>
          <w:color w:val="333333"/>
        </w:rPr>
        <w:t>13 de junho de 2022</w:t>
      </w:r>
    </w:p>
    <w:p w14:paraId="2CAA50DA" w14:textId="706925DC" w:rsidR="00B03D35" w:rsidRDefault="00B03D35" w:rsidP="002B6A1E">
      <w:pPr>
        <w:shd w:val="clear" w:color="auto" w:fill="FFFFFF"/>
        <w:spacing w:line="276" w:lineRule="auto"/>
        <w:ind w:firstLine="708"/>
        <w:jc w:val="both"/>
        <w:rPr>
          <w:color w:val="333333"/>
        </w:rPr>
      </w:pPr>
      <w:r>
        <w:rPr>
          <w:color w:val="333333"/>
        </w:rPr>
        <w:t>Comissão celebra os vencedores da Marca do Património Europeu (“</w:t>
      </w:r>
      <w:proofErr w:type="spellStart"/>
      <w:r>
        <w:rPr>
          <w:color w:val="333333"/>
        </w:rPr>
        <w:t>European</w:t>
      </w:r>
      <w:proofErr w:type="spellEnd"/>
      <w:r>
        <w:rPr>
          <w:color w:val="333333"/>
        </w:rPr>
        <w:t xml:space="preserve"> </w:t>
      </w:r>
      <w:proofErr w:type="spellStart"/>
      <w:r>
        <w:rPr>
          <w:color w:val="333333"/>
        </w:rPr>
        <w:t>Heritage</w:t>
      </w:r>
      <w:proofErr w:type="spellEnd"/>
      <w:r>
        <w:rPr>
          <w:color w:val="333333"/>
        </w:rPr>
        <w:t xml:space="preserve"> </w:t>
      </w:r>
      <w:proofErr w:type="spellStart"/>
      <w:r>
        <w:rPr>
          <w:color w:val="333333"/>
        </w:rPr>
        <w:t>Label</w:t>
      </w:r>
      <w:proofErr w:type="spellEnd"/>
      <w:r>
        <w:rPr>
          <w:color w:val="333333"/>
        </w:rPr>
        <w:t>”)</w:t>
      </w:r>
      <w:r w:rsidR="00992813">
        <w:rPr>
          <w:rStyle w:val="Refdenotaderodap"/>
          <w:color w:val="333333"/>
        </w:rPr>
        <w:footnoteReference w:id="75"/>
      </w:r>
    </w:p>
    <w:p w14:paraId="6BE8E748" w14:textId="1474BCC7" w:rsidR="00992813" w:rsidRDefault="00B03D35" w:rsidP="002B6A1E">
      <w:pPr>
        <w:shd w:val="clear" w:color="auto" w:fill="FFFFFF"/>
        <w:spacing w:line="276" w:lineRule="auto"/>
        <w:jc w:val="both"/>
        <w:rPr>
          <w:color w:val="333333"/>
        </w:rPr>
      </w:pPr>
      <w:r>
        <w:rPr>
          <w:color w:val="333333"/>
        </w:rPr>
        <w:tab/>
      </w:r>
      <w:r w:rsidR="00992813">
        <w:rPr>
          <w:color w:val="333333"/>
        </w:rPr>
        <w:t>Nesta cerimónia, foram homenageados os 12 locais vencedores</w:t>
      </w:r>
      <w:r w:rsidR="00992813">
        <w:rPr>
          <w:rStyle w:val="Refdenotaderodap"/>
          <w:color w:val="333333"/>
        </w:rPr>
        <w:footnoteReference w:id="76"/>
      </w:r>
      <w:r w:rsidR="00992813">
        <w:rPr>
          <w:color w:val="333333"/>
        </w:rPr>
        <w:t>, selecionados em 2021. Portugal não contou com nenhum local na lista de vencedores. Tanto a cerimónia como o Fórum do 10.º aniversário da Marca do Património Europeu estiveram abertos ao público.</w:t>
      </w:r>
    </w:p>
    <w:p w14:paraId="5D7ACD92" w14:textId="77777777" w:rsidR="005E6F67" w:rsidRDefault="005E6F67" w:rsidP="002B6A1E">
      <w:pPr>
        <w:shd w:val="clear" w:color="auto" w:fill="FFFFFF"/>
        <w:spacing w:line="276" w:lineRule="auto"/>
        <w:jc w:val="both"/>
        <w:rPr>
          <w:color w:val="333333"/>
        </w:rPr>
      </w:pPr>
    </w:p>
    <w:p w14:paraId="7B2FB546" w14:textId="6DEE69C8" w:rsidR="00992813" w:rsidRDefault="00992813" w:rsidP="002B6A1E">
      <w:pPr>
        <w:shd w:val="clear" w:color="auto" w:fill="FFFFFF"/>
        <w:spacing w:line="276" w:lineRule="auto"/>
        <w:jc w:val="both"/>
        <w:rPr>
          <w:color w:val="333333"/>
        </w:rPr>
      </w:pPr>
      <w:r>
        <w:rPr>
          <w:color w:val="333333"/>
        </w:rPr>
        <w:lastRenderedPageBreak/>
        <w:t>RECOMENDAÇÃO (UE) 2022/915 DO CONSELHO, de 9 de junho de 2022, JOUE L 158, de 13.06.2022, pp. 53 a 64.</w:t>
      </w:r>
      <w:r w:rsidR="005E6F67">
        <w:rPr>
          <w:color w:val="333333"/>
        </w:rPr>
        <w:t xml:space="preserve"> </w:t>
      </w:r>
      <w:r w:rsidR="005E6F67">
        <w:rPr>
          <w:rStyle w:val="Refdenotaderodap"/>
          <w:color w:val="333333"/>
        </w:rPr>
        <w:footnoteReference w:id="77"/>
      </w:r>
    </w:p>
    <w:p w14:paraId="05EE8293" w14:textId="55A5215F" w:rsidR="00992813" w:rsidRPr="00462C15" w:rsidRDefault="00992813" w:rsidP="002B6A1E">
      <w:pPr>
        <w:shd w:val="clear" w:color="auto" w:fill="FFFFFF"/>
        <w:spacing w:line="276" w:lineRule="auto"/>
        <w:jc w:val="both"/>
        <w:rPr>
          <w:color w:val="333333"/>
        </w:rPr>
      </w:pPr>
      <w:r>
        <w:rPr>
          <w:color w:val="333333"/>
        </w:rPr>
        <w:tab/>
        <w:t>Recomendação sobre a cooperação operacional em matéria de aplicação da lei. A cooperação operacional em matéria de aplicação da lei é relevante para as situações em que as autoridades de aplicação da lei de um Estado-Membro operam no território de outro Estado-Membro no contexto de ações transfronteiriças e outras ações transnacionais entre dois ou mais Estados-Membros. Com esta recomendação pretende-se a eliminação de obstáculos à cooperação operacional.</w:t>
      </w:r>
    </w:p>
    <w:p w14:paraId="2BDE6B3E" w14:textId="7CBC9D64" w:rsidR="007E3D2E" w:rsidRPr="00B03D35" w:rsidRDefault="007E3D2E" w:rsidP="00B03D35">
      <w:pPr>
        <w:pStyle w:val="v1msonormal"/>
        <w:spacing w:before="0" w:beforeAutospacing="0" w:line="276" w:lineRule="auto"/>
        <w:rPr>
          <w:rFonts w:ascii="Roboto" w:hAnsi="Roboto"/>
          <w:color w:val="2C363A"/>
          <w:sz w:val="21"/>
          <w:szCs w:val="21"/>
        </w:rPr>
      </w:pPr>
      <w:r w:rsidRPr="00C745F9">
        <w:rPr>
          <w:rFonts w:ascii="Roboto" w:hAnsi="Roboto"/>
          <w:color w:val="2C363A"/>
          <w:sz w:val="21"/>
          <w:szCs w:val="21"/>
        </w:rPr>
        <w:br w:type="textWrapping" w:clear="all"/>
      </w:r>
    </w:p>
    <w:p w14:paraId="0EC4FC66" w14:textId="77777777" w:rsidR="007E3D2E" w:rsidRPr="00C745F9" w:rsidRDefault="007E3D2E" w:rsidP="00405B4E">
      <w:pPr>
        <w:spacing w:line="276" w:lineRule="auto"/>
        <w:rPr>
          <w:sz w:val="20"/>
          <w:szCs w:val="20"/>
        </w:rPr>
      </w:pPr>
    </w:p>
    <w:p w14:paraId="3613847C" w14:textId="77777777" w:rsidR="007E3D2E" w:rsidRPr="008D58C9" w:rsidRDefault="007E3D2E" w:rsidP="00405B4E">
      <w:pPr>
        <w:spacing w:line="276" w:lineRule="auto"/>
        <w:rPr>
          <w:sz w:val="20"/>
          <w:szCs w:val="20"/>
        </w:rPr>
      </w:pPr>
      <w:r w:rsidRPr="008D58C9">
        <w:rPr>
          <w:sz w:val="20"/>
          <w:szCs w:val="20"/>
        </w:rPr>
        <w:t>JOUE – Jornal Oficial da União Europeia</w:t>
      </w:r>
    </w:p>
    <w:p w14:paraId="25CE6210" w14:textId="77777777" w:rsidR="007E3D2E" w:rsidRPr="008D58C9" w:rsidRDefault="007E3D2E" w:rsidP="00405B4E">
      <w:pPr>
        <w:spacing w:line="276" w:lineRule="auto"/>
        <w:rPr>
          <w:sz w:val="20"/>
          <w:szCs w:val="20"/>
        </w:rPr>
      </w:pPr>
      <w:r w:rsidRPr="008D58C9">
        <w:rPr>
          <w:sz w:val="20"/>
          <w:szCs w:val="20"/>
        </w:rPr>
        <w:t>TUE – Tratado da União Europeia</w:t>
      </w:r>
    </w:p>
    <w:p w14:paraId="7994D18E" w14:textId="77777777" w:rsidR="007E3D2E" w:rsidRPr="008D58C9" w:rsidRDefault="007E3D2E" w:rsidP="00405B4E">
      <w:pPr>
        <w:spacing w:line="276" w:lineRule="auto"/>
        <w:rPr>
          <w:sz w:val="20"/>
          <w:szCs w:val="20"/>
        </w:rPr>
      </w:pPr>
      <w:r w:rsidRPr="008D58C9">
        <w:rPr>
          <w:sz w:val="20"/>
          <w:szCs w:val="20"/>
        </w:rPr>
        <w:t>TFUE – Tratado sobre o Funcionamento da União Europeia, ambos na versão alterada pelo Tratado de Lisboa de 2007</w:t>
      </w:r>
    </w:p>
    <w:p w14:paraId="5D383B4E" w14:textId="77777777" w:rsidR="007E3D2E" w:rsidRDefault="007E3D2E" w:rsidP="00405B4E">
      <w:pPr>
        <w:pStyle w:val="Default"/>
        <w:spacing w:line="276" w:lineRule="auto"/>
        <w:jc w:val="both"/>
        <w:rPr>
          <w:rFonts w:ascii="Times New Roman" w:hAnsi="Times New Roman" w:cs="Times New Roman"/>
          <w:color w:val="auto"/>
        </w:rPr>
      </w:pPr>
    </w:p>
    <w:p w14:paraId="077E28F9" w14:textId="77777777" w:rsidR="007E3D2E" w:rsidRDefault="007E3D2E" w:rsidP="00405B4E">
      <w:pPr>
        <w:pStyle w:val="Default"/>
        <w:spacing w:line="276" w:lineRule="auto"/>
        <w:jc w:val="both"/>
        <w:rPr>
          <w:rFonts w:ascii="Times New Roman" w:hAnsi="Times New Roman" w:cs="Times New Roman"/>
          <w:color w:val="auto"/>
        </w:rPr>
      </w:pPr>
    </w:p>
    <w:p w14:paraId="0DF67F20" w14:textId="77777777" w:rsidR="007E3D2E" w:rsidRDefault="007E3D2E" w:rsidP="00405B4E">
      <w:pPr>
        <w:pStyle w:val="Default"/>
        <w:spacing w:line="276" w:lineRule="auto"/>
        <w:jc w:val="both"/>
        <w:rPr>
          <w:rFonts w:ascii="Times New Roman" w:hAnsi="Times New Roman" w:cs="Times New Roman"/>
          <w:color w:val="auto"/>
        </w:rPr>
      </w:pPr>
    </w:p>
    <w:p w14:paraId="4477979C" w14:textId="77777777" w:rsidR="007E3D2E" w:rsidRPr="00C114AB" w:rsidRDefault="007E3D2E" w:rsidP="00405B4E">
      <w:pPr>
        <w:pStyle w:val="doc-ti"/>
        <w:spacing w:before="240" w:beforeAutospacing="0" w:after="120" w:afterAutospacing="0" w:line="276" w:lineRule="auto"/>
        <w:jc w:val="right"/>
        <w:rPr>
          <w:bCs/>
          <w:color w:val="444444"/>
        </w:rPr>
      </w:pPr>
      <w:r>
        <w:fldChar w:fldCharType="begin"/>
      </w:r>
      <w:r>
        <w:instrText xml:space="preserve"> INCLUDEPICTURE  "cid:image001.jpg@01D5A54A.13111FF0" \* MERGEFORMATINET </w:instrText>
      </w:r>
      <w:r>
        <w:fldChar w:fldCharType="separate"/>
      </w:r>
      <w:r>
        <w:fldChar w:fldCharType="begin"/>
      </w:r>
      <w:r>
        <w:instrText xml:space="preserve"> INCLUDEPICTURE  "cid:image001.jpg@01D5A54A.13111FF0" \* MERGEFORMATINET </w:instrText>
      </w:r>
      <w:r>
        <w:fldChar w:fldCharType="separate"/>
      </w:r>
      <w:r>
        <w:fldChar w:fldCharType="begin"/>
      </w:r>
      <w:r>
        <w:instrText xml:space="preserve"> INCLUDEPICTURE  "cid:image001.jpg@01D5A54A.13111FF0" \* MERGEFORMATINET </w:instrText>
      </w:r>
      <w:r>
        <w:fldChar w:fldCharType="separate"/>
      </w:r>
      <w:r>
        <w:fldChar w:fldCharType="begin"/>
      </w:r>
      <w:r>
        <w:instrText xml:space="preserve"> INCLUDEPICTURE  "cid:image001.jpg@01D5A54A.13111FF0" \* MERGEFORMATINET </w:instrText>
      </w:r>
      <w:r>
        <w:fldChar w:fldCharType="separate"/>
      </w:r>
      <w:r>
        <w:fldChar w:fldCharType="begin"/>
      </w:r>
      <w:r>
        <w:instrText xml:space="preserve"> INCLUDEPICTURE  "cid:image001.jpg@01D5A54A.13111FF0" \* MERGEFORMATINET </w:instrText>
      </w:r>
      <w:r>
        <w:fldChar w:fldCharType="separate"/>
      </w:r>
      <w:r>
        <w:rPr>
          <w:noProof/>
        </w:rPr>
        <w:drawing>
          <wp:inline distT="0" distB="0" distL="0" distR="0" wp14:anchorId="32B2CE79" wp14:editId="10A7D253">
            <wp:extent cx="2578100" cy="533400"/>
            <wp:effectExtent l="0" t="0" r="0" b="0"/>
            <wp:docPr id="6" name="Imagem 1" descr="UPTD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m 1" descr="UPTDD"/>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78100" cy="533400"/>
                    </a:xfrm>
                    <a:prstGeom prst="rect">
                      <a:avLst/>
                    </a:prstGeom>
                    <a:noFill/>
                    <a:ln>
                      <a:noFill/>
                    </a:ln>
                  </pic:spPr>
                </pic:pic>
              </a:graphicData>
            </a:graphic>
          </wp:inline>
        </w:drawing>
      </w:r>
      <w:r>
        <w:fldChar w:fldCharType="end"/>
      </w:r>
      <w:r>
        <w:fldChar w:fldCharType="end"/>
      </w:r>
      <w:r>
        <w:fldChar w:fldCharType="end"/>
      </w:r>
      <w:r>
        <w:fldChar w:fldCharType="end"/>
      </w:r>
      <w:r>
        <w:fldChar w:fldCharType="end"/>
      </w:r>
    </w:p>
    <w:p w14:paraId="3B002339" w14:textId="77777777" w:rsidR="007E3D2E" w:rsidRDefault="007E3D2E" w:rsidP="00405B4E">
      <w:pPr>
        <w:pStyle w:val="no-doc-c"/>
        <w:spacing w:before="120" w:beforeAutospacing="0" w:after="120" w:afterAutospacing="0" w:line="276" w:lineRule="auto"/>
        <w:jc w:val="center"/>
        <w:rPr>
          <w:rFonts w:ascii="&amp;quot" w:hAnsi="&amp;quot"/>
          <w:color w:val="444444"/>
        </w:rPr>
      </w:pPr>
    </w:p>
    <w:p w14:paraId="0F541C99" w14:textId="77777777" w:rsidR="007E3D2E" w:rsidRDefault="007E3D2E" w:rsidP="00405B4E">
      <w:pPr>
        <w:pStyle w:val="Default"/>
        <w:spacing w:line="276" w:lineRule="auto"/>
        <w:jc w:val="both"/>
        <w:rPr>
          <w:rFonts w:ascii="Times New Roman" w:hAnsi="Times New Roman" w:cs="Times New Roman"/>
          <w:color w:val="auto"/>
        </w:rPr>
      </w:pPr>
    </w:p>
    <w:p w14:paraId="28D9D9B9" w14:textId="77777777" w:rsidR="007E3D2E" w:rsidRDefault="007E3D2E" w:rsidP="00405B4E">
      <w:pPr>
        <w:pStyle w:val="Default"/>
        <w:spacing w:line="276" w:lineRule="auto"/>
        <w:jc w:val="both"/>
        <w:rPr>
          <w:rFonts w:ascii="Times New Roman" w:hAnsi="Times New Roman" w:cs="Times New Roman"/>
          <w:color w:val="auto"/>
        </w:rPr>
      </w:pPr>
    </w:p>
    <w:p w14:paraId="65EEC8A4" w14:textId="77777777" w:rsidR="007E3D2E" w:rsidRDefault="007E3D2E" w:rsidP="00405B4E">
      <w:pPr>
        <w:pStyle w:val="Default"/>
        <w:spacing w:line="276" w:lineRule="auto"/>
        <w:jc w:val="both"/>
        <w:rPr>
          <w:rFonts w:ascii="Times New Roman" w:hAnsi="Times New Roman" w:cs="Times New Roman"/>
          <w:color w:val="auto"/>
        </w:rPr>
      </w:pPr>
    </w:p>
    <w:p w14:paraId="149416B2" w14:textId="77777777" w:rsidR="007E3D2E" w:rsidRDefault="007E3D2E" w:rsidP="00405B4E">
      <w:pPr>
        <w:pStyle w:val="Default"/>
        <w:spacing w:line="276" w:lineRule="auto"/>
        <w:jc w:val="both"/>
        <w:rPr>
          <w:rFonts w:ascii="Times New Roman" w:hAnsi="Times New Roman" w:cs="Times New Roman"/>
          <w:color w:val="auto"/>
        </w:rPr>
      </w:pPr>
    </w:p>
    <w:p w14:paraId="48780034" w14:textId="77777777" w:rsidR="002C2230" w:rsidRDefault="002C2230" w:rsidP="00405B4E">
      <w:pPr>
        <w:spacing w:line="276" w:lineRule="auto"/>
      </w:pPr>
    </w:p>
    <w:sectPr w:rsidR="002C2230">
      <w:footerReference w:type="even" r:id="rId12"/>
      <w:footerReference w:type="defaul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A7E342" w14:textId="77777777" w:rsidR="00523249" w:rsidRDefault="00523249" w:rsidP="007E3D2E">
      <w:r>
        <w:separator/>
      </w:r>
    </w:p>
  </w:endnote>
  <w:endnote w:type="continuationSeparator" w:id="0">
    <w:p w14:paraId="77EE29BD" w14:textId="77777777" w:rsidR="00523249" w:rsidRDefault="00523249" w:rsidP="007E3D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yriad Pro">
    <w:altName w:val="Segoe UI"/>
    <w:panose1 w:val="00000000000000000000"/>
    <w:charset w:val="00"/>
    <w:family w:val="swiss"/>
    <w:notTrueType/>
    <w:pitch w:val="default"/>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Roboto">
    <w:altName w:val="Arial"/>
    <w:charset w:val="00"/>
    <w:family w:val="auto"/>
    <w:pitch w:val="variable"/>
    <w:sig w:usb0="E00002FF" w:usb1="5000205B" w:usb2="00000020" w:usb3="00000000" w:csb0="0000019F" w:csb1="00000000"/>
  </w:font>
  <w:font w:name="&amp;quo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791674" w14:textId="77777777" w:rsidR="0046406B" w:rsidRDefault="009B3A98" w:rsidP="005714FA">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725F3508" w14:textId="77777777" w:rsidR="0046406B" w:rsidRDefault="00523249" w:rsidP="005714FA">
    <w:pPr>
      <w:pStyle w:val="Rodap"/>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85152A" w14:textId="77777777" w:rsidR="0046406B" w:rsidRDefault="009B3A98" w:rsidP="005714FA">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8</w:t>
    </w:r>
    <w:r>
      <w:rPr>
        <w:rStyle w:val="Nmerodepgina"/>
      </w:rPr>
      <w:fldChar w:fldCharType="end"/>
    </w:r>
  </w:p>
  <w:p w14:paraId="2B89C81F" w14:textId="77777777" w:rsidR="0046406B" w:rsidRDefault="00523249" w:rsidP="005714FA">
    <w:pPr>
      <w:pStyle w:val="Rodap"/>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05AB58" w14:textId="77777777" w:rsidR="00523249" w:rsidRDefault="00523249" w:rsidP="007E3D2E">
      <w:r>
        <w:separator/>
      </w:r>
    </w:p>
  </w:footnote>
  <w:footnote w:type="continuationSeparator" w:id="0">
    <w:p w14:paraId="6816F0F9" w14:textId="77777777" w:rsidR="00523249" w:rsidRDefault="00523249" w:rsidP="007E3D2E">
      <w:r>
        <w:continuationSeparator/>
      </w:r>
    </w:p>
  </w:footnote>
  <w:footnote w:id="1">
    <w:p w14:paraId="0A5CE692" w14:textId="77777777" w:rsidR="007E3D2E" w:rsidRPr="003F338E" w:rsidRDefault="007E3D2E" w:rsidP="007E3D2E">
      <w:pPr>
        <w:pStyle w:val="Textodenotaderodap"/>
        <w:jc w:val="both"/>
        <w:rPr>
          <w:rFonts w:ascii="Times New Roman" w:hAnsi="Times New Roman"/>
        </w:rPr>
      </w:pPr>
      <w:r w:rsidRPr="003F338E">
        <w:rPr>
          <w:rStyle w:val="Refdenotaderodap"/>
          <w:rFonts w:ascii="Times New Roman" w:hAnsi="Times New Roman"/>
        </w:rPr>
        <w:footnoteRef/>
      </w:r>
      <w:r w:rsidRPr="003F338E">
        <w:rPr>
          <w:rFonts w:ascii="Times New Roman" w:hAnsi="Times New Roman"/>
        </w:rPr>
        <w:t xml:space="preserve"> O presente texto prossegue com a anterior publicação até ao n.º 27 “Resenha de Direito da União Europeia” desde o n.º 1 da </w:t>
      </w:r>
      <w:r w:rsidRPr="003F338E">
        <w:rPr>
          <w:rFonts w:ascii="Times New Roman" w:hAnsi="Times New Roman"/>
          <w:i/>
          <w:iCs/>
        </w:rPr>
        <w:t>Revista Jurídica Portucalense</w:t>
      </w:r>
      <w:r w:rsidRPr="003F338E">
        <w:rPr>
          <w:rFonts w:ascii="Times New Roman" w:hAnsi="Times New Roman"/>
        </w:rPr>
        <w:t xml:space="preserve"> da Universidade Portucalense Infante D. Henrique (</w:t>
      </w:r>
      <w:hyperlink r:id="rId1" w:history="1">
        <w:r w:rsidRPr="003F338E">
          <w:rPr>
            <w:rStyle w:val="Hiperligao"/>
            <w:rFonts w:ascii="Times New Roman" w:hAnsi="Times New Roman"/>
          </w:rPr>
          <w:t>https://revistas.rcaap.pt/juridica/issue/view/1050</w:t>
        </w:r>
      </w:hyperlink>
      <w:r w:rsidRPr="003F338E">
        <w:rPr>
          <w:rFonts w:ascii="Times New Roman" w:hAnsi="Times New Roman"/>
        </w:rPr>
        <w:t xml:space="preserve">). </w:t>
      </w:r>
    </w:p>
  </w:footnote>
  <w:footnote w:id="2">
    <w:p w14:paraId="29062E21" w14:textId="77777777" w:rsidR="007E3D2E" w:rsidRPr="003F338E" w:rsidRDefault="007E3D2E" w:rsidP="007E3D2E">
      <w:pPr>
        <w:pStyle w:val="Textodenotaderodap"/>
        <w:jc w:val="both"/>
        <w:rPr>
          <w:rFonts w:ascii="Times New Roman" w:hAnsi="Times New Roman"/>
        </w:rPr>
      </w:pPr>
      <w:r w:rsidRPr="003F338E">
        <w:rPr>
          <w:rStyle w:val="Refdenotaderodap"/>
          <w:rFonts w:ascii="Times New Roman" w:hAnsi="Times New Roman"/>
        </w:rPr>
        <w:sym w:font="Symbol" w:char="F02A"/>
      </w:r>
      <w:r w:rsidRPr="003F338E">
        <w:rPr>
          <w:rFonts w:ascii="Times New Roman" w:hAnsi="Times New Roman"/>
        </w:rPr>
        <w:t xml:space="preserve"> </w:t>
      </w:r>
      <w:bookmarkStart w:id="1" w:name="_Hlk75854894"/>
      <w:r w:rsidRPr="003F338E">
        <w:rPr>
          <w:rFonts w:ascii="Times New Roman" w:hAnsi="Times New Roman"/>
        </w:rPr>
        <w:t>Doutora em Direito e Professora Auxiliar da Universidade Portucalense Infante D. Henrique (UPT). Investigadora do Instituto Jurídico Portucalense (IJP).</w:t>
      </w:r>
      <w:bookmarkEnd w:id="1"/>
    </w:p>
  </w:footnote>
  <w:footnote w:id="3">
    <w:p w14:paraId="6D247F94" w14:textId="77777777" w:rsidR="007E3D2E" w:rsidRPr="003F338E" w:rsidRDefault="007E3D2E" w:rsidP="007E3D2E">
      <w:pPr>
        <w:pStyle w:val="Textodenotaderodap"/>
        <w:jc w:val="both"/>
        <w:rPr>
          <w:rFonts w:ascii="Times New Roman" w:hAnsi="Times New Roman"/>
        </w:rPr>
      </w:pPr>
      <w:r w:rsidRPr="003F338E">
        <w:rPr>
          <w:rStyle w:val="Refdenotaderodap"/>
          <w:rFonts w:ascii="Times New Roman" w:hAnsi="Times New Roman"/>
        </w:rPr>
        <w:sym w:font="Symbol" w:char="F02A"/>
      </w:r>
      <w:r w:rsidRPr="003F338E">
        <w:rPr>
          <w:rFonts w:ascii="Times New Roman" w:hAnsi="Times New Roman"/>
        </w:rPr>
        <w:t xml:space="preserve"> Aluno da licenciatura em Direito da Universidade Portucalense Infante D. Henrique (UPT) e licenciado em área das Ciências Naturais. </w:t>
      </w:r>
    </w:p>
  </w:footnote>
  <w:footnote w:id="4">
    <w:p w14:paraId="2C3F3792" w14:textId="77777777" w:rsidR="007E3D2E" w:rsidRPr="003F338E" w:rsidRDefault="007E3D2E" w:rsidP="007E3D2E">
      <w:pPr>
        <w:pStyle w:val="Textodenotaderodap"/>
        <w:jc w:val="both"/>
        <w:rPr>
          <w:rFonts w:ascii="Times New Roman" w:hAnsi="Times New Roman"/>
        </w:rPr>
      </w:pPr>
      <w:r w:rsidRPr="003F338E">
        <w:rPr>
          <w:rStyle w:val="Refdenotaderodap"/>
          <w:rFonts w:ascii="Times New Roman" w:hAnsi="Times New Roman"/>
        </w:rPr>
        <w:footnoteRef/>
      </w:r>
      <w:r w:rsidRPr="003F338E">
        <w:rPr>
          <w:rFonts w:ascii="Times New Roman" w:hAnsi="Times New Roman"/>
        </w:rPr>
        <w:t xml:space="preserve"> Comparando-o com a primeira lei escrita de direito romano, a Lei das Doze Tábuas, do século V a.C., que vigorou durante dez séculos e influenciou uma boa parte dos direitos dos Estados-Membros atuais da UE.</w:t>
      </w:r>
    </w:p>
  </w:footnote>
  <w:footnote w:id="5">
    <w:p w14:paraId="1043979C" w14:textId="77777777" w:rsidR="007E3D2E" w:rsidRPr="00FC0C0D" w:rsidRDefault="007E3D2E" w:rsidP="007E3D2E">
      <w:pPr>
        <w:jc w:val="both"/>
        <w:rPr>
          <w:sz w:val="20"/>
          <w:szCs w:val="20"/>
        </w:rPr>
      </w:pPr>
      <w:r w:rsidRPr="00FC0C0D">
        <w:rPr>
          <w:rStyle w:val="Refdenotaderodap"/>
          <w:sz w:val="20"/>
          <w:szCs w:val="20"/>
        </w:rPr>
        <w:footnoteRef/>
      </w:r>
      <w:r w:rsidRPr="00FC0C0D">
        <w:rPr>
          <w:sz w:val="20"/>
          <w:szCs w:val="20"/>
        </w:rPr>
        <w:t xml:space="preserve"> CAMPOS, João Mota e CAMPOS, João Luiz Mota. </w:t>
      </w:r>
      <w:r w:rsidRPr="00FC0C0D">
        <w:rPr>
          <w:i/>
          <w:sz w:val="20"/>
          <w:szCs w:val="20"/>
        </w:rPr>
        <w:t>Manual de Direito Europeu -</w:t>
      </w:r>
      <w:r w:rsidRPr="00FC0C0D">
        <w:rPr>
          <w:sz w:val="20"/>
          <w:szCs w:val="20"/>
        </w:rPr>
        <w:t xml:space="preserve"> </w:t>
      </w:r>
      <w:r w:rsidRPr="00FC0C0D">
        <w:rPr>
          <w:rStyle w:val="redsubtitle1"/>
          <w:rFonts w:ascii="Times New Roman" w:hAnsi="Times New Roman" w:cs="Times New Roman"/>
          <w:i/>
          <w:color w:val="auto"/>
          <w:sz w:val="20"/>
          <w:szCs w:val="20"/>
        </w:rPr>
        <w:t>o sistema institucional, a ordem jurídica e o ordenamento económico da União Europeia</w:t>
      </w:r>
      <w:r w:rsidRPr="00FC0C0D">
        <w:rPr>
          <w:iCs/>
          <w:sz w:val="20"/>
          <w:szCs w:val="20"/>
        </w:rPr>
        <w:t xml:space="preserve">. Coimbra: </w:t>
      </w:r>
      <w:proofErr w:type="spellStart"/>
      <w:r w:rsidRPr="00FC0C0D">
        <w:rPr>
          <w:rStyle w:val="datapags1"/>
          <w:rFonts w:ascii="Times New Roman" w:hAnsi="Times New Roman"/>
          <w:sz w:val="20"/>
          <w:szCs w:val="20"/>
        </w:rPr>
        <w:t>Wolters</w:t>
      </w:r>
      <w:proofErr w:type="spellEnd"/>
      <w:r w:rsidRPr="00FC0C0D">
        <w:rPr>
          <w:rStyle w:val="datapags1"/>
          <w:rFonts w:ascii="Times New Roman" w:hAnsi="Times New Roman"/>
          <w:sz w:val="20"/>
          <w:szCs w:val="20"/>
        </w:rPr>
        <w:t xml:space="preserve"> </w:t>
      </w:r>
      <w:proofErr w:type="spellStart"/>
      <w:r w:rsidRPr="00FC0C0D">
        <w:rPr>
          <w:rStyle w:val="datapags1"/>
          <w:rFonts w:ascii="Times New Roman" w:hAnsi="Times New Roman"/>
          <w:sz w:val="20"/>
          <w:szCs w:val="20"/>
        </w:rPr>
        <w:t>Kluwer</w:t>
      </w:r>
      <w:proofErr w:type="spellEnd"/>
      <w:r w:rsidRPr="00FC0C0D">
        <w:rPr>
          <w:rStyle w:val="datapags1"/>
          <w:rFonts w:ascii="Times New Roman" w:hAnsi="Times New Roman"/>
          <w:sz w:val="20"/>
          <w:szCs w:val="20"/>
        </w:rPr>
        <w:t xml:space="preserve"> | Coimbra Editora</w:t>
      </w:r>
      <w:r w:rsidRPr="00FC0C0D">
        <w:rPr>
          <w:sz w:val="20"/>
          <w:szCs w:val="20"/>
        </w:rPr>
        <w:t xml:space="preserve">. 7.ª ed., 2014, p. 287. ISBN 978-972-32-2209-8.  </w:t>
      </w:r>
    </w:p>
  </w:footnote>
  <w:footnote w:id="6">
    <w:p w14:paraId="0C1BFEA9" w14:textId="77777777" w:rsidR="007E3D2E" w:rsidRPr="00897E93" w:rsidRDefault="007E3D2E" w:rsidP="007E3D2E">
      <w:pPr>
        <w:jc w:val="both"/>
        <w:rPr>
          <w:sz w:val="20"/>
          <w:szCs w:val="20"/>
        </w:rPr>
      </w:pPr>
      <w:r w:rsidRPr="00897E93">
        <w:rPr>
          <w:rStyle w:val="Refdenotaderodap"/>
          <w:sz w:val="20"/>
          <w:szCs w:val="20"/>
        </w:rPr>
        <w:footnoteRef/>
      </w:r>
      <w:r w:rsidRPr="00897E93">
        <w:rPr>
          <w:sz w:val="20"/>
          <w:szCs w:val="20"/>
        </w:rPr>
        <w:t xml:space="preserve"> GORJÃO-HENRIQUES, Miguel. </w:t>
      </w:r>
      <w:r w:rsidRPr="00897E93">
        <w:rPr>
          <w:i/>
          <w:iCs/>
          <w:sz w:val="20"/>
          <w:szCs w:val="20"/>
        </w:rPr>
        <w:t>Direito da União</w:t>
      </w:r>
      <w:r w:rsidRPr="00897E93">
        <w:rPr>
          <w:sz w:val="20"/>
          <w:szCs w:val="20"/>
        </w:rPr>
        <w:t>. Coimbra: Livraria Almedina. 8.º ed., 2017, p. 277. ISBN 978-972-40-7085-8.</w:t>
      </w:r>
    </w:p>
  </w:footnote>
  <w:footnote w:id="7">
    <w:p w14:paraId="29055BB5" w14:textId="1F1D54DC" w:rsidR="007E3D2E" w:rsidRPr="00897E93" w:rsidRDefault="007E3D2E" w:rsidP="007E3D2E">
      <w:pPr>
        <w:jc w:val="both"/>
        <w:rPr>
          <w:bCs/>
          <w:sz w:val="20"/>
          <w:szCs w:val="20"/>
        </w:rPr>
      </w:pPr>
      <w:r w:rsidRPr="00897E93">
        <w:rPr>
          <w:rStyle w:val="Refdenotaderodap"/>
          <w:sz w:val="20"/>
          <w:szCs w:val="20"/>
        </w:rPr>
        <w:footnoteRef/>
      </w:r>
      <w:r w:rsidRPr="00897E93">
        <w:rPr>
          <w:sz w:val="20"/>
          <w:szCs w:val="20"/>
        </w:rPr>
        <w:t xml:space="preserve"> Utilizado para consulta dos respetivos textos: GORJÃO-HENRIQUES, Miguel. </w:t>
      </w:r>
      <w:r w:rsidRPr="00897E93">
        <w:rPr>
          <w:i/>
          <w:sz w:val="20"/>
          <w:szCs w:val="20"/>
        </w:rPr>
        <w:t>Tratado de Lisboa</w:t>
      </w:r>
      <w:r w:rsidRPr="00897E93">
        <w:rPr>
          <w:sz w:val="20"/>
          <w:szCs w:val="20"/>
        </w:rPr>
        <w:t xml:space="preserve">. 7.ª ed. Coimbra: Livraria Almedina, 2016. ISBN </w:t>
      </w:r>
      <w:r w:rsidRPr="00897E93">
        <w:rPr>
          <w:bCs/>
          <w:sz w:val="20"/>
          <w:szCs w:val="20"/>
        </w:rPr>
        <w:t>978-972-40-6835-0</w:t>
      </w:r>
      <w:r w:rsidRPr="00897E93">
        <w:rPr>
          <w:sz w:val="20"/>
          <w:szCs w:val="20"/>
        </w:rPr>
        <w:t xml:space="preserve">.   </w:t>
      </w:r>
    </w:p>
  </w:footnote>
  <w:footnote w:id="8">
    <w:p w14:paraId="4D9BFF14" w14:textId="77777777" w:rsidR="007E3D2E" w:rsidRPr="00897E93" w:rsidRDefault="007E3D2E" w:rsidP="007E3D2E">
      <w:pPr>
        <w:pStyle w:val="Textodenotaderodap"/>
        <w:rPr>
          <w:rFonts w:ascii="Times New Roman" w:hAnsi="Times New Roman"/>
        </w:rPr>
      </w:pPr>
      <w:r w:rsidRPr="00897E93">
        <w:rPr>
          <w:rStyle w:val="Refdenotaderodap"/>
          <w:rFonts w:ascii="Times New Roman" w:hAnsi="Times New Roman"/>
        </w:rPr>
        <w:footnoteRef/>
      </w:r>
      <w:r w:rsidRPr="00897E93">
        <w:rPr>
          <w:rFonts w:ascii="Times New Roman" w:hAnsi="Times New Roman"/>
        </w:rPr>
        <w:t xml:space="preserve"> Antes pelos órgãos comunitários e da União (da CE e da UE).</w:t>
      </w:r>
    </w:p>
  </w:footnote>
  <w:footnote w:id="9">
    <w:p w14:paraId="113C6FE1" w14:textId="77777777" w:rsidR="007E3D2E" w:rsidRPr="006F0CB8" w:rsidRDefault="007E3D2E" w:rsidP="007E3D2E">
      <w:pPr>
        <w:pStyle w:val="Textodenotaderodap"/>
        <w:rPr>
          <w:rFonts w:ascii="Times New Roman" w:hAnsi="Times New Roman"/>
        </w:rPr>
      </w:pPr>
      <w:r w:rsidRPr="00897E93">
        <w:rPr>
          <w:rStyle w:val="Refdenotaderodap"/>
          <w:rFonts w:ascii="Times New Roman" w:hAnsi="Times New Roman"/>
        </w:rPr>
        <w:footnoteRef/>
      </w:r>
      <w:r w:rsidRPr="00897E93">
        <w:rPr>
          <w:rFonts w:ascii="Times New Roman" w:hAnsi="Times New Roman"/>
        </w:rPr>
        <w:t xml:space="preserve"> Em </w:t>
      </w:r>
      <w:hyperlink r:id="rId2" w:history="1">
        <w:r w:rsidRPr="00897E93">
          <w:rPr>
            <w:rStyle w:val="Hiperligao"/>
            <w:rFonts w:ascii="Times New Roman" w:hAnsi="Times New Roman"/>
          </w:rPr>
          <w:t>https://files.dre.pt/1s/2022/03/04200/0000200003.pdf</w:t>
        </w:r>
      </w:hyperlink>
      <w:r w:rsidRPr="006F0CB8">
        <w:rPr>
          <w:rFonts w:ascii="Times New Roman" w:hAnsi="Times New Roman"/>
        </w:rPr>
        <w:t xml:space="preserve"> </w:t>
      </w:r>
    </w:p>
  </w:footnote>
  <w:footnote w:id="10">
    <w:p w14:paraId="569CC747"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3" w:history="1">
        <w:r w:rsidRPr="005E6F67">
          <w:rPr>
            <w:rStyle w:val="Hiperligao"/>
            <w:rFonts w:ascii="Times New Roman" w:hAnsi="Times New Roman"/>
          </w:rPr>
          <w:t>https://ec.europa.eu/info/sites/default/files/about_the_european_commission/eu_budget/c_2022_1382_3_en_act_part1_v7.pdf</w:t>
        </w:r>
      </w:hyperlink>
    </w:p>
  </w:footnote>
  <w:footnote w:id="11">
    <w:p w14:paraId="5795E601" w14:textId="77777777" w:rsidR="007E3D2E" w:rsidRPr="005E6F67" w:rsidRDefault="007E3D2E" w:rsidP="007E3D2E">
      <w:pPr>
        <w:ind w:right="-1"/>
        <w:rPr>
          <w:sz w:val="20"/>
          <w:szCs w:val="20"/>
        </w:rPr>
      </w:pPr>
      <w:r w:rsidRPr="005E6F67">
        <w:rPr>
          <w:rStyle w:val="Refdenotaderodap"/>
          <w:sz w:val="20"/>
          <w:szCs w:val="20"/>
        </w:rPr>
        <w:footnoteRef/>
      </w:r>
      <w:r w:rsidRPr="005E6F67">
        <w:rPr>
          <w:sz w:val="20"/>
          <w:szCs w:val="20"/>
        </w:rPr>
        <w:t xml:space="preserve"> Em </w:t>
      </w:r>
      <w:hyperlink r:id="rId4" w:history="1">
        <w:r w:rsidRPr="005E6F67">
          <w:rPr>
            <w:rStyle w:val="Hiperligao"/>
            <w:sz w:val="20"/>
            <w:szCs w:val="20"/>
            <w:lang w:eastAsia="en-US"/>
          </w:rPr>
          <w:t>https://eur-lex.europa.eu/legal-content/PT/TXT/PDF/?uri=CELEX:32020R2092&amp;qid=1622396251991&amp;from=PT</w:t>
        </w:r>
      </w:hyperlink>
    </w:p>
  </w:footnote>
  <w:footnote w:id="12">
    <w:p w14:paraId="2CA58DD4"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Veja-se o Acórdão do Tribunal de Justiça de 16 de fevereiro de 2022, no processo C</w:t>
      </w:r>
      <w:r w:rsidRPr="005E6F67">
        <w:rPr>
          <w:rFonts w:ascii="Times New Roman" w:hAnsi="Times New Roman"/>
        </w:rPr>
        <w:noBreakHyphen/>
        <w:t>157/21 (ECLI:EU:C:2022:98),</w:t>
      </w:r>
      <w:r w:rsidRPr="005E6F67">
        <w:rPr>
          <w:rFonts w:ascii="Times New Roman" w:hAnsi="Times New Roman"/>
          <w:b/>
          <w:bCs/>
          <w:i/>
          <w:iCs/>
        </w:rPr>
        <w:t xml:space="preserve"> </w:t>
      </w:r>
      <w:r w:rsidRPr="005E6F67">
        <w:rPr>
          <w:rFonts w:ascii="Times New Roman" w:hAnsi="Times New Roman"/>
          <w:i/>
          <w:iCs/>
        </w:rPr>
        <w:t xml:space="preserve">Polónia </w:t>
      </w:r>
      <w:r w:rsidRPr="005E6F67">
        <w:rPr>
          <w:rFonts w:ascii="Times New Roman" w:hAnsi="Times New Roman"/>
        </w:rPr>
        <w:t xml:space="preserve">contra </w:t>
      </w:r>
      <w:r w:rsidRPr="005E6F67">
        <w:rPr>
          <w:rFonts w:ascii="Times New Roman" w:hAnsi="Times New Roman"/>
          <w:i/>
          <w:iCs/>
        </w:rPr>
        <w:t>Parlamento e Conselho</w:t>
      </w:r>
      <w:r w:rsidRPr="005E6F67">
        <w:rPr>
          <w:rFonts w:ascii="Times New Roman" w:hAnsi="Times New Roman"/>
        </w:rPr>
        <w:t xml:space="preserve">, § 188. Em </w:t>
      </w:r>
      <w:hyperlink r:id="rId5" w:history="1">
        <w:r w:rsidRPr="005E6F67">
          <w:rPr>
            <w:rStyle w:val="Hiperligao"/>
            <w:rFonts w:ascii="Times New Roman" w:hAnsi="Times New Roman"/>
          </w:rPr>
          <w:t>https://curia.europa.eu/juris/document/document.jsf?text=&amp;docid=254062&amp;pageIndex=0&amp;doclang=FR&amp;mode=req&amp;dir=&amp;occ=first&amp;part=1&amp;cid=3662862</w:t>
        </w:r>
      </w:hyperlink>
    </w:p>
  </w:footnote>
  <w:footnote w:id="13">
    <w:p w14:paraId="663ED335"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Ainda não publicada no JOUE mas em </w:t>
      </w:r>
      <w:hyperlink r:id="rId6" w:history="1">
        <w:r w:rsidRPr="005E6F67">
          <w:rPr>
            <w:rStyle w:val="Hiperligao"/>
            <w:rFonts w:ascii="Times New Roman" w:hAnsi="Times New Roman"/>
          </w:rPr>
          <w:t>https://www.europarl.europa.eu/doceo/document/TA-9-2021-0287_PT.html</w:t>
        </w:r>
      </w:hyperlink>
      <w:r w:rsidRPr="005E6F67">
        <w:rPr>
          <w:rFonts w:ascii="Times New Roman" w:hAnsi="Times New Roman"/>
        </w:rPr>
        <w:t xml:space="preserve"> </w:t>
      </w:r>
    </w:p>
  </w:footnote>
  <w:footnote w:id="14">
    <w:p w14:paraId="13398640"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7" w:history="1">
        <w:r w:rsidRPr="005E6F67">
          <w:rPr>
            <w:rStyle w:val="Hiperligao"/>
            <w:rFonts w:ascii="Times New Roman" w:hAnsi="Times New Roman"/>
          </w:rPr>
          <w:t>https://www.consilium.europa.eu/media/47338/1011-12-20-euco-conclusions-pt.pdf</w:t>
        </w:r>
      </w:hyperlink>
    </w:p>
  </w:footnote>
  <w:footnote w:id="15">
    <w:p w14:paraId="20E0119B" w14:textId="77777777" w:rsidR="007E3D2E" w:rsidRPr="007A19D3"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bookmarkStart w:id="5" w:name="_Hlk97307529"/>
      <w:r w:rsidRPr="005E6F67">
        <w:rPr>
          <w:rFonts w:ascii="Times New Roman" w:hAnsi="Times New Roman"/>
        </w:rPr>
        <w:fldChar w:fldCharType="begin"/>
      </w:r>
      <w:r w:rsidRPr="005E6F67">
        <w:rPr>
          <w:rFonts w:ascii="Times New Roman" w:hAnsi="Times New Roman"/>
        </w:rPr>
        <w:instrText xml:space="preserve"> HYPERLINK "https://eur-lex.europa.eu/legal-content/PT/TXT/PDF/?uri=CELEX:52021DC0032&amp;from=EN" </w:instrText>
      </w:r>
      <w:r w:rsidRPr="005E6F67">
        <w:rPr>
          <w:rFonts w:ascii="Times New Roman" w:hAnsi="Times New Roman"/>
        </w:rPr>
        <w:fldChar w:fldCharType="separate"/>
      </w:r>
      <w:r w:rsidRPr="005E6F67">
        <w:rPr>
          <w:rStyle w:val="Hiperligao"/>
          <w:rFonts w:ascii="Times New Roman" w:hAnsi="Times New Roman"/>
        </w:rPr>
        <w:t>https://eur-lex.europa.eu/legal-content/PT/TXT/PDF/?uri=CELEX:52021DC0032&amp;from=EN</w:t>
      </w:r>
      <w:r w:rsidRPr="005E6F67">
        <w:rPr>
          <w:rFonts w:ascii="Times New Roman" w:hAnsi="Times New Roman"/>
        </w:rPr>
        <w:fldChar w:fldCharType="end"/>
      </w:r>
      <w:bookmarkEnd w:id="5"/>
      <w:r w:rsidRPr="005E6F67">
        <w:rPr>
          <w:rFonts w:ascii="Times New Roman" w:hAnsi="Times New Roman"/>
        </w:rPr>
        <w:t xml:space="preserve"> , pp. 17 e 19.</w:t>
      </w:r>
      <w:r w:rsidRPr="007A19D3">
        <w:rPr>
          <w:rFonts w:ascii="Times New Roman" w:hAnsi="Times New Roman"/>
        </w:rPr>
        <w:t xml:space="preserve"> </w:t>
      </w:r>
    </w:p>
  </w:footnote>
  <w:footnote w:id="16">
    <w:p w14:paraId="4F101E4E" w14:textId="77777777" w:rsidR="007E3D2E" w:rsidRPr="00623617" w:rsidRDefault="007E3D2E" w:rsidP="007E3D2E">
      <w:pPr>
        <w:pStyle w:val="Textodenotaderodap"/>
        <w:jc w:val="both"/>
        <w:rPr>
          <w:rFonts w:ascii="Times New Roman" w:hAnsi="Times New Roman"/>
        </w:rPr>
      </w:pPr>
      <w:r w:rsidRPr="00623617">
        <w:rPr>
          <w:rStyle w:val="Refdenotaderodap"/>
          <w:rFonts w:ascii="Times New Roman" w:hAnsi="Times New Roman"/>
        </w:rPr>
        <w:footnoteRef/>
      </w:r>
      <w:r w:rsidRPr="00623617">
        <w:rPr>
          <w:rFonts w:ascii="Times New Roman" w:hAnsi="Times New Roman"/>
        </w:rPr>
        <w:t xml:space="preserve"> Em </w:t>
      </w:r>
      <w:bookmarkStart w:id="6" w:name="_Hlk97399885"/>
      <w:r w:rsidRPr="00623617">
        <w:rPr>
          <w:rFonts w:ascii="Times New Roman" w:hAnsi="Times New Roman"/>
        </w:rPr>
        <w:fldChar w:fldCharType="begin"/>
      </w:r>
      <w:r w:rsidRPr="00623617">
        <w:rPr>
          <w:rFonts w:ascii="Times New Roman" w:hAnsi="Times New Roman"/>
        </w:rPr>
        <w:instrText>HYPERLINK "https://www.europarl.europa.eu/doceo/document/TA-9-2022-0052_PT.html"</w:instrText>
      </w:r>
      <w:r w:rsidRPr="00623617">
        <w:rPr>
          <w:rFonts w:ascii="Times New Roman" w:hAnsi="Times New Roman"/>
        </w:rPr>
        <w:fldChar w:fldCharType="separate"/>
      </w:r>
      <w:r w:rsidRPr="00623617">
        <w:rPr>
          <w:rStyle w:val="Hiperligao"/>
          <w:rFonts w:ascii="Times New Roman" w:hAnsi="Times New Roman"/>
        </w:rPr>
        <w:t>https://www.europarl.europa.eu/doceo/document/TA-9-2022-0052_PT.html</w:t>
      </w:r>
      <w:r w:rsidRPr="00623617">
        <w:rPr>
          <w:rFonts w:ascii="Times New Roman" w:hAnsi="Times New Roman"/>
        </w:rPr>
        <w:fldChar w:fldCharType="end"/>
      </w:r>
      <w:bookmarkEnd w:id="6"/>
    </w:p>
  </w:footnote>
  <w:footnote w:id="17">
    <w:p w14:paraId="38677C9D" w14:textId="77777777" w:rsidR="007E3D2E" w:rsidRPr="00623617" w:rsidRDefault="007E3D2E" w:rsidP="007E3D2E">
      <w:pPr>
        <w:pStyle w:val="Textodenotaderodap"/>
        <w:jc w:val="both"/>
        <w:rPr>
          <w:rFonts w:ascii="Times New Roman" w:hAnsi="Times New Roman"/>
        </w:rPr>
      </w:pPr>
      <w:r w:rsidRPr="00623617">
        <w:rPr>
          <w:rStyle w:val="Refdenotaderodap"/>
          <w:rFonts w:ascii="Times New Roman" w:hAnsi="Times New Roman"/>
        </w:rPr>
        <w:footnoteRef/>
      </w:r>
      <w:r w:rsidRPr="00623617">
        <w:rPr>
          <w:rFonts w:ascii="Times New Roman" w:hAnsi="Times New Roman"/>
        </w:rPr>
        <w:t xml:space="preserve"> Em </w:t>
      </w:r>
      <w:hyperlink r:id="rId8" w:history="1">
        <w:r w:rsidRPr="00623617">
          <w:rPr>
            <w:rStyle w:val="Hiperligao"/>
            <w:rFonts w:ascii="Times New Roman" w:hAnsi="Times New Roman"/>
          </w:rPr>
          <w:t>https://www.europarl.europa.eu/news/pt/press-room/20220227IPR24205/invasao-da-ucrania-pe-apela-a-uma-resposta-mais-firme-a-agressao-da-russia</w:t>
        </w:r>
      </w:hyperlink>
    </w:p>
  </w:footnote>
  <w:footnote w:id="18">
    <w:p w14:paraId="75246A8C" w14:textId="77777777" w:rsidR="007E3D2E" w:rsidRPr="00623617" w:rsidRDefault="007E3D2E" w:rsidP="007E3D2E">
      <w:pPr>
        <w:pStyle w:val="Textodenotaderodap"/>
        <w:jc w:val="both"/>
        <w:rPr>
          <w:rFonts w:ascii="Times New Roman" w:hAnsi="Times New Roman"/>
        </w:rPr>
      </w:pPr>
      <w:r w:rsidRPr="00623617">
        <w:rPr>
          <w:rStyle w:val="Refdenotaderodap"/>
          <w:rFonts w:ascii="Times New Roman" w:hAnsi="Times New Roman"/>
        </w:rPr>
        <w:footnoteRef/>
      </w:r>
      <w:r w:rsidRPr="00623617">
        <w:rPr>
          <w:rFonts w:ascii="Times New Roman" w:hAnsi="Times New Roman"/>
        </w:rPr>
        <w:t xml:space="preserve"> Na imprensa em </w:t>
      </w:r>
      <w:hyperlink r:id="rId9" w:history="1">
        <w:r w:rsidRPr="00623617">
          <w:rPr>
            <w:rStyle w:val="Hiperligao"/>
            <w:rFonts w:ascii="Times New Roman" w:hAnsi="Times New Roman"/>
          </w:rPr>
          <w:t>https://observador.pt/2022/03/03/depois-da-ucrania-e-georgia-moldavia-tambem-assina-pedido-formal-para-se-juntar-a-uniao-europeia/</w:t>
        </w:r>
      </w:hyperlink>
    </w:p>
  </w:footnote>
  <w:footnote w:id="19">
    <w:p w14:paraId="1118830F" w14:textId="77777777" w:rsidR="007E3D2E" w:rsidRPr="00623617" w:rsidRDefault="007E3D2E" w:rsidP="007E3D2E">
      <w:pPr>
        <w:rPr>
          <w:sz w:val="20"/>
          <w:szCs w:val="20"/>
          <w:lang w:eastAsia="en-US"/>
        </w:rPr>
      </w:pPr>
      <w:r w:rsidRPr="00623617">
        <w:rPr>
          <w:rStyle w:val="Refdenotaderodap"/>
          <w:sz w:val="20"/>
          <w:szCs w:val="20"/>
        </w:rPr>
        <w:footnoteRef/>
      </w:r>
      <w:r w:rsidRPr="00623617">
        <w:rPr>
          <w:sz w:val="20"/>
          <w:szCs w:val="20"/>
        </w:rPr>
        <w:t xml:space="preserve"> Em </w:t>
      </w:r>
      <w:hyperlink r:id="rId10" w:history="1">
        <w:r w:rsidRPr="00623617">
          <w:rPr>
            <w:rStyle w:val="Hiperligao"/>
            <w:sz w:val="20"/>
            <w:szCs w:val="20"/>
          </w:rPr>
          <w:t>https://op.europa.eu/pt/publication-detail/-/publication/92b9b0d3-9e14-11ec-83e1-01aa75ed71a1</w:t>
        </w:r>
      </w:hyperlink>
    </w:p>
  </w:footnote>
  <w:footnote w:id="20">
    <w:p w14:paraId="74689636" w14:textId="77777777" w:rsidR="007E3D2E" w:rsidRPr="00623617" w:rsidRDefault="007E3D2E" w:rsidP="007E3D2E">
      <w:pPr>
        <w:pStyle w:val="Textodenotaderodap"/>
        <w:jc w:val="both"/>
        <w:rPr>
          <w:rFonts w:ascii="Times New Roman" w:hAnsi="Times New Roman"/>
        </w:rPr>
      </w:pPr>
      <w:r w:rsidRPr="00623617">
        <w:rPr>
          <w:rStyle w:val="Refdenotaderodap"/>
          <w:rFonts w:ascii="Times New Roman" w:hAnsi="Times New Roman"/>
        </w:rPr>
        <w:footnoteRef/>
      </w:r>
      <w:r w:rsidRPr="00623617">
        <w:rPr>
          <w:rFonts w:ascii="Times New Roman" w:hAnsi="Times New Roman"/>
        </w:rPr>
        <w:t xml:space="preserve"> Em </w:t>
      </w:r>
      <w:hyperlink r:id="rId11" w:history="1">
        <w:r w:rsidRPr="00623617">
          <w:rPr>
            <w:rStyle w:val="Hiperligao"/>
            <w:rFonts w:ascii="Times New Roman" w:hAnsi="Times New Roman"/>
          </w:rPr>
          <w:t>https://www.europarl.europa.eu/doceo/document/TA-9-2022-0074_PT.html</w:t>
        </w:r>
      </w:hyperlink>
    </w:p>
  </w:footnote>
  <w:footnote w:id="21">
    <w:p w14:paraId="6B57858F" w14:textId="77777777" w:rsidR="007E3D2E" w:rsidRPr="00623617" w:rsidRDefault="007E3D2E" w:rsidP="007E3D2E">
      <w:pPr>
        <w:pStyle w:val="Textodenotaderodap"/>
        <w:jc w:val="both"/>
        <w:rPr>
          <w:rFonts w:ascii="Times New Roman" w:hAnsi="Times New Roman"/>
        </w:rPr>
      </w:pPr>
      <w:r w:rsidRPr="00623617">
        <w:rPr>
          <w:rStyle w:val="Refdenotaderodap"/>
          <w:rFonts w:ascii="Times New Roman" w:hAnsi="Times New Roman"/>
        </w:rPr>
        <w:footnoteRef/>
      </w:r>
      <w:r w:rsidRPr="00623617">
        <w:rPr>
          <w:rFonts w:ascii="Times New Roman" w:hAnsi="Times New Roman"/>
        </w:rPr>
        <w:t xml:space="preserve"> Ler também José Manuel Fernandes em </w:t>
      </w:r>
      <w:hyperlink r:id="rId12" w:anchor="more-5588" w:history="1">
        <w:r w:rsidRPr="00623617">
          <w:rPr>
            <w:rStyle w:val="Hiperligao"/>
            <w:rFonts w:ascii="Times New Roman" w:hAnsi="Times New Roman"/>
          </w:rPr>
          <w:t>https://officialblogofunio.com/2022/03/18/note-from-mep-jose-manuel-fernandes-regarding-european-parliament-resolution-of-10-march-2022-on-the-rule-of-law-and-the-consequences-of-the-ecj-ruling/#more-5588</w:t>
        </w:r>
      </w:hyperlink>
    </w:p>
  </w:footnote>
  <w:footnote w:id="22">
    <w:p w14:paraId="17ABA72D" w14:textId="77777777" w:rsidR="007E3D2E" w:rsidRPr="00623617" w:rsidRDefault="007E3D2E" w:rsidP="007E3D2E">
      <w:pPr>
        <w:pStyle w:val="Textodenotaderodap"/>
        <w:rPr>
          <w:rFonts w:ascii="Times New Roman" w:hAnsi="Times New Roman"/>
        </w:rPr>
      </w:pPr>
      <w:r w:rsidRPr="00623617">
        <w:rPr>
          <w:rStyle w:val="Refdenotaderodap"/>
          <w:rFonts w:ascii="Times New Roman" w:hAnsi="Times New Roman"/>
        </w:rPr>
        <w:footnoteRef/>
      </w:r>
      <w:r w:rsidRPr="00623617">
        <w:rPr>
          <w:rFonts w:ascii="Times New Roman" w:hAnsi="Times New Roman"/>
        </w:rPr>
        <w:t xml:space="preserve"> Processo C-657/21, ainda pendente. </w:t>
      </w:r>
    </w:p>
  </w:footnote>
  <w:footnote w:id="23">
    <w:p w14:paraId="2F39364D" w14:textId="77777777" w:rsidR="007E3D2E" w:rsidRPr="00623617" w:rsidRDefault="007E3D2E" w:rsidP="007E3D2E">
      <w:pPr>
        <w:pStyle w:val="Textodenotaderodap"/>
        <w:jc w:val="both"/>
        <w:rPr>
          <w:rFonts w:ascii="Times New Roman" w:hAnsi="Times New Roman"/>
        </w:rPr>
      </w:pPr>
      <w:r w:rsidRPr="00623617">
        <w:rPr>
          <w:rStyle w:val="Refdenotaderodap"/>
          <w:rFonts w:ascii="Times New Roman" w:hAnsi="Times New Roman"/>
        </w:rPr>
        <w:footnoteRef/>
      </w:r>
      <w:r w:rsidRPr="00623617">
        <w:rPr>
          <w:rFonts w:ascii="Times New Roman" w:hAnsi="Times New Roman"/>
        </w:rPr>
        <w:t xml:space="preserve"> Acórdão de 16 de fevereiro de 2022, Hungria contra Parlamento Europeu e Conselho da União Europeia, C-156/21 (ECLI:EU:C:2022:97) e Acórdão de 16 de fevereiro de 2022, República da Polónia contra Parlamento Europeu e Conselho da União Europeia, C-157/21 (ECLI:EU:C:2022:98).</w:t>
      </w:r>
    </w:p>
  </w:footnote>
  <w:footnote w:id="24">
    <w:p w14:paraId="40E4F05B" w14:textId="77777777" w:rsidR="007E3D2E" w:rsidRPr="00FD1810" w:rsidRDefault="007E3D2E" w:rsidP="007E3D2E">
      <w:pPr>
        <w:rPr>
          <w:sz w:val="20"/>
          <w:szCs w:val="20"/>
        </w:rPr>
      </w:pPr>
      <w:r w:rsidRPr="00623617">
        <w:rPr>
          <w:rStyle w:val="Refdenotaderodap"/>
          <w:sz w:val="20"/>
          <w:szCs w:val="20"/>
        </w:rPr>
        <w:footnoteRef/>
      </w:r>
      <w:r w:rsidRPr="00623617">
        <w:rPr>
          <w:sz w:val="20"/>
          <w:szCs w:val="20"/>
        </w:rPr>
        <w:t xml:space="preserve"> Ver </w:t>
      </w:r>
      <w:hyperlink r:id="rId13" w:history="1">
        <w:r w:rsidRPr="00623617">
          <w:rPr>
            <w:rStyle w:val="Hiperligao"/>
            <w:sz w:val="20"/>
            <w:szCs w:val="20"/>
          </w:rPr>
          <w:t>https://observador.pt/2022/03/15/operacao-europa-procuradoria-europeia-faz-primeira-operacao-em-portugal/</w:t>
        </w:r>
      </w:hyperlink>
    </w:p>
  </w:footnote>
  <w:footnote w:id="25">
    <w:p w14:paraId="29E5985E"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14" w:history="1">
        <w:r w:rsidRPr="005E6F67">
          <w:rPr>
            <w:rStyle w:val="Hiperligao"/>
            <w:rFonts w:ascii="Times New Roman" w:hAnsi="Times New Roman"/>
          </w:rPr>
          <w:t>https://eur-lex.europa.eu/legal-content/PT/TXT/PDF/?uri=CELEX:52022XC0318(01)&amp;from=PT</w:t>
        </w:r>
      </w:hyperlink>
    </w:p>
  </w:footnote>
  <w:footnote w:id="26">
    <w:p w14:paraId="681328A9"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15" w:history="1">
        <w:r w:rsidRPr="005E6F67">
          <w:rPr>
            <w:rStyle w:val="Hiperligao"/>
            <w:rFonts w:ascii="Times New Roman" w:hAnsi="Times New Roman"/>
          </w:rPr>
          <w:t>https://ec.europa.eu/competition-policy/public-consultations_en</w:t>
        </w:r>
      </w:hyperlink>
    </w:p>
  </w:footnote>
  <w:footnote w:id="27">
    <w:p w14:paraId="420BC56B"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16" w:history="1">
        <w:r w:rsidRPr="005E6F67">
          <w:rPr>
            <w:rStyle w:val="Hiperligao"/>
            <w:rFonts w:ascii="Times New Roman" w:hAnsi="Times New Roman"/>
          </w:rPr>
          <w:t>https://eur-lex.europa.eu/legal-content/PT/TXT/PDF/?uri=CELEX:52022XC0318(02)&amp;from=PT</w:t>
        </w:r>
      </w:hyperlink>
    </w:p>
  </w:footnote>
  <w:footnote w:id="28">
    <w:p w14:paraId="58A17488"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O Regulamento (UE, </w:t>
      </w:r>
      <w:proofErr w:type="spellStart"/>
      <w:r w:rsidRPr="005E6F67">
        <w:rPr>
          <w:rFonts w:ascii="Times New Roman" w:hAnsi="Times New Roman"/>
        </w:rPr>
        <w:t>Euratom</w:t>
      </w:r>
      <w:proofErr w:type="spellEnd"/>
      <w:r w:rsidRPr="005E6F67">
        <w:rPr>
          <w:rFonts w:ascii="Times New Roman" w:hAnsi="Times New Roman"/>
        </w:rPr>
        <w:t xml:space="preserve">) 2020/2092 do Parlamento Europeu e do Conselho, de 16 de dezembro de 2020, relativo a um regime geral de condicionalidade para a proteção do orçamento da União (JO L 433I de 22.12.2020, p. 1). Em </w:t>
      </w:r>
      <w:hyperlink r:id="rId17" w:history="1">
        <w:r w:rsidRPr="005E6F67">
          <w:rPr>
            <w:rStyle w:val="Hiperligao"/>
            <w:rFonts w:ascii="Times New Roman" w:hAnsi="Times New Roman"/>
          </w:rPr>
          <w:t>https://eur-lex.europa.eu/legal-content/PT/TXT/?uri=CELEX%3A02020R2092-20201222&amp;qid=1651508854502</w:t>
        </w:r>
      </w:hyperlink>
    </w:p>
  </w:footnote>
  <w:footnote w:id="29">
    <w:p w14:paraId="45007D5E"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18" w:history="1">
        <w:r w:rsidRPr="005E6F67">
          <w:rPr>
            <w:rStyle w:val="Hiperligao"/>
            <w:rFonts w:ascii="Times New Roman" w:hAnsi="Times New Roman"/>
          </w:rPr>
          <w:t>https://eur-lex.europa.eu/legal-content/PT/TXT/PDF/?uri=CELEX:52022IP0052&amp;from=PT</w:t>
        </w:r>
      </w:hyperlink>
    </w:p>
  </w:footnote>
  <w:footnote w:id="30">
    <w:p w14:paraId="3ED65192"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19" w:history="1">
        <w:r w:rsidRPr="005E6F67">
          <w:rPr>
            <w:rStyle w:val="Hiperligao"/>
            <w:rFonts w:ascii="Times New Roman" w:hAnsi="Times New Roman"/>
          </w:rPr>
          <w:t>https://ec.europa.eu/competition-policy/european-competition-network_en</w:t>
        </w:r>
      </w:hyperlink>
    </w:p>
  </w:footnote>
  <w:footnote w:id="31">
    <w:p w14:paraId="3F042063"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20" w:history="1">
        <w:r w:rsidRPr="005E6F67">
          <w:rPr>
            <w:rStyle w:val="Hiperligao"/>
            <w:rFonts w:ascii="Times New Roman" w:hAnsi="Times New Roman"/>
          </w:rPr>
          <w:t>https://ec.europa.eu/competition-policy/system/files/2022-03/202203_joint-statement_ecn_ukraine-war.pdf</w:t>
        </w:r>
      </w:hyperlink>
    </w:p>
  </w:footnote>
  <w:footnote w:id="32">
    <w:p w14:paraId="1C5B4158" w14:textId="77777777" w:rsidR="007E3D2E" w:rsidRDefault="007E3D2E" w:rsidP="007E3D2E">
      <w:pPr>
        <w:pStyle w:val="Textodenotaderodap"/>
      </w:pPr>
      <w:r w:rsidRPr="005E6F67">
        <w:rPr>
          <w:rStyle w:val="Refdenotaderodap"/>
          <w:rFonts w:ascii="Times New Roman" w:hAnsi="Times New Roman"/>
        </w:rPr>
        <w:footnoteRef/>
      </w:r>
      <w:r w:rsidRPr="005E6F67">
        <w:rPr>
          <w:rFonts w:ascii="Times New Roman" w:hAnsi="Times New Roman"/>
        </w:rPr>
        <w:t xml:space="preserve"> Em </w:t>
      </w:r>
      <w:hyperlink r:id="rId21" w:history="1">
        <w:r w:rsidRPr="005E6F67">
          <w:rPr>
            <w:rStyle w:val="Hiperligao"/>
            <w:rFonts w:ascii="Times New Roman" w:hAnsi="Times New Roman"/>
          </w:rPr>
          <w:t>https://www.consilium.europa.eu/pt/press/press-releases/2022/02/24/joint-statement-by-the-members-of-the-european-council-24-02-2022/</w:t>
        </w:r>
      </w:hyperlink>
    </w:p>
  </w:footnote>
  <w:footnote w:id="33">
    <w:p w14:paraId="73E69C77" w14:textId="77777777" w:rsidR="007E3D2E" w:rsidRPr="00800DCA" w:rsidRDefault="007E3D2E" w:rsidP="007E3D2E">
      <w:pPr>
        <w:pStyle w:val="Textodenotaderodap"/>
        <w:rPr>
          <w:rFonts w:ascii="Times New Roman" w:hAnsi="Times New Roman"/>
        </w:rPr>
      </w:pPr>
      <w:r w:rsidRPr="00800DCA">
        <w:rPr>
          <w:rStyle w:val="Refdenotaderodap"/>
          <w:rFonts w:ascii="Times New Roman" w:hAnsi="Times New Roman"/>
        </w:rPr>
        <w:footnoteRef/>
      </w:r>
      <w:r w:rsidRPr="00800DCA">
        <w:rPr>
          <w:rFonts w:ascii="Times New Roman" w:hAnsi="Times New Roman"/>
        </w:rPr>
        <w:t xml:space="preserve"> Em </w:t>
      </w:r>
      <w:hyperlink r:id="rId22" w:history="1">
        <w:r w:rsidRPr="00800DCA">
          <w:rPr>
            <w:rStyle w:val="Hiperligao"/>
            <w:rFonts w:ascii="Times New Roman" w:hAnsi="Times New Roman"/>
          </w:rPr>
          <w:t>https://eur-lex.europa.eu/legal-content/PT/TXT/PDF/?uri=COM:2022:118:FIN</w:t>
        </w:r>
      </w:hyperlink>
      <w:r w:rsidRPr="00800DCA">
        <w:rPr>
          <w:rFonts w:ascii="Times New Roman" w:hAnsi="Times New Roman"/>
        </w:rPr>
        <w:t xml:space="preserve"> </w:t>
      </w:r>
    </w:p>
  </w:footnote>
  <w:footnote w:id="34">
    <w:p w14:paraId="710D76B7" w14:textId="77777777" w:rsidR="007E3D2E" w:rsidRPr="00800DCA" w:rsidRDefault="007E3D2E" w:rsidP="007E3D2E">
      <w:pPr>
        <w:pStyle w:val="Textodenotaderodap"/>
        <w:rPr>
          <w:rFonts w:ascii="Times New Roman" w:hAnsi="Times New Roman"/>
        </w:rPr>
      </w:pPr>
      <w:r w:rsidRPr="00800DCA">
        <w:rPr>
          <w:rStyle w:val="Refdenotaderodap"/>
          <w:rFonts w:ascii="Times New Roman" w:hAnsi="Times New Roman"/>
        </w:rPr>
        <w:footnoteRef/>
      </w:r>
      <w:r w:rsidRPr="00800DCA">
        <w:rPr>
          <w:rFonts w:ascii="Times New Roman" w:hAnsi="Times New Roman"/>
        </w:rPr>
        <w:t xml:space="preserve"> Em </w:t>
      </w:r>
      <w:hyperlink r:id="rId23" w:history="1">
        <w:r w:rsidRPr="00800DCA">
          <w:rPr>
            <w:rStyle w:val="Hiperligao"/>
            <w:rFonts w:ascii="Times New Roman" w:hAnsi="Times New Roman"/>
          </w:rPr>
          <w:t>https://eur-lex.europa.eu/legal-content/PT/TXT/PDF/?uri=CELEX:52022DC0121&amp;qid=1648119175251&amp;from=PT</w:t>
        </w:r>
      </w:hyperlink>
      <w:r w:rsidRPr="00800DCA">
        <w:rPr>
          <w:rFonts w:ascii="Times New Roman" w:hAnsi="Times New Roman"/>
        </w:rPr>
        <w:t xml:space="preserve"> </w:t>
      </w:r>
    </w:p>
  </w:footnote>
  <w:footnote w:id="35">
    <w:p w14:paraId="1A5CC715" w14:textId="77777777" w:rsidR="00800DCA" w:rsidRPr="00800DCA" w:rsidRDefault="00800DCA" w:rsidP="00800DCA">
      <w:pPr>
        <w:pStyle w:val="Textodenotaderodap"/>
        <w:rPr>
          <w:rFonts w:ascii="Times New Roman" w:hAnsi="Times New Roman"/>
        </w:rPr>
      </w:pPr>
      <w:r w:rsidRPr="00800DCA">
        <w:rPr>
          <w:rStyle w:val="Refdenotaderodap"/>
          <w:rFonts w:ascii="Times New Roman" w:hAnsi="Times New Roman"/>
        </w:rPr>
        <w:footnoteRef/>
      </w:r>
      <w:r w:rsidRPr="00800DCA">
        <w:rPr>
          <w:rFonts w:ascii="Times New Roman" w:hAnsi="Times New Roman"/>
        </w:rPr>
        <w:t xml:space="preserve"> </w:t>
      </w:r>
      <w:hyperlink r:id="rId24" w:history="1">
        <w:r w:rsidRPr="00800DCA">
          <w:rPr>
            <w:rStyle w:val="Hiperligao"/>
            <w:rFonts w:ascii="Times New Roman" w:hAnsi="Times New Roman"/>
          </w:rPr>
          <w:t>https://eur-lex.europa.eu/legal-content/PT/TXT/PDF/?uri=CELEX:52021DP0401&amp;from=PT</w:t>
        </w:r>
      </w:hyperlink>
    </w:p>
  </w:footnote>
  <w:footnote w:id="36">
    <w:p w14:paraId="3579F9BD" w14:textId="77777777" w:rsidR="007E3D2E" w:rsidRPr="00800DCA" w:rsidRDefault="007E3D2E" w:rsidP="007E3D2E">
      <w:pPr>
        <w:pStyle w:val="Textodenotaderodap"/>
        <w:rPr>
          <w:rFonts w:ascii="Times New Roman" w:hAnsi="Times New Roman"/>
        </w:rPr>
      </w:pPr>
      <w:r w:rsidRPr="00800DCA">
        <w:rPr>
          <w:rStyle w:val="Refdenotaderodap"/>
          <w:rFonts w:ascii="Times New Roman" w:hAnsi="Times New Roman"/>
        </w:rPr>
        <w:footnoteRef/>
      </w:r>
      <w:r w:rsidRPr="00800DCA">
        <w:rPr>
          <w:rFonts w:ascii="Times New Roman" w:hAnsi="Times New Roman"/>
        </w:rPr>
        <w:t xml:space="preserve"> Em </w:t>
      </w:r>
      <w:hyperlink r:id="rId25" w:history="1">
        <w:r w:rsidRPr="00800DCA">
          <w:rPr>
            <w:rStyle w:val="Hiperligao"/>
            <w:rFonts w:ascii="Times New Roman" w:hAnsi="Times New Roman"/>
          </w:rPr>
          <w:t>https://eur-lex.europa.eu/legal-content/PT/TXT/PDF/?uri=CELEX:32022D0482&amp;from=PT</w:t>
        </w:r>
      </w:hyperlink>
    </w:p>
  </w:footnote>
  <w:footnote w:id="37">
    <w:p w14:paraId="236E8DA5" w14:textId="77777777" w:rsidR="007E3D2E" w:rsidRPr="00800DCA" w:rsidRDefault="007E3D2E" w:rsidP="007E3D2E">
      <w:pPr>
        <w:pStyle w:val="Textodenotaderodap"/>
        <w:rPr>
          <w:rFonts w:ascii="Times New Roman" w:hAnsi="Times New Roman"/>
        </w:rPr>
      </w:pPr>
      <w:r w:rsidRPr="00800DCA">
        <w:rPr>
          <w:rStyle w:val="Refdenotaderodap"/>
          <w:rFonts w:ascii="Times New Roman" w:hAnsi="Times New Roman"/>
        </w:rPr>
        <w:footnoteRef/>
      </w:r>
      <w:r w:rsidRPr="00800DCA">
        <w:rPr>
          <w:rFonts w:ascii="Times New Roman" w:hAnsi="Times New Roman"/>
        </w:rPr>
        <w:t xml:space="preserve"> Ver </w:t>
      </w:r>
      <w:hyperlink r:id="rId26" w:history="1">
        <w:r w:rsidRPr="00800DCA">
          <w:rPr>
            <w:rStyle w:val="Hiperligao"/>
            <w:rFonts w:ascii="Times New Roman" w:hAnsi="Times New Roman"/>
          </w:rPr>
          <w:t>https://ec.europa.eu/commission/presscorner/detail/pt/ip_22_1753</w:t>
        </w:r>
      </w:hyperlink>
    </w:p>
  </w:footnote>
  <w:footnote w:id="38">
    <w:p w14:paraId="633CBF71" w14:textId="77777777" w:rsidR="007E3D2E" w:rsidRPr="00B67C1E" w:rsidRDefault="007E3D2E" w:rsidP="007E3D2E">
      <w:pPr>
        <w:rPr>
          <w:sz w:val="20"/>
          <w:szCs w:val="20"/>
        </w:rPr>
      </w:pPr>
      <w:r w:rsidRPr="00800DCA">
        <w:rPr>
          <w:rStyle w:val="Refdenotaderodap"/>
          <w:sz w:val="20"/>
          <w:szCs w:val="20"/>
        </w:rPr>
        <w:footnoteRef/>
      </w:r>
      <w:r w:rsidRPr="00800DCA">
        <w:rPr>
          <w:sz w:val="20"/>
          <w:szCs w:val="20"/>
        </w:rPr>
        <w:t xml:space="preserve"> Em </w:t>
      </w:r>
      <w:hyperlink r:id="rId27" w:history="1">
        <w:r w:rsidRPr="00800DCA">
          <w:rPr>
            <w:rStyle w:val="Hiperligao"/>
            <w:sz w:val="20"/>
            <w:szCs w:val="20"/>
          </w:rPr>
          <w:t>https://eur-lex.europa.eu/legal-content/PT/TXT/PDF/?uri=CELEX:32022D0492&amp;from=PT</w:t>
        </w:r>
      </w:hyperlink>
    </w:p>
  </w:footnote>
  <w:footnote w:id="39">
    <w:p w14:paraId="2C893D59" w14:textId="77777777" w:rsidR="007E3D2E" w:rsidRPr="00205B2F" w:rsidRDefault="007E3D2E" w:rsidP="007E3D2E">
      <w:pPr>
        <w:pStyle w:val="Textodenotaderodap"/>
        <w:jc w:val="both"/>
        <w:rPr>
          <w:rFonts w:ascii="Times New Roman" w:hAnsi="Times New Roman"/>
        </w:rPr>
      </w:pPr>
      <w:r w:rsidRPr="00205B2F">
        <w:rPr>
          <w:rStyle w:val="Refdenotaderodap"/>
          <w:rFonts w:ascii="Times New Roman" w:hAnsi="Times New Roman"/>
        </w:rPr>
        <w:footnoteRef/>
      </w:r>
      <w:r w:rsidRPr="00205B2F">
        <w:rPr>
          <w:rFonts w:ascii="Times New Roman" w:hAnsi="Times New Roman"/>
        </w:rPr>
        <w:t xml:space="preserve"> Pela Decisão (UE) 2019/1135 do Conselho Europeu, de 2 de julho de 2019, relativa à eleição do presidente do Conselho Europeu (JOUE L 179 I de 03.07.2019, p. 1).</w:t>
      </w:r>
    </w:p>
  </w:footnote>
  <w:footnote w:id="40">
    <w:p w14:paraId="28035D5E"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28" w:history="1">
        <w:r w:rsidRPr="005E6F67">
          <w:rPr>
            <w:rStyle w:val="Hiperligao"/>
            <w:rFonts w:ascii="Times New Roman" w:hAnsi="Times New Roman"/>
          </w:rPr>
          <w:t>https://eur-lex.europa.eu/legal-content/PT/TXT/PDF/?uri=CELEX:52022DC0127&amp;qid=1648540579411&amp;from=PT</w:t>
        </w:r>
      </w:hyperlink>
      <w:r w:rsidRPr="005E6F67">
        <w:rPr>
          <w:rFonts w:ascii="Times New Roman" w:hAnsi="Times New Roman"/>
        </w:rPr>
        <w:t xml:space="preserve"> </w:t>
      </w:r>
    </w:p>
  </w:footnote>
  <w:footnote w:id="41">
    <w:p w14:paraId="2421B76A"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29" w:history="1">
        <w:r w:rsidRPr="005E6F67">
          <w:rPr>
            <w:rStyle w:val="Hiperligao"/>
            <w:rFonts w:ascii="Times New Roman" w:hAnsi="Times New Roman"/>
          </w:rPr>
          <w:t>https://eur-lex.europa.eu/legal-content/PT/TXT/PDF/?uri=CELEX:32013R0606</w:t>
        </w:r>
      </w:hyperlink>
    </w:p>
  </w:footnote>
  <w:footnote w:id="42">
    <w:p w14:paraId="3C86364C" w14:textId="77777777" w:rsidR="007E3D2E" w:rsidRPr="005E6F67" w:rsidRDefault="007E3D2E" w:rsidP="007E3D2E">
      <w:pPr>
        <w:ind w:right="-1"/>
        <w:rPr>
          <w:sz w:val="20"/>
          <w:szCs w:val="20"/>
          <w:lang w:eastAsia="en-US"/>
        </w:rPr>
      </w:pPr>
      <w:r w:rsidRPr="005E6F67">
        <w:rPr>
          <w:rStyle w:val="Refdenotaderodap"/>
          <w:sz w:val="20"/>
          <w:szCs w:val="20"/>
        </w:rPr>
        <w:footnoteRef/>
      </w:r>
      <w:r w:rsidRPr="005E6F67">
        <w:rPr>
          <w:sz w:val="20"/>
          <w:szCs w:val="20"/>
        </w:rPr>
        <w:t xml:space="preserve"> Em </w:t>
      </w:r>
      <w:hyperlink r:id="rId30" w:history="1">
        <w:r w:rsidRPr="005E6F67">
          <w:rPr>
            <w:rStyle w:val="Hiperligao"/>
            <w:sz w:val="20"/>
            <w:szCs w:val="20"/>
          </w:rPr>
          <w:t>https://eur-lex.europa.eu/legal-content/PT/TXT/PDF/?uri=CELEX:32022R0555&amp;from=PT</w:t>
        </w:r>
      </w:hyperlink>
      <w:r w:rsidRPr="005E6F67">
        <w:rPr>
          <w:sz w:val="20"/>
          <w:szCs w:val="20"/>
        </w:rPr>
        <w:t xml:space="preserve"> </w:t>
      </w:r>
    </w:p>
  </w:footnote>
  <w:footnote w:id="43">
    <w:p w14:paraId="03DDE4D2"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31" w:history="1">
        <w:r w:rsidRPr="005E6F67">
          <w:rPr>
            <w:rStyle w:val="Hiperligao"/>
            <w:rFonts w:ascii="Times New Roman" w:hAnsi="Times New Roman"/>
          </w:rPr>
          <w:t>https://eur-lex.europa.eu/legal-content/PT/TXT/PDF/?uri=CELEX:32007R0168&amp;from=PT</w:t>
        </w:r>
      </w:hyperlink>
      <w:r w:rsidRPr="005E6F67">
        <w:rPr>
          <w:rFonts w:ascii="Times New Roman" w:hAnsi="Times New Roman"/>
        </w:rPr>
        <w:t xml:space="preserve"> </w:t>
      </w:r>
    </w:p>
  </w:footnote>
  <w:footnote w:id="44">
    <w:p w14:paraId="729FEC48"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Site </w:t>
      </w:r>
      <w:hyperlink r:id="rId32" w:history="1">
        <w:r w:rsidRPr="005E6F67">
          <w:rPr>
            <w:rStyle w:val="Hiperligao"/>
            <w:rFonts w:ascii="Times New Roman" w:hAnsi="Times New Roman"/>
          </w:rPr>
          <w:t>https://european-union.europa.eu/institutions-law-budget/institutions-and-bodies/institutions-and-bodies-profiles/fra_pt</w:t>
        </w:r>
      </w:hyperlink>
      <w:r w:rsidRPr="005E6F67">
        <w:rPr>
          <w:rFonts w:ascii="Times New Roman" w:hAnsi="Times New Roman"/>
        </w:rPr>
        <w:t xml:space="preserve"> </w:t>
      </w:r>
    </w:p>
  </w:footnote>
  <w:footnote w:id="45">
    <w:p w14:paraId="488C2A9C" w14:textId="77777777" w:rsidR="00A32044" w:rsidRPr="005E6F67" w:rsidRDefault="00A32044" w:rsidP="00A32044">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bookmarkStart w:id="16" w:name="_Hlk102374278"/>
      <w:r w:rsidRPr="005E6F67">
        <w:rPr>
          <w:rFonts w:ascii="Times New Roman" w:hAnsi="Times New Roman"/>
        </w:rPr>
        <w:fldChar w:fldCharType="begin"/>
      </w:r>
      <w:r w:rsidRPr="005E6F67">
        <w:rPr>
          <w:rFonts w:ascii="Times New Roman" w:hAnsi="Times New Roman"/>
        </w:rPr>
        <w:instrText>HYPERLINK "https://eur-lex.europa.eu/legal-content/PT/TXT/PDF/?uri=CELEX:32022D0666&amp;from=PT"</w:instrText>
      </w:r>
      <w:r w:rsidRPr="005E6F67">
        <w:rPr>
          <w:rFonts w:ascii="Times New Roman" w:hAnsi="Times New Roman"/>
        </w:rPr>
        <w:fldChar w:fldCharType="separate"/>
      </w:r>
      <w:r w:rsidRPr="005E6F67">
        <w:rPr>
          <w:rStyle w:val="Hiperligao"/>
          <w:rFonts w:ascii="Times New Roman" w:hAnsi="Times New Roman"/>
        </w:rPr>
        <w:t>https://eur-lex.europa.eu/legal-content/PT/TXT/PDF/?uri=CELEX:32022D0666&amp;from=PT</w:t>
      </w:r>
      <w:r w:rsidRPr="005E6F67">
        <w:rPr>
          <w:rFonts w:ascii="Times New Roman" w:hAnsi="Times New Roman"/>
        </w:rPr>
        <w:fldChar w:fldCharType="end"/>
      </w:r>
      <w:bookmarkEnd w:id="16"/>
    </w:p>
  </w:footnote>
  <w:footnote w:id="46">
    <w:p w14:paraId="1D008658" w14:textId="77777777" w:rsidR="007E3D2E" w:rsidRPr="00205B2F"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Na imprensa em </w:t>
      </w:r>
      <w:hyperlink r:id="rId33" w:history="1">
        <w:r w:rsidRPr="005E6F67">
          <w:rPr>
            <w:rStyle w:val="Hiperligao"/>
            <w:rFonts w:ascii="Times New Roman" w:hAnsi="Times New Roman"/>
          </w:rPr>
          <w:t>https://www.publico.pt/2022/04/27/mundo/noticia/bruxelas-ja-enviou-notificacao-formal-activacao-mecanismo-estado-direito-hungria-2003987</w:t>
        </w:r>
      </w:hyperlink>
    </w:p>
  </w:footnote>
  <w:footnote w:id="47">
    <w:p w14:paraId="382EA587"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34" w:history="1">
        <w:r w:rsidRPr="005E6F67">
          <w:rPr>
            <w:rStyle w:val="Hiperligao"/>
            <w:rFonts w:ascii="Times New Roman" w:hAnsi="Times New Roman"/>
          </w:rPr>
          <w:t>https://eur-lex.europa.eu/legal-content/PT/TXT/PDF/?uri=CELEX:32022Q0502(01)&amp;from=PT</w:t>
        </w:r>
      </w:hyperlink>
    </w:p>
  </w:footnote>
  <w:footnote w:id="48">
    <w:p w14:paraId="7090F16D"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35" w:history="1">
        <w:r w:rsidRPr="005E6F67">
          <w:rPr>
            <w:rStyle w:val="Hiperligao"/>
            <w:rFonts w:ascii="Times New Roman" w:hAnsi="Times New Roman"/>
          </w:rPr>
          <w:t>https://www.eca.europa.eu/Lists/ECADocuments/IMPLEMENTING_RULES_2021/Implementing_rules_2021_PT.pdf</w:t>
        </w:r>
      </w:hyperlink>
    </w:p>
  </w:footnote>
  <w:footnote w:id="49">
    <w:p w14:paraId="038AC415"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36" w:history="1">
        <w:r w:rsidRPr="005E6F67">
          <w:rPr>
            <w:rStyle w:val="Hiperligao"/>
            <w:rFonts w:ascii="Times New Roman" w:hAnsi="Times New Roman"/>
          </w:rPr>
          <w:t>EUR-Lex - 02010Q0423(01)-20201214 - PT - EUR-Lex (europa.eu)</w:t>
        </w:r>
      </w:hyperlink>
    </w:p>
  </w:footnote>
  <w:footnote w:id="50">
    <w:p w14:paraId="7D91193D"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37" w:history="1">
        <w:r w:rsidRPr="005E6F67">
          <w:rPr>
            <w:rStyle w:val="Hiperligao"/>
            <w:rFonts w:ascii="Times New Roman" w:hAnsi="Times New Roman"/>
          </w:rPr>
          <w:t>https://eur-lex.europa.eu/legal-content/PT/TXT/PDF/?uri=CELEX:32022Q0225(01)&amp;from=PT</w:t>
        </w:r>
      </w:hyperlink>
    </w:p>
  </w:footnote>
  <w:footnote w:id="51">
    <w:p w14:paraId="42824188" w14:textId="77777777" w:rsidR="007E3D2E" w:rsidRPr="005E6F67" w:rsidRDefault="007E3D2E" w:rsidP="007E3D2E">
      <w:pPr>
        <w:pStyle w:val="title-bold"/>
        <w:shd w:val="clear" w:color="auto" w:fill="FFFFFF"/>
        <w:spacing w:before="0" w:beforeAutospacing="0" w:after="0" w:afterAutospacing="0"/>
        <w:jc w:val="both"/>
        <w:rPr>
          <w:color w:val="333333"/>
          <w:sz w:val="20"/>
          <w:szCs w:val="20"/>
        </w:rPr>
      </w:pPr>
      <w:r w:rsidRPr="005E6F67">
        <w:rPr>
          <w:rStyle w:val="Refdenotaderodap"/>
          <w:sz w:val="20"/>
          <w:szCs w:val="20"/>
        </w:rPr>
        <w:footnoteRef/>
      </w:r>
      <w:r w:rsidRPr="005E6F67">
        <w:rPr>
          <w:sz w:val="20"/>
          <w:szCs w:val="20"/>
        </w:rPr>
        <w:t xml:space="preserve"> Sem confundir com o </w:t>
      </w:r>
      <w:bookmarkStart w:id="18" w:name="_Hlk102374111"/>
      <w:bookmarkStart w:id="19" w:name="_Hlk102374342"/>
      <w:bookmarkStart w:id="20" w:name="_Hlk102374343"/>
      <w:r w:rsidRPr="005E6F67">
        <w:rPr>
          <w:color w:val="333333"/>
          <w:sz w:val="20"/>
          <w:szCs w:val="20"/>
        </w:rPr>
        <w:t xml:space="preserve">Código de conduta dos membros e antigos membros do Tribunal de Justiça da União Europeia no JOUE C 397 de 30.09.2021, pp. 1 a 8 (em </w:t>
      </w:r>
      <w:hyperlink r:id="rId38" w:history="1">
        <w:r w:rsidRPr="005E6F67">
          <w:rPr>
            <w:rStyle w:val="Hiperligao"/>
            <w:sz w:val="20"/>
            <w:szCs w:val="20"/>
          </w:rPr>
          <w:t>https://eur-lex.europa.eu/legal-content/PT/TXT/PDF/?uri=CELEX:C2021/397/01&amp;from=PT</w:t>
        </w:r>
      </w:hyperlink>
      <w:r w:rsidRPr="005E6F67">
        <w:rPr>
          <w:color w:val="333333"/>
          <w:sz w:val="20"/>
          <w:szCs w:val="20"/>
        </w:rPr>
        <w:t>)</w:t>
      </w:r>
      <w:bookmarkEnd w:id="18"/>
      <w:bookmarkEnd w:id="19"/>
      <w:bookmarkEnd w:id="20"/>
    </w:p>
  </w:footnote>
  <w:footnote w:id="52">
    <w:p w14:paraId="1A18C85D"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39" w:history="1">
        <w:r w:rsidRPr="005E6F67">
          <w:rPr>
            <w:rStyle w:val="Hiperligao"/>
            <w:rFonts w:ascii="Times New Roman" w:hAnsi="Times New Roman"/>
          </w:rPr>
          <w:t>https://eur-lex.europa.eu/legal-content/PT/TXT/PDF/?uri=OJ:JOC_2022_184_R_0012&amp;from=PT</w:t>
        </w:r>
      </w:hyperlink>
      <w:r w:rsidRPr="005E6F67">
        <w:rPr>
          <w:rFonts w:ascii="Times New Roman" w:hAnsi="Times New Roman"/>
        </w:rPr>
        <w:t xml:space="preserve"> </w:t>
      </w:r>
    </w:p>
  </w:footnote>
  <w:footnote w:id="53">
    <w:p w14:paraId="43CB55FA"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40" w:history="1">
        <w:r w:rsidRPr="005E6F67">
          <w:rPr>
            <w:rStyle w:val="Hiperligao"/>
            <w:rFonts w:ascii="Times New Roman" w:hAnsi="Times New Roman"/>
          </w:rPr>
          <w:t>https://portugal.representation.ec.europa.eu/events/dia-da-europa-2022-05-09_pt</w:t>
        </w:r>
      </w:hyperlink>
    </w:p>
  </w:footnote>
  <w:footnote w:id="54">
    <w:p w14:paraId="6AAE2884" w14:textId="77777777" w:rsidR="007E3D2E" w:rsidRPr="00205B2F" w:rsidRDefault="007E3D2E" w:rsidP="007E3D2E">
      <w:pPr>
        <w:jc w:val="both"/>
        <w:rPr>
          <w:sz w:val="20"/>
          <w:szCs w:val="20"/>
        </w:rPr>
      </w:pPr>
      <w:r w:rsidRPr="005E6F67">
        <w:rPr>
          <w:rStyle w:val="Refdenotaderodap"/>
          <w:sz w:val="20"/>
          <w:szCs w:val="20"/>
        </w:rPr>
        <w:footnoteRef/>
      </w:r>
      <w:r w:rsidRPr="005E6F67">
        <w:rPr>
          <w:sz w:val="20"/>
          <w:szCs w:val="20"/>
        </w:rPr>
        <w:t xml:space="preserve"> </w:t>
      </w:r>
      <w:bookmarkStart w:id="23" w:name="_Hlk102372584"/>
      <w:r w:rsidRPr="005E6F67">
        <w:rPr>
          <w:sz w:val="20"/>
          <w:szCs w:val="20"/>
        </w:rPr>
        <w:t xml:space="preserve">Veja-se a obra </w:t>
      </w:r>
      <w:r w:rsidRPr="005E6F67">
        <w:rPr>
          <w:i/>
          <w:iCs/>
          <w:sz w:val="20"/>
          <w:szCs w:val="20"/>
        </w:rPr>
        <w:t xml:space="preserve">Dicionário das Grandes Figuras Europeias, </w:t>
      </w:r>
      <w:r w:rsidRPr="005E6F67">
        <w:rPr>
          <w:sz w:val="20"/>
          <w:szCs w:val="20"/>
        </w:rPr>
        <w:t xml:space="preserve">pela coordenação de Isabel Baltazar e Alice Cunha. Assembleia da República, 2019, pp. 365 a 369. ISBN </w:t>
      </w:r>
      <w:r w:rsidRPr="005E6F67">
        <w:rPr>
          <w:color w:val="333333"/>
          <w:sz w:val="20"/>
          <w:szCs w:val="20"/>
          <w:shd w:val="clear" w:color="auto" w:fill="F6F6F6"/>
        </w:rPr>
        <w:t>978-972-556-711-1.</w:t>
      </w:r>
      <w:bookmarkEnd w:id="23"/>
    </w:p>
  </w:footnote>
  <w:footnote w:id="55">
    <w:p w14:paraId="365541D8" w14:textId="77777777" w:rsidR="007E3D2E" w:rsidRPr="005E6F67" w:rsidRDefault="007E3D2E" w:rsidP="007E3D2E">
      <w:pPr>
        <w:jc w:val="both"/>
        <w:rPr>
          <w:sz w:val="20"/>
          <w:szCs w:val="20"/>
        </w:rPr>
      </w:pPr>
      <w:r w:rsidRPr="005E6F67">
        <w:rPr>
          <w:rStyle w:val="Refdenotaderodap"/>
          <w:sz w:val="20"/>
          <w:szCs w:val="20"/>
        </w:rPr>
        <w:footnoteRef/>
      </w:r>
      <w:r w:rsidRPr="005E6F67">
        <w:rPr>
          <w:sz w:val="20"/>
          <w:szCs w:val="20"/>
        </w:rPr>
        <w:t xml:space="preserve"> </w:t>
      </w:r>
      <w:r w:rsidRPr="005E6F67">
        <w:rPr>
          <w:i/>
          <w:iCs/>
          <w:sz w:val="20"/>
          <w:szCs w:val="20"/>
        </w:rPr>
        <w:t>Idem</w:t>
      </w:r>
      <w:r w:rsidRPr="005E6F67">
        <w:rPr>
          <w:sz w:val="20"/>
          <w:szCs w:val="20"/>
        </w:rPr>
        <w:t xml:space="preserve">, pp. 277 a 281. </w:t>
      </w:r>
    </w:p>
  </w:footnote>
  <w:footnote w:id="56">
    <w:p w14:paraId="7FCBD8E7"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Ver em </w:t>
      </w:r>
      <w:hyperlink r:id="rId41" w:history="1">
        <w:r w:rsidRPr="005E6F67">
          <w:rPr>
            <w:rStyle w:val="Hiperligao"/>
            <w:rFonts w:ascii="Times New Roman" w:hAnsi="Times New Roman"/>
          </w:rPr>
          <w:t>https://europa.eu/european-union/about-eu/symbols/europe-day/schuman-declaration_pt</w:t>
        </w:r>
      </w:hyperlink>
      <w:r w:rsidRPr="005E6F67">
        <w:rPr>
          <w:rFonts w:ascii="Times New Roman" w:hAnsi="Times New Roman"/>
        </w:rPr>
        <w:t xml:space="preserve"> .</w:t>
      </w:r>
    </w:p>
  </w:footnote>
  <w:footnote w:id="57">
    <w:p w14:paraId="4A4D032A"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O </w:t>
      </w:r>
      <w:r w:rsidRPr="005E6F67">
        <w:rPr>
          <w:rFonts w:ascii="Times New Roman" w:hAnsi="Times New Roman"/>
          <w:bCs/>
        </w:rPr>
        <w:t>Tratado que institui a Comunidade Europeia do Carvão e do Aço (C.E.C.A.)</w:t>
      </w:r>
      <w:r w:rsidRPr="005E6F67">
        <w:rPr>
          <w:rFonts w:ascii="Times New Roman" w:hAnsi="Times New Roman"/>
        </w:rPr>
        <w:t xml:space="preserve"> previa a sua vigência para um período de 50 anos (artigo 97.º TCECA). Iniciou-se em 23 de julho de 1952 e terminou em 23 de julho de 2002, tendo-se verificado a passagem dos sectores por ele regulamentados para a aplicação do Tratado CE, bem como para as regras processuais e de direito derivado dele decorrentes. Por forma a acompanhar esta transição, a Comissão elaborou uma Comunicação 2002/C 152/03, adotada em 21 de Junho de 2002, relativa a certos aspetos do tratamento dos processos de concorrência decorrentes do termo de vigência do Tratado CECA (JOCE C 152 de 26.06.2002), para fornecer informações, garantias e segurança neste contexto, explicando as alterações mais importantes de direito material e processual, que se aplicou a partir de 24 de Julho de 2003. Pretende facilitar a transição, estabelecendo a forma como serão abordadas determinadas situações, no âmbito do processo de transição do regime CECA para o regime CE, na convicção que, em termos práticos, as alterações decorrentes serão limitadas.</w:t>
      </w:r>
    </w:p>
    <w:p w14:paraId="077F35CE" w14:textId="77777777" w:rsidR="007E3D2E" w:rsidRPr="005E6F67" w:rsidRDefault="007E3D2E" w:rsidP="007E3D2E">
      <w:pPr>
        <w:pStyle w:val="Textodenotaderodap"/>
        <w:ind w:firstLine="708"/>
        <w:jc w:val="both"/>
        <w:rPr>
          <w:rFonts w:ascii="Times New Roman" w:hAnsi="Times New Roman"/>
        </w:rPr>
      </w:pPr>
      <w:r w:rsidRPr="005E6F67">
        <w:rPr>
          <w:rFonts w:ascii="Times New Roman" w:hAnsi="Times New Roman"/>
        </w:rPr>
        <w:t xml:space="preserve">Ver, da autora, “50 anos de Comunidade Europeia do Carvão e do Aço (C.E.C.A.)” </w:t>
      </w:r>
      <w:r w:rsidRPr="005E6F67">
        <w:rPr>
          <w:rFonts w:ascii="Times New Roman" w:hAnsi="Times New Roman"/>
          <w:i/>
          <w:iCs/>
        </w:rPr>
        <w:t>In Revista Jurídica</w:t>
      </w:r>
      <w:r w:rsidRPr="005E6F67">
        <w:rPr>
          <w:rFonts w:ascii="Times New Roman" w:hAnsi="Times New Roman"/>
        </w:rPr>
        <w:t xml:space="preserve"> n.º 9, Universidade Portucalense: 2002, p. 127.</w:t>
      </w:r>
    </w:p>
    <w:p w14:paraId="363FE79E" w14:textId="77777777" w:rsidR="007E3D2E" w:rsidRPr="005E6F67" w:rsidRDefault="007E3D2E" w:rsidP="007E3D2E">
      <w:pPr>
        <w:pStyle w:val="Textodenotaderodap"/>
        <w:ind w:firstLine="708"/>
        <w:jc w:val="both"/>
        <w:rPr>
          <w:rFonts w:ascii="Times New Roman" w:hAnsi="Times New Roman"/>
        </w:rPr>
      </w:pPr>
      <w:r w:rsidRPr="005E6F67">
        <w:rPr>
          <w:rFonts w:ascii="Times New Roman" w:hAnsi="Times New Roman"/>
        </w:rPr>
        <w:t xml:space="preserve">Diferente nos artigos </w:t>
      </w:r>
      <w:r w:rsidRPr="005E6F67">
        <w:rPr>
          <w:rFonts w:ascii="Times New Roman" w:hAnsi="Times New Roman"/>
          <w:bCs/>
        </w:rPr>
        <w:t>53.º do TUE e 356.º do TFUE</w:t>
      </w:r>
      <w:r w:rsidRPr="005E6F67">
        <w:rPr>
          <w:rFonts w:ascii="Times New Roman" w:hAnsi="Times New Roman"/>
        </w:rPr>
        <w:t>.</w:t>
      </w:r>
    </w:p>
  </w:footnote>
  <w:footnote w:id="58">
    <w:p w14:paraId="4CA572B0"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No Tratado de Lisboa, o hino, a bandeira, lema, moeda e dia comemorativo não constam do texto do </w:t>
      </w:r>
      <w:proofErr w:type="gramStart"/>
      <w:r w:rsidRPr="005E6F67">
        <w:rPr>
          <w:rFonts w:ascii="Times New Roman" w:hAnsi="Times New Roman"/>
        </w:rPr>
        <w:t>Tratado</w:t>
      </w:r>
      <w:proofErr w:type="gramEnd"/>
      <w:r w:rsidRPr="005E6F67">
        <w:rPr>
          <w:rFonts w:ascii="Times New Roman" w:hAnsi="Times New Roman"/>
        </w:rPr>
        <w:t xml:space="preserve"> mas mantêm referência em declaração anexa (n.º 52), em que 16 Estados os reconhecem como símbolos da União Europeia (Declaração dos Estados-membros adotada pela Conferência dos Representantes dos Estados-membros e anexa ao TL C.52, JOUE C 306 de 17.12.2007, página 267).</w:t>
      </w:r>
    </w:p>
  </w:footnote>
  <w:footnote w:id="59">
    <w:p w14:paraId="022D9F0F" w14:textId="77777777" w:rsidR="007E3D2E" w:rsidRPr="005E6F67" w:rsidRDefault="007E3D2E" w:rsidP="007E3D2E">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bookmarkStart w:id="24" w:name="_Hlk102372603"/>
      <w:r w:rsidRPr="005E6F67">
        <w:rPr>
          <w:rFonts w:ascii="Times New Roman" w:hAnsi="Times New Roman"/>
        </w:rPr>
        <w:fldChar w:fldCharType="begin"/>
      </w:r>
      <w:r w:rsidRPr="005E6F67">
        <w:rPr>
          <w:rFonts w:ascii="Times New Roman" w:hAnsi="Times New Roman"/>
        </w:rPr>
        <w:instrText>HYPERLINK "https://europeday.europa.eu/index_pt"</w:instrText>
      </w:r>
      <w:r w:rsidRPr="005E6F67">
        <w:rPr>
          <w:rFonts w:ascii="Times New Roman" w:hAnsi="Times New Roman"/>
        </w:rPr>
        <w:fldChar w:fldCharType="separate"/>
      </w:r>
      <w:r w:rsidRPr="005E6F67">
        <w:rPr>
          <w:rStyle w:val="Hiperligao"/>
          <w:rFonts w:ascii="Times New Roman" w:hAnsi="Times New Roman"/>
        </w:rPr>
        <w:t>https://europeday.europa.eu/index_pt</w:t>
      </w:r>
      <w:r w:rsidRPr="005E6F67">
        <w:rPr>
          <w:rFonts w:ascii="Times New Roman" w:hAnsi="Times New Roman"/>
        </w:rPr>
        <w:fldChar w:fldCharType="end"/>
      </w:r>
      <w:bookmarkEnd w:id="24"/>
    </w:p>
  </w:footnote>
  <w:footnote w:id="60">
    <w:p w14:paraId="2B3BC31D" w14:textId="77777777" w:rsidR="007E3D2E" w:rsidRDefault="007E3D2E" w:rsidP="007E3D2E">
      <w:pPr>
        <w:pStyle w:val="Textodenotaderodap"/>
      </w:pPr>
      <w:r w:rsidRPr="005E6F67">
        <w:rPr>
          <w:rStyle w:val="Refdenotaderodap"/>
          <w:rFonts w:ascii="Times New Roman" w:hAnsi="Times New Roman"/>
        </w:rPr>
        <w:footnoteRef/>
      </w:r>
      <w:r w:rsidRPr="005E6F67">
        <w:rPr>
          <w:rFonts w:ascii="Times New Roman" w:hAnsi="Times New Roman"/>
        </w:rPr>
        <w:t xml:space="preserve"> Em </w:t>
      </w:r>
      <w:hyperlink r:id="rId42" w:history="1">
        <w:r w:rsidRPr="005E6F67">
          <w:rPr>
            <w:rStyle w:val="Hiperligao"/>
            <w:rFonts w:ascii="Times New Roman" w:hAnsi="Times New Roman"/>
          </w:rPr>
          <w:t>https://ec.europa.eu/commission/presscorner/detail/pt/IP_22_2763</w:t>
        </w:r>
      </w:hyperlink>
    </w:p>
  </w:footnote>
  <w:footnote w:id="61">
    <w:p w14:paraId="4E45F617" w14:textId="3FB28298" w:rsidR="008D593C" w:rsidRPr="000A458D" w:rsidRDefault="008D593C" w:rsidP="002B6A1E">
      <w:pPr>
        <w:pStyle w:val="Textodenotaderodap"/>
        <w:jc w:val="both"/>
        <w:rPr>
          <w:rFonts w:ascii="Times New Roman" w:hAnsi="Times New Roman"/>
        </w:rPr>
      </w:pPr>
      <w:r w:rsidRPr="000A458D">
        <w:rPr>
          <w:rStyle w:val="Refdenotaderodap"/>
          <w:rFonts w:ascii="Times New Roman" w:hAnsi="Times New Roman"/>
        </w:rPr>
        <w:footnoteRef/>
      </w:r>
      <w:r w:rsidRPr="000A458D">
        <w:rPr>
          <w:rFonts w:ascii="Times New Roman" w:hAnsi="Times New Roman"/>
        </w:rPr>
        <w:t xml:space="preserve"> Em </w:t>
      </w:r>
      <w:hyperlink r:id="rId43" w:history="1">
        <w:r w:rsidRPr="000A458D">
          <w:rPr>
            <w:rStyle w:val="Hiperligao"/>
            <w:rFonts w:ascii="Times New Roman" w:hAnsi="Times New Roman"/>
          </w:rPr>
          <w:t>https://eur-lex.europa.eu/legal-content/PT/TXT/?uri=CELEX%3A32022D0712&amp;qid=1666544346224</w:t>
        </w:r>
      </w:hyperlink>
    </w:p>
  </w:footnote>
  <w:footnote w:id="62">
    <w:p w14:paraId="7ABEDAA0" w14:textId="0605740C" w:rsidR="000A458D" w:rsidRDefault="000A458D">
      <w:pPr>
        <w:pStyle w:val="Textodenotaderodap"/>
      </w:pPr>
      <w:r w:rsidRPr="000A458D">
        <w:rPr>
          <w:rStyle w:val="Refdenotaderodap"/>
          <w:rFonts w:ascii="Times New Roman" w:hAnsi="Times New Roman"/>
        </w:rPr>
        <w:footnoteRef/>
      </w:r>
      <w:r w:rsidRPr="000A458D">
        <w:rPr>
          <w:rFonts w:ascii="Times New Roman" w:hAnsi="Times New Roman"/>
        </w:rPr>
        <w:t xml:space="preserve"> Em </w:t>
      </w:r>
      <w:hyperlink r:id="rId44" w:history="1">
        <w:r w:rsidRPr="000A458D">
          <w:rPr>
            <w:rStyle w:val="Hiperligao"/>
            <w:rFonts w:ascii="Times New Roman" w:hAnsi="Times New Roman"/>
          </w:rPr>
          <w:t>https://eur-lex.europa.eu/legal-content/PT/TXT/PDF/?uri=CELEX:02004L0035-20190626&amp;from=EN</w:t>
        </w:r>
      </w:hyperlink>
    </w:p>
  </w:footnote>
  <w:footnote w:id="63">
    <w:p w14:paraId="2EB90003"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45" w:history="1">
        <w:r w:rsidRPr="005E6F67">
          <w:rPr>
            <w:rStyle w:val="Hiperligao"/>
            <w:rFonts w:ascii="Times New Roman" w:hAnsi="Times New Roman"/>
          </w:rPr>
          <w:t>https://eur-lex.europa.eu/legal-content/PT/TXT/PDF/?uri=CELEX:32022Q0519(01)&amp;from=PT</w:t>
        </w:r>
      </w:hyperlink>
    </w:p>
  </w:footnote>
  <w:footnote w:id="64">
    <w:p w14:paraId="0A4240B8"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46" w:history="1">
        <w:r w:rsidRPr="005E6F67">
          <w:rPr>
            <w:rStyle w:val="Hiperligao"/>
            <w:rFonts w:ascii="Times New Roman" w:hAnsi="Times New Roman"/>
          </w:rPr>
          <w:t>https://eur-lex.europa.eu/legal-content/PT/TXT/PDF/?uri=CELEX:32021Q0210(01)&amp;from=PT</w:t>
        </w:r>
      </w:hyperlink>
      <w:r w:rsidRPr="005E6F67">
        <w:rPr>
          <w:rFonts w:ascii="Times New Roman" w:hAnsi="Times New Roman"/>
        </w:rPr>
        <w:t xml:space="preserve"> </w:t>
      </w:r>
    </w:p>
  </w:footnote>
  <w:footnote w:id="65">
    <w:p w14:paraId="2AB98D37"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47" w:history="1">
        <w:r w:rsidRPr="005E6F67">
          <w:rPr>
            <w:rStyle w:val="Hiperligao"/>
            <w:rFonts w:ascii="Times New Roman" w:hAnsi="Times New Roman"/>
          </w:rPr>
          <w:t>https://eur-lex.europa.eu/legal-content/PT/TXT/?uri=CELEX%3A52022DC0234&amp;qid=1653033335279</w:t>
        </w:r>
      </w:hyperlink>
    </w:p>
  </w:footnote>
  <w:footnote w:id="66">
    <w:p w14:paraId="2B6B3D91" w14:textId="77777777" w:rsidR="007E3D2E" w:rsidRPr="00205B2F"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Publicação em folheto em </w:t>
      </w:r>
      <w:hyperlink r:id="rId48" w:history="1">
        <w:r w:rsidRPr="005E6F67">
          <w:rPr>
            <w:rStyle w:val="Hiperligao"/>
            <w:rFonts w:ascii="Times New Roman" w:hAnsi="Times New Roman"/>
          </w:rPr>
          <w:t>https://ec.europa.eu/info/files/eu-justice-scoreboard-2022_pt</w:t>
        </w:r>
      </w:hyperlink>
    </w:p>
  </w:footnote>
  <w:footnote w:id="67">
    <w:p w14:paraId="4C259B32"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49" w:history="1">
        <w:r w:rsidRPr="005E6F67">
          <w:rPr>
            <w:rStyle w:val="Hiperligao"/>
            <w:rFonts w:ascii="Times New Roman" w:hAnsi="Times New Roman"/>
          </w:rPr>
          <w:t>https://ec.europa.eu/commission/presscorner/detail/pt/ip_22_3146</w:t>
        </w:r>
      </w:hyperlink>
    </w:p>
  </w:footnote>
  <w:footnote w:id="68">
    <w:p w14:paraId="686339F7" w14:textId="77777777" w:rsidR="004914B8" w:rsidRPr="00C810E9" w:rsidRDefault="004914B8" w:rsidP="004914B8">
      <w:pPr>
        <w:pStyle w:val="Textodenotaderodap"/>
        <w:jc w:val="both"/>
        <w:rPr>
          <w:rFonts w:ascii="Times New Roman" w:hAnsi="Times New Roman"/>
        </w:rPr>
      </w:pPr>
      <w:r w:rsidRPr="00C810E9">
        <w:rPr>
          <w:rStyle w:val="Refdenotaderodap"/>
          <w:rFonts w:ascii="Times New Roman" w:hAnsi="Times New Roman"/>
        </w:rPr>
        <w:footnoteRef/>
      </w:r>
      <w:r w:rsidRPr="00C810E9">
        <w:rPr>
          <w:rFonts w:ascii="Times New Roman" w:hAnsi="Times New Roman"/>
        </w:rPr>
        <w:t xml:space="preserve"> Em </w:t>
      </w:r>
      <w:hyperlink r:id="rId50" w:history="1">
        <w:r w:rsidRPr="00C810E9">
          <w:rPr>
            <w:rStyle w:val="Hiperligao"/>
            <w:rFonts w:ascii="Times New Roman" w:hAnsi="Times New Roman"/>
          </w:rPr>
          <w:t>Textos aprovados - Relatório da Comissão de 2021 sobre o Estado de direito - Quinta-feira, 19 de Maio de 2022 (europa.eu)</w:t>
        </w:r>
      </w:hyperlink>
    </w:p>
  </w:footnote>
  <w:footnote w:id="69">
    <w:p w14:paraId="59BFBDDB"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w:t>
      </w:r>
      <w:r w:rsidRPr="005E6F67">
        <w:rPr>
          <w:rFonts w:ascii="Times New Roman" w:hAnsi="Times New Roman"/>
          <w:color w:val="333333"/>
          <w:shd w:val="clear" w:color="auto" w:fill="FFFFFF"/>
        </w:rPr>
        <w:t xml:space="preserve">Diretiva (UE) 2019/2161 do Parlamento Europeu e do Conselho de 27 de novembro de 2019 que altera a Diretiva 93/13/CEE do Conselho e as Diretivas 98/6/CE, 2005/29/CE e 2011/83/UE do Parlamento Europeu e do Conselho a fim de assegurar uma melhor aplicação e a modernização das regras da União em matéria de defesa dos consumidores. Em </w:t>
      </w:r>
      <w:hyperlink r:id="rId51" w:history="1">
        <w:r w:rsidRPr="005E6F67">
          <w:rPr>
            <w:rStyle w:val="Hiperligao"/>
            <w:rFonts w:ascii="Times New Roman" w:hAnsi="Times New Roman"/>
            <w:shd w:val="clear" w:color="auto" w:fill="FFFFFF"/>
          </w:rPr>
          <w:t>https://eur-lex.europa.eu/legal-content/PT/TXT/PDF/?uri=CELEX:32019L2161&amp;from=PT</w:t>
        </w:r>
      </w:hyperlink>
      <w:r w:rsidRPr="005E6F67">
        <w:rPr>
          <w:rFonts w:ascii="Times New Roman" w:hAnsi="Times New Roman"/>
          <w:color w:val="333333"/>
          <w:shd w:val="clear" w:color="auto" w:fill="FFFFFF"/>
        </w:rPr>
        <w:t xml:space="preserve"> </w:t>
      </w:r>
    </w:p>
  </w:footnote>
  <w:footnote w:id="70">
    <w:p w14:paraId="2BE35B98"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lang w:val="en-US"/>
        </w:rPr>
        <w:t xml:space="preserve"> Ver </w:t>
      </w:r>
      <w:hyperlink r:id="rId52" w:history="1">
        <w:r w:rsidRPr="005E6F67">
          <w:rPr>
            <w:rStyle w:val="Hiperligao"/>
            <w:rFonts w:ascii="Times New Roman" w:hAnsi="Times New Roman"/>
            <w:lang w:val="en-US"/>
          </w:rPr>
          <w:t xml:space="preserve">Factsheet - New Consumer Rights: What benefits will I get? </w:t>
        </w:r>
        <w:r w:rsidRPr="005E6F67">
          <w:rPr>
            <w:rStyle w:val="Hiperligao"/>
            <w:rFonts w:ascii="Times New Roman" w:hAnsi="Times New Roman"/>
          </w:rPr>
          <w:t>| Comissão Europeia (europa.eu)</w:t>
        </w:r>
      </w:hyperlink>
    </w:p>
  </w:footnote>
  <w:footnote w:id="71">
    <w:p w14:paraId="4C3D9250" w14:textId="77777777" w:rsidR="007E3D2E" w:rsidRPr="005E6F67"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Ler em</w:t>
      </w:r>
    </w:p>
    <w:p w14:paraId="7122D476" w14:textId="77777777" w:rsidR="007E3D2E" w:rsidRPr="005E6F67" w:rsidRDefault="00523249" w:rsidP="007E3D2E">
      <w:pPr>
        <w:pStyle w:val="Textodenotaderodap"/>
        <w:jc w:val="both"/>
        <w:rPr>
          <w:rFonts w:ascii="Times New Roman" w:hAnsi="Times New Roman"/>
        </w:rPr>
      </w:pPr>
      <w:hyperlink r:id="rId53" w:history="1">
        <w:r w:rsidR="007E3D2E" w:rsidRPr="005E6F67">
          <w:rPr>
            <w:rStyle w:val="Hiperligao"/>
            <w:rFonts w:ascii="Times New Roman" w:hAnsi="Times New Roman"/>
          </w:rPr>
          <w:t>https://www.telles.pt/xms/files/TELLES_Nota_informativa_Digital_Privacidade_e_Ciberseguranca__Decreto-Lei_n.o_109-G_2021.pdf</w:t>
        </w:r>
      </w:hyperlink>
      <w:r w:rsidR="007E3D2E" w:rsidRPr="005E6F67">
        <w:rPr>
          <w:rFonts w:ascii="Times New Roman" w:hAnsi="Times New Roman"/>
        </w:rPr>
        <w:t xml:space="preserve"> </w:t>
      </w:r>
    </w:p>
  </w:footnote>
  <w:footnote w:id="72">
    <w:p w14:paraId="603DA50E" w14:textId="77777777" w:rsidR="007E3D2E" w:rsidRPr="00B64EAF" w:rsidRDefault="007E3D2E" w:rsidP="007E3D2E">
      <w:pPr>
        <w:pStyle w:val="Textodenotaderodap"/>
        <w:jc w:val="both"/>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Da autora, no tema: </w:t>
      </w:r>
      <w:r w:rsidRPr="005E6F67">
        <w:rPr>
          <w:rFonts w:ascii="Times New Roman" w:hAnsi="Times New Roman"/>
          <w:color w:val="333333"/>
          <w:shd w:val="clear" w:color="auto" w:fill="FFFFFF"/>
        </w:rPr>
        <w:t xml:space="preserve">Alves, D. R. (2012). A entrada em vigor do direito de iniciativa de cidadania europeia. Revista Jurídica, 15, 49-56. Disponível no Repositório UPT, </w:t>
      </w:r>
      <w:hyperlink r:id="rId54" w:history="1">
        <w:r w:rsidRPr="005E6F67">
          <w:rPr>
            <w:rStyle w:val="Hiperligao"/>
            <w:rFonts w:ascii="Times New Roman" w:hAnsi="Times New Roman"/>
            <w:shd w:val="clear" w:color="auto" w:fill="FFFFFF"/>
          </w:rPr>
          <w:t>http://hdl.handle.net/11328/1101</w:t>
        </w:r>
      </w:hyperlink>
      <w:r w:rsidRPr="005E6F67">
        <w:rPr>
          <w:rFonts w:ascii="Times New Roman" w:hAnsi="Times New Roman"/>
          <w:color w:val="333333"/>
          <w:shd w:val="clear" w:color="auto" w:fill="FFFFFF"/>
        </w:rPr>
        <w:t xml:space="preserve"> / Alves, D.R. (2012). A estrutura da União Europeia. Revista Interdisciplinar de </w:t>
      </w:r>
      <w:proofErr w:type="spellStart"/>
      <w:r w:rsidRPr="005E6F67">
        <w:rPr>
          <w:rFonts w:ascii="Times New Roman" w:hAnsi="Times New Roman"/>
          <w:color w:val="333333"/>
          <w:shd w:val="clear" w:color="auto" w:fill="FFFFFF"/>
        </w:rPr>
        <w:t>Direito.Rio</w:t>
      </w:r>
      <w:proofErr w:type="spellEnd"/>
      <w:r w:rsidRPr="005E6F67">
        <w:rPr>
          <w:rFonts w:ascii="Times New Roman" w:hAnsi="Times New Roman"/>
          <w:color w:val="333333"/>
          <w:shd w:val="clear" w:color="auto" w:fill="FFFFFF"/>
        </w:rPr>
        <w:t xml:space="preserve"> de Janeiro: Faculdade de Direito de Valença do Estado do Rio de Janeiro, Ano IX, 9, 269-284. Disponível no Repositório UPT, </w:t>
      </w:r>
      <w:hyperlink r:id="rId55" w:history="1">
        <w:r w:rsidRPr="005E6F67">
          <w:rPr>
            <w:rStyle w:val="Hiperligao"/>
            <w:rFonts w:ascii="Times New Roman" w:hAnsi="Times New Roman"/>
            <w:shd w:val="clear" w:color="auto" w:fill="FFFFFF"/>
          </w:rPr>
          <w:t>http://hdl.handle.net/11328/702</w:t>
        </w:r>
      </w:hyperlink>
      <w:r w:rsidRPr="005E6F67">
        <w:rPr>
          <w:rFonts w:ascii="Times New Roman" w:hAnsi="Times New Roman"/>
          <w:color w:val="333333"/>
          <w:shd w:val="clear" w:color="auto" w:fill="FFFFFF"/>
        </w:rPr>
        <w:t xml:space="preserve">. </w:t>
      </w:r>
      <w:proofErr w:type="gramStart"/>
      <w:r w:rsidRPr="005E6F67">
        <w:rPr>
          <w:rFonts w:ascii="Times New Roman" w:hAnsi="Times New Roman"/>
          <w:color w:val="333333"/>
          <w:shd w:val="clear" w:color="auto" w:fill="FFFFFF"/>
        </w:rPr>
        <w:t>/  Campina</w:t>
      </w:r>
      <w:proofErr w:type="gramEnd"/>
      <w:r w:rsidRPr="005E6F67">
        <w:rPr>
          <w:rFonts w:ascii="Times New Roman" w:hAnsi="Times New Roman"/>
          <w:color w:val="333333"/>
          <w:shd w:val="clear" w:color="auto" w:fill="FFFFFF"/>
        </w:rPr>
        <w:t xml:space="preserve">, A., Silva, M. M. M., &amp; Alves, D. R (2017). </w:t>
      </w:r>
      <w:r w:rsidRPr="005E6F67">
        <w:rPr>
          <w:rFonts w:ascii="Times New Roman" w:hAnsi="Times New Roman"/>
          <w:color w:val="333333"/>
          <w:shd w:val="clear" w:color="auto" w:fill="FFFFFF"/>
          <w:lang w:val="en-US"/>
        </w:rPr>
        <w:t xml:space="preserve">The </w:t>
      </w:r>
      <w:proofErr w:type="spellStart"/>
      <w:r w:rsidRPr="005E6F67">
        <w:rPr>
          <w:rFonts w:ascii="Times New Roman" w:hAnsi="Times New Roman"/>
          <w:color w:val="333333"/>
          <w:shd w:val="clear" w:color="auto" w:fill="FFFFFF"/>
          <w:lang w:val="en-US"/>
        </w:rPr>
        <w:t>european</w:t>
      </w:r>
      <w:proofErr w:type="spellEnd"/>
      <w:r w:rsidRPr="005E6F67">
        <w:rPr>
          <w:rFonts w:ascii="Times New Roman" w:hAnsi="Times New Roman"/>
          <w:color w:val="333333"/>
          <w:shd w:val="clear" w:color="auto" w:fill="FFFFFF"/>
          <w:lang w:val="en-US"/>
        </w:rPr>
        <w:t xml:space="preserve"> citizens’ initiative within democracy context. In 4th International Interdisciplinary Conference of Political Research SCOPE: Science of Politics, University of Bucharest, Romanian, 26th-28th May 2017 (Booklet p. 22). </w:t>
      </w:r>
      <w:r w:rsidRPr="005E6F67">
        <w:rPr>
          <w:rFonts w:ascii="Times New Roman" w:hAnsi="Times New Roman"/>
          <w:color w:val="333333"/>
          <w:shd w:val="clear" w:color="auto" w:fill="FFFFFF"/>
        </w:rPr>
        <w:t xml:space="preserve">Disponível no Repositório UPT, </w:t>
      </w:r>
      <w:hyperlink r:id="rId56" w:history="1">
        <w:r w:rsidRPr="005E6F67">
          <w:rPr>
            <w:rStyle w:val="Hiperligao"/>
            <w:rFonts w:ascii="Times New Roman" w:hAnsi="Times New Roman"/>
            <w:shd w:val="clear" w:color="auto" w:fill="FFFFFF"/>
          </w:rPr>
          <w:t>http://hdl.handle.net/11328/1854</w:t>
        </w:r>
      </w:hyperlink>
      <w:r w:rsidRPr="005E6F67">
        <w:rPr>
          <w:rFonts w:ascii="Times New Roman" w:hAnsi="Times New Roman"/>
          <w:color w:val="333333"/>
          <w:shd w:val="clear" w:color="auto" w:fill="FFFFFF"/>
        </w:rPr>
        <w:t xml:space="preserve"> /  Alves, D. R., &amp; Silva, M. M. M. (2019). A iniciativa de cidadania Europeia num contexto de democracia. Revista Direitos Humanos e Democracia, 7(14), </w:t>
      </w:r>
      <w:proofErr w:type="spellStart"/>
      <w:r w:rsidRPr="005E6F67">
        <w:rPr>
          <w:rFonts w:ascii="Times New Roman" w:hAnsi="Times New Roman"/>
          <w:color w:val="333333"/>
          <w:shd w:val="clear" w:color="auto" w:fill="FFFFFF"/>
        </w:rPr>
        <w:t>Qualis</w:t>
      </w:r>
      <w:proofErr w:type="spellEnd"/>
      <w:r w:rsidRPr="005E6F67">
        <w:rPr>
          <w:rFonts w:ascii="Times New Roman" w:hAnsi="Times New Roman"/>
          <w:color w:val="333333"/>
          <w:shd w:val="clear" w:color="auto" w:fill="FFFFFF"/>
        </w:rPr>
        <w:t xml:space="preserve"> B1, 15-29. doi: 10.21527/2317-5389.2019.14.15-29. Disponível no Repositório UPT, </w:t>
      </w:r>
      <w:hyperlink r:id="rId57" w:history="1">
        <w:r w:rsidRPr="005E6F67">
          <w:rPr>
            <w:rStyle w:val="Hiperligao"/>
            <w:rFonts w:ascii="Times New Roman" w:hAnsi="Times New Roman"/>
            <w:shd w:val="clear" w:color="auto" w:fill="FFFFFF"/>
          </w:rPr>
          <w:t>http://hdl.handle.net/11328/2981</w:t>
        </w:r>
      </w:hyperlink>
      <w:r w:rsidRPr="005E6F67">
        <w:rPr>
          <w:rFonts w:ascii="Times New Roman" w:hAnsi="Times New Roman"/>
          <w:color w:val="333333"/>
          <w:shd w:val="clear" w:color="auto" w:fill="FFFFFF"/>
        </w:rPr>
        <w:t xml:space="preserve">  /  Silva, M. M. M., Alves, D. R., &amp; Ferreira, M. J. (2018). </w:t>
      </w:r>
      <w:r w:rsidRPr="005E6F67">
        <w:rPr>
          <w:rFonts w:ascii="Times New Roman" w:hAnsi="Times New Roman"/>
          <w:color w:val="333333"/>
          <w:shd w:val="clear" w:color="auto" w:fill="FFFFFF"/>
          <w:lang w:val="en-US"/>
        </w:rPr>
        <w:t xml:space="preserve">The value of new technologies in participatory democracy: The case of the European Citizens’ Initiative. </w:t>
      </w:r>
      <w:r w:rsidRPr="005E6F67">
        <w:rPr>
          <w:rFonts w:ascii="Times New Roman" w:hAnsi="Times New Roman"/>
          <w:color w:val="333333"/>
          <w:shd w:val="clear" w:color="auto" w:fill="FFFFFF"/>
        </w:rPr>
        <w:t xml:space="preserve">In I </w:t>
      </w:r>
      <w:proofErr w:type="spellStart"/>
      <w:r w:rsidRPr="005E6F67">
        <w:rPr>
          <w:rFonts w:ascii="Times New Roman" w:hAnsi="Times New Roman"/>
          <w:color w:val="333333"/>
          <w:shd w:val="clear" w:color="auto" w:fill="FFFFFF"/>
        </w:rPr>
        <w:t>Congreso</w:t>
      </w:r>
      <w:proofErr w:type="spellEnd"/>
      <w:r w:rsidRPr="005E6F67">
        <w:rPr>
          <w:rFonts w:ascii="Times New Roman" w:hAnsi="Times New Roman"/>
          <w:color w:val="333333"/>
          <w:shd w:val="clear" w:color="auto" w:fill="FFFFFF"/>
        </w:rPr>
        <w:t xml:space="preserve"> Internacional sobre </w:t>
      </w:r>
      <w:proofErr w:type="spellStart"/>
      <w:r w:rsidRPr="005E6F67">
        <w:rPr>
          <w:rFonts w:ascii="Times New Roman" w:hAnsi="Times New Roman"/>
          <w:color w:val="333333"/>
          <w:shd w:val="clear" w:color="auto" w:fill="FFFFFF"/>
        </w:rPr>
        <w:t>Vulnerabilidad</w:t>
      </w:r>
      <w:proofErr w:type="spellEnd"/>
      <w:r w:rsidRPr="005E6F67">
        <w:rPr>
          <w:rFonts w:ascii="Times New Roman" w:hAnsi="Times New Roman"/>
          <w:color w:val="333333"/>
          <w:shd w:val="clear" w:color="auto" w:fill="FFFFFF"/>
        </w:rPr>
        <w:t xml:space="preserve"> y Cultura Digital, Madrid, </w:t>
      </w:r>
      <w:proofErr w:type="spellStart"/>
      <w:r w:rsidRPr="005E6F67">
        <w:rPr>
          <w:rFonts w:ascii="Times New Roman" w:hAnsi="Times New Roman"/>
          <w:color w:val="333333"/>
          <w:shd w:val="clear" w:color="auto" w:fill="FFFFFF"/>
        </w:rPr>
        <w:t>Spain</w:t>
      </w:r>
      <w:proofErr w:type="spellEnd"/>
      <w:r w:rsidRPr="005E6F67">
        <w:rPr>
          <w:rFonts w:ascii="Times New Roman" w:hAnsi="Times New Roman"/>
          <w:color w:val="333333"/>
          <w:shd w:val="clear" w:color="auto" w:fill="FFFFFF"/>
        </w:rPr>
        <w:t xml:space="preserve">, 18-19 </w:t>
      </w:r>
      <w:proofErr w:type="spellStart"/>
      <w:r w:rsidRPr="005E6F67">
        <w:rPr>
          <w:rFonts w:ascii="Times New Roman" w:hAnsi="Times New Roman"/>
          <w:color w:val="333333"/>
          <w:shd w:val="clear" w:color="auto" w:fill="FFFFFF"/>
        </w:rPr>
        <w:t>October</w:t>
      </w:r>
      <w:proofErr w:type="spellEnd"/>
      <w:r w:rsidRPr="005E6F67">
        <w:rPr>
          <w:rFonts w:ascii="Times New Roman" w:hAnsi="Times New Roman"/>
          <w:color w:val="333333"/>
          <w:shd w:val="clear" w:color="auto" w:fill="FFFFFF"/>
        </w:rPr>
        <w:t xml:space="preserve"> 2018. Disponível no Repositório UPT, </w:t>
      </w:r>
      <w:hyperlink r:id="rId58" w:history="1">
        <w:r w:rsidRPr="005E6F67">
          <w:rPr>
            <w:rStyle w:val="Hiperligao"/>
            <w:rFonts w:ascii="Times New Roman" w:hAnsi="Times New Roman"/>
            <w:shd w:val="clear" w:color="auto" w:fill="FFFFFF"/>
          </w:rPr>
          <w:t>http://hdl.handle.net/11328/2422</w:t>
        </w:r>
      </w:hyperlink>
      <w:r w:rsidRPr="005E6F67">
        <w:rPr>
          <w:rFonts w:ascii="Times New Roman" w:hAnsi="Times New Roman"/>
          <w:color w:val="333333"/>
          <w:shd w:val="clear" w:color="auto" w:fill="FFFFFF"/>
        </w:rPr>
        <w:t xml:space="preserve">  /  Alves, D. R., &amp; Xavier, A. M. C. (2021). Iniciativa legislativa dos cidadãos: Comparativo entre a União Europeia e o Brasil. Revista Ibérica do Direito, 2(1), 91-113. Disponível no Repositório UPT, </w:t>
      </w:r>
      <w:hyperlink r:id="rId59" w:history="1">
        <w:r w:rsidRPr="005E6F67">
          <w:rPr>
            <w:rStyle w:val="Hiperligao"/>
            <w:rFonts w:ascii="Times New Roman" w:hAnsi="Times New Roman"/>
            <w:shd w:val="clear" w:color="auto" w:fill="FFFFFF"/>
          </w:rPr>
          <w:t>http://hdl.handle.net/11328/3713</w:t>
        </w:r>
      </w:hyperlink>
      <w:r w:rsidRPr="005E6F67">
        <w:rPr>
          <w:rFonts w:ascii="Times New Roman" w:hAnsi="Times New Roman"/>
          <w:color w:val="333333"/>
          <w:shd w:val="clear" w:color="auto" w:fill="FFFFFF"/>
        </w:rPr>
        <w:t xml:space="preserve"> / Alves, D. R., &amp; Silva, M. M. M. (2021). Formas de participação democrática do cidadão no processo legislativo. In J. C. </w:t>
      </w:r>
      <w:proofErr w:type="spellStart"/>
      <w:r w:rsidRPr="005E6F67">
        <w:rPr>
          <w:rFonts w:ascii="Times New Roman" w:hAnsi="Times New Roman"/>
          <w:color w:val="333333"/>
          <w:shd w:val="clear" w:color="auto" w:fill="FFFFFF"/>
        </w:rPr>
        <w:t>Figuereo-Benítez</w:t>
      </w:r>
      <w:proofErr w:type="spellEnd"/>
      <w:r w:rsidRPr="005E6F67">
        <w:rPr>
          <w:rFonts w:ascii="Times New Roman" w:hAnsi="Times New Roman"/>
          <w:color w:val="333333"/>
          <w:shd w:val="clear" w:color="auto" w:fill="FFFFFF"/>
        </w:rPr>
        <w:t xml:space="preserve">, &amp; R. </w:t>
      </w:r>
      <w:proofErr w:type="spellStart"/>
      <w:r w:rsidRPr="005E6F67">
        <w:rPr>
          <w:rFonts w:ascii="Times New Roman" w:hAnsi="Times New Roman"/>
          <w:color w:val="333333"/>
          <w:shd w:val="clear" w:color="auto" w:fill="FFFFFF"/>
        </w:rPr>
        <w:t>Mancinas</w:t>
      </w:r>
      <w:proofErr w:type="spellEnd"/>
      <w:r w:rsidRPr="005E6F67">
        <w:rPr>
          <w:rFonts w:ascii="Times New Roman" w:hAnsi="Times New Roman"/>
          <w:color w:val="333333"/>
          <w:shd w:val="clear" w:color="auto" w:fill="FFFFFF"/>
        </w:rPr>
        <w:t>-Chávez (</w:t>
      </w:r>
      <w:proofErr w:type="spellStart"/>
      <w:r w:rsidRPr="005E6F67">
        <w:rPr>
          <w:rFonts w:ascii="Times New Roman" w:hAnsi="Times New Roman"/>
          <w:color w:val="333333"/>
          <w:shd w:val="clear" w:color="auto" w:fill="FFFFFF"/>
        </w:rPr>
        <w:t>coords</w:t>
      </w:r>
      <w:proofErr w:type="spellEnd"/>
      <w:r w:rsidRPr="005E6F67">
        <w:rPr>
          <w:rFonts w:ascii="Times New Roman" w:hAnsi="Times New Roman"/>
          <w:color w:val="333333"/>
          <w:shd w:val="clear" w:color="auto" w:fill="FFFFFF"/>
        </w:rPr>
        <w:t xml:space="preserve">.), </w:t>
      </w:r>
      <w:proofErr w:type="gramStart"/>
      <w:r w:rsidRPr="005E6F67">
        <w:rPr>
          <w:rFonts w:ascii="Times New Roman" w:hAnsi="Times New Roman"/>
          <w:color w:val="333333"/>
          <w:shd w:val="clear" w:color="auto" w:fill="FFFFFF"/>
        </w:rPr>
        <w:t>Las</w:t>
      </w:r>
      <w:proofErr w:type="gramEnd"/>
      <w:r w:rsidRPr="005E6F67">
        <w:rPr>
          <w:rFonts w:ascii="Times New Roman" w:hAnsi="Times New Roman"/>
          <w:color w:val="333333"/>
          <w:shd w:val="clear" w:color="auto" w:fill="FFFFFF"/>
        </w:rPr>
        <w:t xml:space="preserve"> redes de la </w:t>
      </w:r>
      <w:proofErr w:type="spellStart"/>
      <w:r w:rsidRPr="005E6F67">
        <w:rPr>
          <w:rFonts w:ascii="Times New Roman" w:hAnsi="Times New Roman"/>
          <w:color w:val="333333"/>
          <w:shd w:val="clear" w:color="auto" w:fill="FFFFFF"/>
        </w:rPr>
        <w:t>comunicación</w:t>
      </w:r>
      <w:proofErr w:type="spellEnd"/>
      <w:r w:rsidRPr="005E6F67">
        <w:rPr>
          <w:rFonts w:ascii="Times New Roman" w:hAnsi="Times New Roman"/>
          <w:color w:val="333333"/>
          <w:shd w:val="clear" w:color="auto" w:fill="FFFFFF"/>
        </w:rPr>
        <w:t xml:space="preserve">: </w:t>
      </w:r>
      <w:proofErr w:type="spellStart"/>
      <w:r w:rsidRPr="005E6F67">
        <w:rPr>
          <w:rFonts w:ascii="Times New Roman" w:hAnsi="Times New Roman"/>
          <w:color w:val="333333"/>
          <w:shd w:val="clear" w:color="auto" w:fill="FFFFFF"/>
        </w:rPr>
        <w:t>estudios</w:t>
      </w:r>
      <w:proofErr w:type="spellEnd"/>
      <w:r w:rsidRPr="005E6F67">
        <w:rPr>
          <w:rFonts w:ascii="Times New Roman" w:hAnsi="Times New Roman"/>
          <w:color w:val="333333"/>
          <w:shd w:val="clear" w:color="auto" w:fill="FFFFFF"/>
        </w:rPr>
        <w:t xml:space="preserve"> multidisciplinares </w:t>
      </w:r>
      <w:proofErr w:type="spellStart"/>
      <w:r w:rsidRPr="005E6F67">
        <w:rPr>
          <w:rFonts w:ascii="Times New Roman" w:hAnsi="Times New Roman"/>
          <w:color w:val="333333"/>
          <w:shd w:val="clear" w:color="auto" w:fill="FFFFFF"/>
        </w:rPr>
        <w:t>actuales</w:t>
      </w:r>
      <w:proofErr w:type="spellEnd"/>
      <w:r w:rsidRPr="005E6F67">
        <w:rPr>
          <w:rFonts w:ascii="Times New Roman" w:hAnsi="Times New Roman"/>
          <w:color w:val="333333"/>
          <w:shd w:val="clear" w:color="auto" w:fill="FFFFFF"/>
        </w:rPr>
        <w:t xml:space="preserve">, (pp.324-342). Madrid: </w:t>
      </w:r>
      <w:proofErr w:type="spellStart"/>
      <w:r w:rsidRPr="005E6F67">
        <w:rPr>
          <w:rFonts w:ascii="Times New Roman" w:hAnsi="Times New Roman"/>
          <w:color w:val="333333"/>
          <w:shd w:val="clear" w:color="auto" w:fill="FFFFFF"/>
        </w:rPr>
        <w:t>Dykinson</w:t>
      </w:r>
      <w:proofErr w:type="spellEnd"/>
      <w:r w:rsidRPr="005E6F67">
        <w:rPr>
          <w:rFonts w:ascii="Times New Roman" w:hAnsi="Times New Roman"/>
          <w:color w:val="333333"/>
          <w:shd w:val="clear" w:color="auto" w:fill="FFFFFF"/>
        </w:rPr>
        <w:t xml:space="preserve">. ISBN: 978-84-1377-560-9. Disponível no Repositório UPT, </w:t>
      </w:r>
      <w:hyperlink r:id="rId60" w:history="1">
        <w:r w:rsidRPr="005E6F67">
          <w:rPr>
            <w:rStyle w:val="Hiperligao"/>
            <w:rFonts w:ascii="Times New Roman" w:hAnsi="Times New Roman"/>
            <w:shd w:val="clear" w:color="auto" w:fill="FFFFFF"/>
          </w:rPr>
          <w:t>http://hdl.handle.net/11328/3875</w:t>
        </w:r>
      </w:hyperlink>
      <w:r w:rsidRPr="005E6F67">
        <w:rPr>
          <w:rFonts w:ascii="Times New Roman" w:hAnsi="Times New Roman"/>
          <w:shd w:val="clear" w:color="auto" w:fill="FFFFFF"/>
        </w:rPr>
        <w:t xml:space="preserve">  / </w:t>
      </w:r>
      <w:r w:rsidRPr="005E6F67">
        <w:rPr>
          <w:rFonts w:ascii="Times New Roman" w:hAnsi="Times New Roman"/>
          <w:color w:val="333333"/>
          <w:shd w:val="clear" w:color="auto" w:fill="FFFFFF"/>
        </w:rPr>
        <w:t>Alves, D. R., &amp; Barata, M. S. (2022). A iniciativa de cidadania europeia na jurisprudência do Tribunal de Justiça da União Europeia. In F. S. Veiga, R. V. S. Alves, &amp; M. H. Fonseca (</w:t>
      </w:r>
      <w:proofErr w:type="spellStart"/>
      <w:r w:rsidRPr="005E6F67">
        <w:rPr>
          <w:rFonts w:ascii="Times New Roman" w:hAnsi="Times New Roman"/>
          <w:color w:val="333333"/>
          <w:shd w:val="clear" w:color="auto" w:fill="FFFFFF"/>
        </w:rPr>
        <w:t>Coords</w:t>
      </w:r>
      <w:proofErr w:type="spellEnd"/>
      <w:r w:rsidRPr="005E6F67">
        <w:rPr>
          <w:rFonts w:ascii="Times New Roman" w:hAnsi="Times New Roman"/>
          <w:color w:val="333333"/>
          <w:shd w:val="clear" w:color="auto" w:fill="FFFFFF"/>
        </w:rPr>
        <w:t xml:space="preserve">.), Diálogos dos Direitos Humanos (pp.563-577). Repositório Institucional UPT, </w:t>
      </w:r>
      <w:hyperlink r:id="rId61" w:history="1">
        <w:r w:rsidRPr="005E6F67">
          <w:rPr>
            <w:rStyle w:val="Hiperligao"/>
            <w:rFonts w:ascii="Times New Roman" w:hAnsi="Times New Roman"/>
            <w:shd w:val="clear" w:color="auto" w:fill="FFFFFF"/>
          </w:rPr>
          <w:t>http://hdl.handle.net/11328/4019</w:t>
        </w:r>
      </w:hyperlink>
    </w:p>
  </w:footnote>
  <w:footnote w:id="73">
    <w:p w14:paraId="37F20365" w14:textId="77777777" w:rsidR="007E3D2E" w:rsidRPr="00992813" w:rsidRDefault="007E3D2E" w:rsidP="007E3D2E">
      <w:pPr>
        <w:pStyle w:val="Textodenotaderodap"/>
        <w:jc w:val="both"/>
        <w:rPr>
          <w:rFonts w:ascii="Times New Roman" w:hAnsi="Times New Roman"/>
        </w:rPr>
      </w:pPr>
      <w:r w:rsidRPr="00992813">
        <w:rPr>
          <w:rStyle w:val="Refdenotaderodap"/>
          <w:rFonts w:ascii="Times New Roman" w:hAnsi="Times New Roman"/>
        </w:rPr>
        <w:footnoteRef/>
      </w:r>
      <w:r w:rsidRPr="00992813">
        <w:rPr>
          <w:rFonts w:ascii="Times New Roman" w:hAnsi="Times New Roman"/>
        </w:rPr>
        <w:t xml:space="preserve"> Imagem em </w:t>
      </w:r>
      <w:hyperlink r:id="rId62" w:history="1">
        <w:r w:rsidRPr="00992813">
          <w:rPr>
            <w:rStyle w:val="Hiperligao"/>
            <w:rFonts w:ascii="Times New Roman" w:hAnsi="Times New Roman"/>
          </w:rPr>
          <w:t>Dia da Iniciativa de Cidadania Europeia 2022 | Eurocid (mne.gov.pt)</w:t>
        </w:r>
      </w:hyperlink>
      <w:r w:rsidRPr="00992813">
        <w:rPr>
          <w:rFonts w:ascii="Times New Roman" w:hAnsi="Times New Roman"/>
        </w:rPr>
        <w:t>, consulta em 29/05/2022.</w:t>
      </w:r>
    </w:p>
  </w:footnote>
  <w:footnote w:id="74">
    <w:p w14:paraId="008EEFED" w14:textId="0BEBC313" w:rsidR="00462C15" w:rsidRPr="00992813" w:rsidRDefault="00462C15" w:rsidP="002B6A1E">
      <w:pPr>
        <w:pStyle w:val="Textodenotaderodap"/>
        <w:jc w:val="both"/>
        <w:rPr>
          <w:rFonts w:ascii="Times New Roman" w:hAnsi="Times New Roman"/>
        </w:rPr>
      </w:pPr>
      <w:r w:rsidRPr="00992813">
        <w:rPr>
          <w:rStyle w:val="Refdenotaderodap"/>
          <w:rFonts w:ascii="Times New Roman" w:hAnsi="Times New Roman"/>
        </w:rPr>
        <w:footnoteRef/>
      </w:r>
      <w:r w:rsidRPr="00992813">
        <w:rPr>
          <w:rFonts w:ascii="Times New Roman" w:hAnsi="Times New Roman"/>
        </w:rPr>
        <w:t xml:space="preserve"> Em </w:t>
      </w:r>
      <w:hyperlink r:id="rId63" w:history="1">
        <w:r w:rsidRPr="00992813">
          <w:rPr>
            <w:rStyle w:val="Hiperligao"/>
            <w:rFonts w:ascii="Times New Roman" w:hAnsi="Times New Roman"/>
          </w:rPr>
          <w:t>https://eur-lex.europa.eu/legal-content/PT/TXT/?uri=uriserv%3AOJ.L_.2022.157.01.0013.01.POR&amp;toc=OJ%3AL%3A2022%3A157%3ATOC</w:t>
        </w:r>
      </w:hyperlink>
    </w:p>
  </w:footnote>
  <w:footnote w:id="75">
    <w:p w14:paraId="074E644F" w14:textId="596AEFAB" w:rsidR="00992813" w:rsidRPr="00992813" w:rsidRDefault="00992813">
      <w:pPr>
        <w:pStyle w:val="Textodenotaderodap"/>
        <w:rPr>
          <w:rFonts w:ascii="Times New Roman" w:hAnsi="Times New Roman"/>
        </w:rPr>
      </w:pPr>
      <w:r w:rsidRPr="00992813">
        <w:rPr>
          <w:rStyle w:val="Refdenotaderodap"/>
          <w:rFonts w:ascii="Times New Roman" w:hAnsi="Times New Roman"/>
        </w:rPr>
        <w:footnoteRef/>
      </w:r>
      <w:r w:rsidRPr="00992813">
        <w:rPr>
          <w:rFonts w:ascii="Times New Roman" w:hAnsi="Times New Roman"/>
        </w:rPr>
        <w:t xml:space="preserve"> Em </w:t>
      </w:r>
      <w:hyperlink r:id="rId64" w:history="1">
        <w:r w:rsidRPr="00992813">
          <w:rPr>
            <w:rStyle w:val="Hiperligao"/>
            <w:rFonts w:ascii="Times New Roman" w:hAnsi="Times New Roman"/>
          </w:rPr>
          <w:t>https://culture.ec.europa.eu/event/european-heritage-label-award-ceremony</w:t>
        </w:r>
      </w:hyperlink>
    </w:p>
  </w:footnote>
  <w:footnote w:id="76">
    <w:p w14:paraId="3AD4A6AC" w14:textId="59F0F4CA" w:rsidR="00992813" w:rsidRPr="002B6A1E" w:rsidRDefault="00992813">
      <w:pPr>
        <w:pStyle w:val="Textodenotaderodap"/>
        <w:rPr>
          <w:rFonts w:ascii="Times New Roman" w:hAnsi="Times New Roman"/>
        </w:rPr>
      </w:pPr>
      <w:r w:rsidRPr="00992813">
        <w:rPr>
          <w:rStyle w:val="Refdenotaderodap"/>
          <w:rFonts w:ascii="Times New Roman" w:hAnsi="Times New Roman"/>
        </w:rPr>
        <w:footnoteRef/>
      </w:r>
      <w:r w:rsidRPr="00992813">
        <w:rPr>
          <w:rFonts w:ascii="Times New Roman" w:hAnsi="Times New Roman"/>
        </w:rPr>
        <w:t xml:space="preserve"> Em </w:t>
      </w:r>
      <w:hyperlink r:id="rId65" w:history="1">
        <w:r w:rsidRPr="00992813">
          <w:rPr>
            <w:rStyle w:val="Hiperligao"/>
            <w:rFonts w:ascii="Times New Roman" w:hAnsi="Times New Roman"/>
          </w:rPr>
          <w:t>https://culture.ec.europa.eu/news/commission-announces-12-new-european-heritage-label-sites</w:t>
        </w:r>
      </w:hyperlink>
    </w:p>
  </w:footnote>
  <w:footnote w:id="77">
    <w:p w14:paraId="0AAFB3B9" w14:textId="4CA40821" w:rsidR="005E6F67" w:rsidRPr="005E6F67" w:rsidRDefault="005E6F67">
      <w:pPr>
        <w:pStyle w:val="Textodenotaderodap"/>
        <w:rPr>
          <w:rFonts w:ascii="Times New Roman" w:hAnsi="Times New Roman"/>
        </w:rPr>
      </w:pPr>
      <w:r w:rsidRPr="005E6F67">
        <w:rPr>
          <w:rStyle w:val="Refdenotaderodap"/>
          <w:rFonts w:ascii="Times New Roman" w:hAnsi="Times New Roman"/>
        </w:rPr>
        <w:footnoteRef/>
      </w:r>
      <w:r w:rsidRPr="005E6F67">
        <w:rPr>
          <w:rFonts w:ascii="Times New Roman" w:hAnsi="Times New Roman"/>
        </w:rPr>
        <w:t xml:space="preserve"> Em </w:t>
      </w:r>
      <w:hyperlink r:id="rId66" w:history="1">
        <w:r w:rsidRPr="00274ED6">
          <w:rPr>
            <w:rStyle w:val="Hiperligao"/>
            <w:rFonts w:ascii="Times New Roman" w:hAnsi="Times New Roman"/>
          </w:rPr>
          <w:t>https://eur-lex.europa.eu/legal-content/PT/TXT/?uri=uriserv%3AOJ.L_.2022.158.01.0053.01.POR&amp;toc=OJ%3AL%3A2022%3A158%3ATOC</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42F1A6E"/>
    <w:multiLevelType w:val="hybridMultilevel"/>
    <w:tmpl w:val="1EC29D6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BDD8729"/>
    <w:multiLevelType w:val="hybridMultilevel"/>
    <w:tmpl w:val="AA01CAF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75A2B36"/>
    <w:multiLevelType w:val="multilevel"/>
    <w:tmpl w:val="E5465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5A3B12"/>
    <w:multiLevelType w:val="multilevel"/>
    <w:tmpl w:val="C59C6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F87F4A"/>
    <w:multiLevelType w:val="multilevel"/>
    <w:tmpl w:val="0220CB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3B750BD"/>
    <w:multiLevelType w:val="multilevel"/>
    <w:tmpl w:val="38045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F174206"/>
    <w:multiLevelType w:val="multilevel"/>
    <w:tmpl w:val="58423DD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7EB70F85"/>
    <w:multiLevelType w:val="multilevel"/>
    <w:tmpl w:val="08D054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F401278"/>
    <w:multiLevelType w:val="hybridMultilevel"/>
    <w:tmpl w:val="98321F3E"/>
    <w:lvl w:ilvl="0" w:tplc="801E7CDC">
      <w:numFmt w:val="bullet"/>
      <w:lvlText w:val=""/>
      <w:lvlJc w:val="left"/>
      <w:pPr>
        <w:tabs>
          <w:tab w:val="num" w:pos="720"/>
        </w:tabs>
        <w:ind w:left="720" w:hanging="360"/>
      </w:pPr>
      <w:rPr>
        <w:rFonts w:ascii="Symbol" w:eastAsia="Times New Roman" w:hAnsi="Symbol" w:hint="default"/>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cs="Wingdings" w:hint="default"/>
      </w:rPr>
    </w:lvl>
    <w:lvl w:ilvl="3" w:tplc="08160001" w:tentative="1">
      <w:start w:val="1"/>
      <w:numFmt w:val="bullet"/>
      <w:lvlText w:val=""/>
      <w:lvlJc w:val="left"/>
      <w:pPr>
        <w:tabs>
          <w:tab w:val="num" w:pos="2880"/>
        </w:tabs>
        <w:ind w:left="2880" w:hanging="360"/>
      </w:pPr>
      <w:rPr>
        <w:rFonts w:ascii="Symbol" w:hAnsi="Symbol" w:cs="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cs="Wingdings" w:hint="default"/>
      </w:rPr>
    </w:lvl>
    <w:lvl w:ilvl="6" w:tplc="08160001" w:tentative="1">
      <w:start w:val="1"/>
      <w:numFmt w:val="bullet"/>
      <w:lvlText w:val=""/>
      <w:lvlJc w:val="left"/>
      <w:pPr>
        <w:tabs>
          <w:tab w:val="num" w:pos="5040"/>
        </w:tabs>
        <w:ind w:left="5040" w:hanging="360"/>
      </w:pPr>
      <w:rPr>
        <w:rFonts w:ascii="Symbol" w:hAnsi="Symbol" w:cs="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cs="Wingdings" w:hint="default"/>
      </w:rPr>
    </w:lvl>
  </w:abstractNum>
  <w:num w:numId="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8"/>
  </w:num>
  <w:num w:numId="5">
    <w:abstractNumId w:val="5"/>
  </w:num>
  <w:num w:numId="6">
    <w:abstractNumId w:val="2"/>
  </w:num>
  <w:num w:numId="7">
    <w:abstractNumId w:val="4"/>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D2E"/>
    <w:rsid w:val="00001012"/>
    <w:rsid w:val="00027A9B"/>
    <w:rsid w:val="00037B6E"/>
    <w:rsid w:val="00075C90"/>
    <w:rsid w:val="000A458D"/>
    <w:rsid w:val="000B556D"/>
    <w:rsid w:val="000C7ADF"/>
    <w:rsid w:val="000E0BF0"/>
    <w:rsid w:val="000E174D"/>
    <w:rsid w:val="000F358D"/>
    <w:rsid w:val="001027A3"/>
    <w:rsid w:val="001266F4"/>
    <w:rsid w:val="00136DD3"/>
    <w:rsid w:val="00153332"/>
    <w:rsid w:val="00163359"/>
    <w:rsid w:val="001B62CB"/>
    <w:rsid w:val="001C6654"/>
    <w:rsid w:val="001D5679"/>
    <w:rsid w:val="002206C5"/>
    <w:rsid w:val="00241F16"/>
    <w:rsid w:val="0024224E"/>
    <w:rsid w:val="002A1DA9"/>
    <w:rsid w:val="002B2238"/>
    <w:rsid w:val="002B6810"/>
    <w:rsid w:val="002B6A1E"/>
    <w:rsid w:val="002B6A79"/>
    <w:rsid w:val="002C2230"/>
    <w:rsid w:val="002F7534"/>
    <w:rsid w:val="003215B1"/>
    <w:rsid w:val="00326997"/>
    <w:rsid w:val="003767AD"/>
    <w:rsid w:val="00377F17"/>
    <w:rsid w:val="00387497"/>
    <w:rsid w:val="003900EA"/>
    <w:rsid w:val="0039438E"/>
    <w:rsid w:val="003C0B77"/>
    <w:rsid w:val="003F4166"/>
    <w:rsid w:val="00405B4E"/>
    <w:rsid w:val="00407E5E"/>
    <w:rsid w:val="0041737E"/>
    <w:rsid w:val="0044277C"/>
    <w:rsid w:val="00453D90"/>
    <w:rsid w:val="00462C15"/>
    <w:rsid w:val="00474EEB"/>
    <w:rsid w:val="004813E6"/>
    <w:rsid w:val="004914B8"/>
    <w:rsid w:val="004B1208"/>
    <w:rsid w:val="004D683F"/>
    <w:rsid w:val="004F5606"/>
    <w:rsid w:val="00515DD0"/>
    <w:rsid w:val="00523249"/>
    <w:rsid w:val="00545F45"/>
    <w:rsid w:val="0054755A"/>
    <w:rsid w:val="00562350"/>
    <w:rsid w:val="00582227"/>
    <w:rsid w:val="005878B4"/>
    <w:rsid w:val="00587B01"/>
    <w:rsid w:val="005A7914"/>
    <w:rsid w:val="005B1C8E"/>
    <w:rsid w:val="005B3334"/>
    <w:rsid w:val="005D220E"/>
    <w:rsid w:val="005E6F67"/>
    <w:rsid w:val="005F07CB"/>
    <w:rsid w:val="006071BA"/>
    <w:rsid w:val="00611204"/>
    <w:rsid w:val="00623617"/>
    <w:rsid w:val="0064384F"/>
    <w:rsid w:val="006622FB"/>
    <w:rsid w:val="00675C2A"/>
    <w:rsid w:val="0069685A"/>
    <w:rsid w:val="006D7E8F"/>
    <w:rsid w:val="006E0FA8"/>
    <w:rsid w:val="00704FA9"/>
    <w:rsid w:val="00730AFF"/>
    <w:rsid w:val="007363C1"/>
    <w:rsid w:val="00756457"/>
    <w:rsid w:val="007635A8"/>
    <w:rsid w:val="007E3D2E"/>
    <w:rsid w:val="007F0F6C"/>
    <w:rsid w:val="00800DCA"/>
    <w:rsid w:val="008054B9"/>
    <w:rsid w:val="00825B93"/>
    <w:rsid w:val="008306FE"/>
    <w:rsid w:val="00860E84"/>
    <w:rsid w:val="00880D12"/>
    <w:rsid w:val="00897E93"/>
    <w:rsid w:val="008C49EC"/>
    <w:rsid w:val="008D593C"/>
    <w:rsid w:val="008E6542"/>
    <w:rsid w:val="00900709"/>
    <w:rsid w:val="00911E68"/>
    <w:rsid w:val="0091271A"/>
    <w:rsid w:val="00916203"/>
    <w:rsid w:val="00923285"/>
    <w:rsid w:val="00930069"/>
    <w:rsid w:val="00931BB9"/>
    <w:rsid w:val="00936474"/>
    <w:rsid w:val="009645A6"/>
    <w:rsid w:val="00970D66"/>
    <w:rsid w:val="00992813"/>
    <w:rsid w:val="009B2D9B"/>
    <w:rsid w:val="009B3A98"/>
    <w:rsid w:val="009C693A"/>
    <w:rsid w:val="009D556B"/>
    <w:rsid w:val="009E7074"/>
    <w:rsid w:val="009F2596"/>
    <w:rsid w:val="00A10E5F"/>
    <w:rsid w:val="00A32044"/>
    <w:rsid w:val="00A41444"/>
    <w:rsid w:val="00A54561"/>
    <w:rsid w:val="00A86102"/>
    <w:rsid w:val="00A916E2"/>
    <w:rsid w:val="00A93772"/>
    <w:rsid w:val="00AD40FA"/>
    <w:rsid w:val="00AD5F51"/>
    <w:rsid w:val="00AE5F96"/>
    <w:rsid w:val="00AF371F"/>
    <w:rsid w:val="00B03D35"/>
    <w:rsid w:val="00B3610B"/>
    <w:rsid w:val="00B526DB"/>
    <w:rsid w:val="00B73D4A"/>
    <w:rsid w:val="00B84A35"/>
    <w:rsid w:val="00B85CF5"/>
    <w:rsid w:val="00BA7299"/>
    <w:rsid w:val="00BF5A5B"/>
    <w:rsid w:val="00C035B7"/>
    <w:rsid w:val="00C4611F"/>
    <w:rsid w:val="00C56746"/>
    <w:rsid w:val="00C76FA4"/>
    <w:rsid w:val="00C810E9"/>
    <w:rsid w:val="00C95BF9"/>
    <w:rsid w:val="00CE5916"/>
    <w:rsid w:val="00D37267"/>
    <w:rsid w:val="00D40F00"/>
    <w:rsid w:val="00D6216A"/>
    <w:rsid w:val="00D74DCC"/>
    <w:rsid w:val="00D77592"/>
    <w:rsid w:val="00D94321"/>
    <w:rsid w:val="00DD0D08"/>
    <w:rsid w:val="00E070BD"/>
    <w:rsid w:val="00E66590"/>
    <w:rsid w:val="00E951CB"/>
    <w:rsid w:val="00EE325B"/>
    <w:rsid w:val="00F02CDE"/>
    <w:rsid w:val="00F23CED"/>
    <w:rsid w:val="00F50BFB"/>
    <w:rsid w:val="00F76838"/>
    <w:rsid w:val="00F83CC4"/>
    <w:rsid w:val="00FA1134"/>
    <w:rsid w:val="00FA5EC0"/>
    <w:rsid w:val="00FB0BC0"/>
    <w:rsid w:val="00FC0C0D"/>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28680"/>
  <w15:chartTrackingRefBased/>
  <w15:docId w15:val="{F97D11A7-DDB2-054A-AF87-E863133656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pt-PT"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E3D2E"/>
    <w:rPr>
      <w:rFonts w:ascii="Times New Roman" w:eastAsia="Times New Roman" w:hAnsi="Times New Roman" w:cs="Times New Roman"/>
      <w:kern w:val="0"/>
      <w:lang w:eastAsia="pt-PT"/>
      <w14:ligatures w14:val="none"/>
    </w:rPr>
  </w:style>
  <w:style w:type="paragraph" w:styleId="Ttulo1">
    <w:name w:val="heading 1"/>
    <w:basedOn w:val="Normal"/>
    <w:next w:val="Normal"/>
    <w:link w:val="Ttulo1Carter"/>
    <w:qFormat/>
    <w:rsid w:val="007E3D2E"/>
    <w:pPr>
      <w:keepNext/>
      <w:spacing w:line="360" w:lineRule="auto"/>
      <w:jc w:val="both"/>
      <w:outlineLvl w:val="0"/>
    </w:pPr>
    <w:rPr>
      <w:rFonts w:ascii="Arial" w:hAnsi="Arial"/>
      <w:b/>
      <w:bCs/>
    </w:rPr>
  </w:style>
  <w:style w:type="paragraph" w:styleId="Ttulo2">
    <w:name w:val="heading 2"/>
    <w:basedOn w:val="Normal"/>
    <w:next w:val="Normal"/>
    <w:link w:val="Ttulo2Carter"/>
    <w:qFormat/>
    <w:rsid w:val="007E3D2E"/>
    <w:pPr>
      <w:keepNext/>
      <w:spacing w:before="240" w:after="60"/>
      <w:outlineLvl w:val="1"/>
    </w:pPr>
    <w:rPr>
      <w:rFonts w:ascii="Arial" w:hAnsi="Arial" w:cs="Arial"/>
      <w:b/>
      <w:bCs/>
      <w:i/>
      <w:iCs/>
      <w:sz w:val="28"/>
      <w:szCs w:val="28"/>
    </w:rPr>
  </w:style>
  <w:style w:type="paragraph" w:styleId="Ttulo3">
    <w:name w:val="heading 3"/>
    <w:basedOn w:val="Normal"/>
    <w:next w:val="Normal"/>
    <w:link w:val="Ttulo3Carter"/>
    <w:qFormat/>
    <w:rsid w:val="007E3D2E"/>
    <w:pPr>
      <w:keepNext/>
      <w:spacing w:before="240" w:after="60"/>
      <w:outlineLvl w:val="2"/>
    </w:pPr>
    <w:rPr>
      <w:rFonts w:ascii="Arial" w:hAnsi="Arial" w:cs="Arial"/>
      <w:b/>
      <w:bCs/>
      <w:sz w:val="26"/>
      <w:szCs w:val="26"/>
    </w:rPr>
  </w:style>
  <w:style w:type="paragraph" w:styleId="Ttulo4">
    <w:name w:val="heading 4"/>
    <w:basedOn w:val="Normal"/>
    <w:next w:val="Normal"/>
    <w:link w:val="Ttulo4Carter"/>
    <w:uiPriority w:val="9"/>
    <w:semiHidden/>
    <w:unhideWhenUsed/>
    <w:qFormat/>
    <w:rsid w:val="007E3D2E"/>
    <w:pPr>
      <w:keepNext/>
      <w:spacing w:before="240" w:after="60"/>
      <w:outlineLvl w:val="3"/>
    </w:pPr>
    <w:rPr>
      <w:rFonts w:ascii="Calibri" w:hAnsi="Calibri"/>
      <w:b/>
      <w:bCs/>
      <w:sz w:val="28"/>
      <w:szCs w:val="2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rsid w:val="007E3D2E"/>
    <w:rPr>
      <w:rFonts w:ascii="Arial" w:eastAsia="Times New Roman" w:hAnsi="Arial" w:cs="Times New Roman"/>
      <w:b/>
      <w:bCs/>
      <w:kern w:val="0"/>
      <w:lang w:eastAsia="pt-PT"/>
      <w14:ligatures w14:val="none"/>
    </w:rPr>
  </w:style>
  <w:style w:type="character" w:customStyle="1" w:styleId="Ttulo2Carter">
    <w:name w:val="Título 2 Caráter"/>
    <w:basedOn w:val="Tipodeletrapredefinidodopargrafo"/>
    <w:link w:val="Ttulo2"/>
    <w:rsid w:val="007E3D2E"/>
    <w:rPr>
      <w:rFonts w:ascii="Arial" w:eastAsia="Times New Roman" w:hAnsi="Arial" w:cs="Arial"/>
      <w:b/>
      <w:bCs/>
      <w:i/>
      <w:iCs/>
      <w:kern w:val="0"/>
      <w:sz w:val="28"/>
      <w:szCs w:val="28"/>
      <w:lang w:eastAsia="pt-PT"/>
      <w14:ligatures w14:val="none"/>
    </w:rPr>
  </w:style>
  <w:style w:type="character" w:customStyle="1" w:styleId="Ttulo3Carter">
    <w:name w:val="Título 3 Caráter"/>
    <w:basedOn w:val="Tipodeletrapredefinidodopargrafo"/>
    <w:link w:val="Ttulo3"/>
    <w:rsid w:val="007E3D2E"/>
    <w:rPr>
      <w:rFonts w:ascii="Arial" w:eastAsia="Times New Roman" w:hAnsi="Arial" w:cs="Arial"/>
      <w:b/>
      <w:bCs/>
      <w:kern w:val="0"/>
      <w:sz w:val="26"/>
      <w:szCs w:val="26"/>
      <w:lang w:eastAsia="pt-PT"/>
      <w14:ligatures w14:val="none"/>
    </w:rPr>
  </w:style>
  <w:style w:type="character" w:customStyle="1" w:styleId="Ttulo4Carter">
    <w:name w:val="Título 4 Caráter"/>
    <w:basedOn w:val="Tipodeletrapredefinidodopargrafo"/>
    <w:link w:val="Ttulo4"/>
    <w:uiPriority w:val="9"/>
    <w:semiHidden/>
    <w:rsid w:val="007E3D2E"/>
    <w:rPr>
      <w:rFonts w:ascii="Calibri" w:eastAsia="Times New Roman" w:hAnsi="Calibri" w:cs="Times New Roman"/>
      <w:b/>
      <w:bCs/>
      <w:kern w:val="0"/>
      <w:sz w:val="28"/>
      <w:szCs w:val="28"/>
      <w:lang w:eastAsia="pt-PT"/>
      <w14:ligatures w14:val="none"/>
    </w:rPr>
  </w:style>
  <w:style w:type="paragraph" w:styleId="ndicedeilustraes">
    <w:name w:val="table of figures"/>
    <w:aliases w:val="Índice de figuras"/>
    <w:basedOn w:val="Normal"/>
    <w:next w:val="Normal"/>
    <w:semiHidden/>
    <w:rsid w:val="007E3D2E"/>
    <w:pPr>
      <w:ind w:left="440" w:hanging="440"/>
    </w:pPr>
    <w:rPr>
      <w:rFonts w:ascii="Arial" w:hAnsi="Arial"/>
      <w:sz w:val="16"/>
      <w:szCs w:val="20"/>
    </w:rPr>
  </w:style>
  <w:style w:type="paragraph" w:styleId="Textodenotaderodap">
    <w:name w:val="footnote text"/>
    <w:basedOn w:val="Normal"/>
    <w:link w:val="TextodenotaderodapCarter"/>
    <w:uiPriority w:val="99"/>
    <w:rsid w:val="007E3D2E"/>
    <w:rPr>
      <w:rFonts w:ascii="Arial" w:hAnsi="Arial"/>
      <w:sz w:val="20"/>
      <w:szCs w:val="20"/>
      <w:lang w:eastAsia="en-US"/>
    </w:rPr>
  </w:style>
  <w:style w:type="character" w:customStyle="1" w:styleId="TextodenotaderodapCarter">
    <w:name w:val="Texto de nota de rodapé Caráter"/>
    <w:basedOn w:val="Tipodeletrapredefinidodopargrafo"/>
    <w:link w:val="Textodenotaderodap"/>
    <w:uiPriority w:val="99"/>
    <w:rsid w:val="007E3D2E"/>
    <w:rPr>
      <w:rFonts w:ascii="Arial" w:eastAsia="Times New Roman" w:hAnsi="Arial" w:cs="Times New Roman"/>
      <w:kern w:val="0"/>
      <w:sz w:val="20"/>
      <w:szCs w:val="20"/>
      <w14:ligatures w14:val="none"/>
    </w:rPr>
  </w:style>
  <w:style w:type="character" w:styleId="Refdenotaderodap">
    <w:name w:val="footnote reference"/>
    <w:uiPriority w:val="99"/>
    <w:rsid w:val="007E3D2E"/>
    <w:rPr>
      <w:vertAlign w:val="superscript"/>
    </w:rPr>
  </w:style>
  <w:style w:type="paragraph" w:styleId="Ttulo">
    <w:name w:val="Title"/>
    <w:basedOn w:val="Normal"/>
    <w:link w:val="TtuloCarter"/>
    <w:uiPriority w:val="10"/>
    <w:qFormat/>
    <w:rsid w:val="007E3D2E"/>
    <w:pPr>
      <w:jc w:val="center"/>
    </w:pPr>
    <w:rPr>
      <w:b/>
      <w:sz w:val="28"/>
    </w:rPr>
  </w:style>
  <w:style w:type="character" w:customStyle="1" w:styleId="TtuloCarter">
    <w:name w:val="Título Caráter"/>
    <w:basedOn w:val="Tipodeletrapredefinidodopargrafo"/>
    <w:link w:val="Ttulo"/>
    <w:uiPriority w:val="10"/>
    <w:rsid w:val="007E3D2E"/>
    <w:rPr>
      <w:rFonts w:ascii="Times New Roman" w:eastAsia="Times New Roman" w:hAnsi="Times New Roman" w:cs="Times New Roman"/>
      <w:b/>
      <w:kern w:val="0"/>
      <w:sz w:val="28"/>
      <w:lang w:eastAsia="pt-PT"/>
      <w14:ligatures w14:val="none"/>
    </w:rPr>
  </w:style>
  <w:style w:type="paragraph" w:styleId="Corpodetexto">
    <w:name w:val="Body Text"/>
    <w:basedOn w:val="Normal"/>
    <w:link w:val="CorpodetextoCarter"/>
    <w:rsid w:val="007E3D2E"/>
    <w:pPr>
      <w:jc w:val="both"/>
    </w:pPr>
    <w:rPr>
      <w:bCs/>
    </w:rPr>
  </w:style>
  <w:style w:type="character" w:customStyle="1" w:styleId="CorpodetextoCarter">
    <w:name w:val="Corpo de texto Caráter"/>
    <w:basedOn w:val="Tipodeletrapredefinidodopargrafo"/>
    <w:link w:val="Corpodetexto"/>
    <w:rsid w:val="007E3D2E"/>
    <w:rPr>
      <w:rFonts w:ascii="Times New Roman" w:eastAsia="Times New Roman" w:hAnsi="Times New Roman" w:cs="Times New Roman"/>
      <w:bCs/>
      <w:kern w:val="0"/>
      <w:lang w:eastAsia="pt-PT"/>
      <w14:ligatures w14:val="none"/>
    </w:rPr>
  </w:style>
  <w:style w:type="paragraph" w:styleId="Avanodecorpodetexto2">
    <w:name w:val="Body Text Indent 2"/>
    <w:basedOn w:val="Normal"/>
    <w:link w:val="Avanodecorpodetexto2Carter"/>
    <w:rsid w:val="007E3D2E"/>
    <w:pPr>
      <w:ind w:firstLine="708"/>
      <w:jc w:val="both"/>
    </w:pPr>
  </w:style>
  <w:style w:type="character" w:customStyle="1" w:styleId="Avanodecorpodetexto2Carter">
    <w:name w:val="Avanço de corpo de texto 2 Caráter"/>
    <w:basedOn w:val="Tipodeletrapredefinidodopargrafo"/>
    <w:link w:val="Avanodecorpodetexto2"/>
    <w:rsid w:val="007E3D2E"/>
    <w:rPr>
      <w:rFonts w:ascii="Times New Roman" w:eastAsia="Times New Roman" w:hAnsi="Times New Roman" w:cs="Times New Roman"/>
      <w:kern w:val="0"/>
      <w:lang w:eastAsia="pt-PT"/>
      <w14:ligatures w14:val="none"/>
    </w:rPr>
  </w:style>
  <w:style w:type="character" w:styleId="Hiperligao">
    <w:name w:val="Hyperlink"/>
    <w:rsid w:val="007E3D2E"/>
    <w:rPr>
      <w:color w:val="0000FF"/>
      <w:u w:val="single"/>
    </w:rPr>
  </w:style>
  <w:style w:type="character" w:styleId="Forte">
    <w:name w:val="Strong"/>
    <w:uiPriority w:val="22"/>
    <w:qFormat/>
    <w:rsid w:val="007E3D2E"/>
    <w:rPr>
      <w:b/>
      <w:bCs/>
    </w:rPr>
  </w:style>
  <w:style w:type="paragraph" w:customStyle="1" w:styleId="Default">
    <w:name w:val="Default"/>
    <w:rsid w:val="007E3D2E"/>
    <w:pPr>
      <w:autoSpaceDE w:val="0"/>
      <w:autoSpaceDN w:val="0"/>
      <w:adjustRightInd w:val="0"/>
    </w:pPr>
    <w:rPr>
      <w:rFonts w:ascii="EUAlbertina" w:eastAsia="Times New Roman" w:hAnsi="EUAlbertina" w:cs="EUAlbertina"/>
      <w:color w:val="000000"/>
      <w:kern w:val="0"/>
      <w:lang w:eastAsia="pt-PT"/>
      <w14:ligatures w14:val="none"/>
    </w:rPr>
  </w:style>
  <w:style w:type="paragraph" w:customStyle="1" w:styleId="CM1">
    <w:name w:val="CM1"/>
    <w:basedOn w:val="Default"/>
    <w:next w:val="Default"/>
    <w:rsid w:val="007E3D2E"/>
    <w:rPr>
      <w:rFonts w:cs="Times New Roman"/>
      <w:color w:val="auto"/>
    </w:rPr>
  </w:style>
  <w:style w:type="paragraph" w:customStyle="1" w:styleId="CM4">
    <w:name w:val="CM4"/>
    <w:basedOn w:val="Default"/>
    <w:next w:val="Default"/>
    <w:rsid w:val="007E3D2E"/>
    <w:rPr>
      <w:rFonts w:cs="Times New Roman"/>
      <w:color w:val="auto"/>
    </w:rPr>
  </w:style>
  <w:style w:type="paragraph" w:styleId="NormalWeb">
    <w:name w:val="Normal (Web)"/>
    <w:basedOn w:val="Normal"/>
    <w:uiPriority w:val="99"/>
    <w:rsid w:val="007E3D2E"/>
    <w:pPr>
      <w:spacing w:before="150" w:after="150"/>
      <w:ind w:left="675" w:right="525"/>
    </w:pPr>
    <w:rPr>
      <w:sz w:val="19"/>
      <w:szCs w:val="19"/>
    </w:rPr>
  </w:style>
  <w:style w:type="character" w:styleId="Nmerodepgina">
    <w:name w:val="page number"/>
    <w:basedOn w:val="Tipodeletrapredefinidodopargrafo"/>
    <w:rsid w:val="007E3D2E"/>
  </w:style>
  <w:style w:type="paragraph" w:styleId="Corpodetexto2">
    <w:name w:val="Body Text 2"/>
    <w:basedOn w:val="Normal"/>
    <w:link w:val="Corpodetexto2Carter"/>
    <w:rsid w:val="007E3D2E"/>
    <w:pPr>
      <w:spacing w:after="120" w:line="480" w:lineRule="auto"/>
    </w:pPr>
  </w:style>
  <w:style w:type="character" w:customStyle="1" w:styleId="Corpodetexto2Carter">
    <w:name w:val="Corpo de texto 2 Caráter"/>
    <w:basedOn w:val="Tipodeletrapredefinidodopargrafo"/>
    <w:link w:val="Corpodetexto2"/>
    <w:rsid w:val="007E3D2E"/>
    <w:rPr>
      <w:rFonts w:ascii="Times New Roman" w:eastAsia="Times New Roman" w:hAnsi="Times New Roman" w:cs="Times New Roman"/>
      <w:kern w:val="0"/>
      <w:lang w:eastAsia="pt-PT"/>
      <w14:ligatures w14:val="none"/>
    </w:rPr>
  </w:style>
  <w:style w:type="paragraph" w:styleId="Textosimples">
    <w:name w:val="Plain Text"/>
    <w:basedOn w:val="Normal"/>
    <w:link w:val="TextosimplesCarter"/>
    <w:uiPriority w:val="99"/>
    <w:rsid w:val="007E3D2E"/>
    <w:rPr>
      <w:rFonts w:ascii="Courier New" w:hAnsi="Courier New" w:cs="Courier New"/>
      <w:sz w:val="20"/>
      <w:szCs w:val="20"/>
    </w:rPr>
  </w:style>
  <w:style w:type="character" w:customStyle="1" w:styleId="TextosimplesCarter">
    <w:name w:val="Texto simples Caráter"/>
    <w:basedOn w:val="Tipodeletrapredefinidodopargrafo"/>
    <w:link w:val="Textosimples"/>
    <w:uiPriority w:val="99"/>
    <w:rsid w:val="007E3D2E"/>
    <w:rPr>
      <w:rFonts w:ascii="Courier New" w:eastAsia="Times New Roman" w:hAnsi="Courier New" w:cs="Courier New"/>
      <w:kern w:val="0"/>
      <w:sz w:val="20"/>
      <w:szCs w:val="20"/>
      <w:lang w:eastAsia="pt-PT"/>
      <w14:ligatures w14:val="none"/>
    </w:rPr>
  </w:style>
  <w:style w:type="paragraph" w:styleId="Rodap">
    <w:name w:val="footer"/>
    <w:basedOn w:val="Normal"/>
    <w:link w:val="RodapCarter"/>
    <w:rsid w:val="007E3D2E"/>
    <w:pPr>
      <w:tabs>
        <w:tab w:val="center" w:pos="4252"/>
        <w:tab w:val="right" w:pos="8504"/>
      </w:tabs>
    </w:pPr>
  </w:style>
  <w:style w:type="character" w:customStyle="1" w:styleId="RodapCarter">
    <w:name w:val="Rodapé Caráter"/>
    <w:basedOn w:val="Tipodeletrapredefinidodopargrafo"/>
    <w:link w:val="Rodap"/>
    <w:rsid w:val="007E3D2E"/>
    <w:rPr>
      <w:rFonts w:ascii="Times New Roman" w:eastAsia="Times New Roman" w:hAnsi="Times New Roman" w:cs="Times New Roman"/>
      <w:kern w:val="0"/>
      <w:lang w:eastAsia="pt-PT"/>
      <w14:ligatures w14:val="none"/>
    </w:rPr>
  </w:style>
  <w:style w:type="paragraph" w:customStyle="1" w:styleId="CM3">
    <w:name w:val="CM3"/>
    <w:basedOn w:val="Default"/>
    <w:next w:val="Default"/>
    <w:rsid w:val="007E3D2E"/>
    <w:rPr>
      <w:rFonts w:cs="Times New Roman"/>
      <w:color w:val="auto"/>
    </w:rPr>
  </w:style>
  <w:style w:type="character" w:customStyle="1" w:styleId="newstitlerl">
    <w:name w:val="newstitlerl"/>
    <w:basedOn w:val="Tipodeletrapredefinidodopargrafo"/>
    <w:rsid w:val="007E3D2E"/>
  </w:style>
  <w:style w:type="character" w:customStyle="1" w:styleId="font-bold">
    <w:name w:val="font-bold"/>
    <w:basedOn w:val="Tipodeletrapredefinidodopargrafo"/>
    <w:rsid w:val="007E3D2E"/>
  </w:style>
  <w:style w:type="character" w:customStyle="1" w:styleId="datapags1">
    <w:name w:val="data_pags1"/>
    <w:rsid w:val="007E3D2E"/>
    <w:rPr>
      <w:rFonts w:ascii="Verdana" w:hAnsi="Verdana" w:hint="default"/>
      <w:b w:val="0"/>
      <w:bCs w:val="0"/>
      <w:i w:val="0"/>
      <w:iCs w:val="0"/>
      <w:color w:val="333333"/>
    </w:rPr>
  </w:style>
  <w:style w:type="character" w:customStyle="1" w:styleId="redsubtitle1">
    <w:name w:val="redsubtitle1"/>
    <w:rsid w:val="007E3D2E"/>
    <w:rPr>
      <w:rFonts w:ascii="Arial" w:hAnsi="Arial" w:cs="Arial" w:hint="default"/>
      <w:i w:val="0"/>
      <w:iCs w:val="0"/>
      <w:caps w:val="0"/>
      <w:color w:val="660000"/>
    </w:rPr>
  </w:style>
  <w:style w:type="character" w:customStyle="1" w:styleId="TextodenotaderodapCarcter">
    <w:name w:val="Texto de nota de rodapé Carácter"/>
    <w:rsid w:val="007E3D2E"/>
    <w:rPr>
      <w:rFonts w:ascii="Arial" w:hAnsi="Arial"/>
      <w:sz w:val="24"/>
      <w:szCs w:val="24"/>
      <w:lang w:val="pt-PT" w:eastAsia="pt-PT" w:bidi="ar-SA"/>
    </w:rPr>
  </w:style>
  <w:style w:type="character" w:styleId="nfase">
    <w:name w:val="Emphasis"/>
    <w:uiPriority w:val="20"/>
    <w:qFormat/>
    <w:rsid w:val="007E3D2E"/>
    <w:rPr>
      <w:i/>
      <w:iCs/>
    </w:rPr>
  </w:style>
  <w:style w:type="paragraph" w:customStyle="1" w:styleId="Pa0">
    <w:name w:val="Pa0"/>
    <w:basedOn w:val="Normal"/>
    <w:rsid w:val="007E3D2E"/>
    <w:pPr>
      <w:autoSpaceDE w:val="0"/>
      <w:autoSpaceDN w:val="0"/>
      <w:spacing w:line="241" w:lineRule="atLeast"/>
    </w:pPr>
    <w:rPr>
      <w:rFonts w:ascii="Myriad Pro" w:hAnsi="Myriad Pro"/>
      <w:lang w:eastAsia="en-US"/>
    </w:rPr>
  </w:style>
  <w:style w:type="paragraph" w:customStyle="1" w:styleId="Pa1">
    <w:name w:val="Pa1"/>
    <w:basedOn w:val="Normal"/>
    <w:rsid w:val="007E3D2E"/>
    <w:pPr>
      <w:autoSpaceDE w:val="0"/>
      <w:autoSpaceDN w:val="0"/>
      <w:spacing w:line="241" w:lineRule="atLeast"/>
    </w:pPr>
    <w:rPr>
      <w:rFonts w:ascii="Myriad Pro" w:hAnsi="Myriad Pro"/>
      <w:lang w:eastAsia="en-US"/>
    </w:rPr>
  </w:style>
  <w:style w:type="character" w:customStyle="1" w:styleId="A1">
    <w:name w:val="A1"/>
    <w:rsid w:val="007E3D2E"/>
    <w:rPr>
      <w:rFonts w:ascii="Myriad Pro" w:hAnsi="Myriad Pro" w:hint="default"/>
      <w:color w:val="000000"/>
    </w:rPr>
  </w:style>
  <w:style w:type="character" w:customStyle="1" w:styleId="A2">
    <w:name w:val="A2"/>
    <w:rsid w:val="007E3D2E"/>
    <w:rPr>
      <w:rFonts w:ascii="Myriad Pro" w:hAnsi="Myriad Pro" w:hint="default"/>
      <w:color w:val="000000"/>
    </w:rPr>
  </w:style>
  <w:style w:type="character" w:customStyle="1" w:styleId="A3">
    <w:name w:val="A3"/>
    <w:rsid w:val="007E3D2E"/>
    <w:rPr>
      <w:rFonts w:ascii="Myriad Pro" w:hAnsi="Myriad Pro" w:hint="default"/>
      <w:color w:val="000000"/>
    </w:rPr>
  </w:style>
  <w:style w:type="character" w:customStyle="1" w:styleId="Carcter3">
    <w:name w:val="Carácter3"/>
    <w:rsid w:val="007E3D2E"/>
    <w:rPr>
      <w:rFonts w:ascii="Arial" w:hAnsi="Arial"/>
      <w:lang w:val="pt-PT" w:eastAsia="pt-PT" w:bidi="ar-SA"/>
    </w:rPr>
  </w:style>
  <w:style w:type="paragraph" w:customStyle="1" w:styleId="NormalWeb15">
    <w:name w:val="Normal (Web)15"/>
    <w:basedOn w:val="Normal"/>
    <w:rsid w:val="007E3D2E"/>
  </w:style>
  <w:style w:type="paragraph" w:customStyle="1" w:styleId="normal2">
    <w:name w:val="normal2"/>
    <w:basedOn w:val="Normal"/>
    <w:rsid w:val="007E3D2E"/>
    <w:pPr>
      <w:spacing w:before="120" w:line="312" w:lineRule="atLeast"/>
      <w:jc w:val="both"/>
    </w:pPr>
  </w:style>
  <w:style w:type="paragraph" w:customStyle="1" w:styleId="ti-doc-eph2">
    <w:name w:val="ti-doc-eph2"/>
    <w:basedOn w:val="Normal"/>
    <w:rsid w:val="007E3D2E"/>
    <w:pPr>
      <w:spacing w:before="180" w:after="120" w:line="312" w:lineRule="atLeast"/>
      <w:jc w:val="both"/>
    </w:pPr>
    <w:rPr>
      <w:sz w:val="26"/>
      <w:szCs w:val="26"/>
    </w:rPr>
  </w:style>
  <w:style w:type="character" w:customStyle="1" w:styleId="italic1">
    <w:name w:val="italic1"/>
    <w:rsid w:val="007E3D2E"/>
    <w:rPr>
      <w:i/>
      <w:iCs/>
    </w:rPr>
  </w:style>
  <w:style w:type="paragraph" w:customStyle="1" w:styleId="m2662091946624173577default">
    <w:name w:val="m_2662091946624173577default"/>
    <w:basedOn w:val="Normal"/>
    <w:rsid w:val="007E3D2E"/>
    <w:pPr>
      <w:spacing w:before="100" w:beforeAutospacing="1" w:after="100" w:afterAutospacing="1"/>
    </w:pPr>
  </w:style>
  <w:style w:type="paragraph" w:customStyle="1" w:styleId="doc-ti">
    <w:name w:val="doc-ti"/>
    <w:basedOn w:val="Normal"/>
    <w:rsid w:val="007E3D2E"/>
    <w:pPr>
      <w:spacing w:before="100" w:beforeAutospacing="1" w:after="100" w:afterAutospacing="1"/>
    </w:pPr>
  </w:style>
  <w:style w:type="character" w:styleId="MenoNoResolvida">
    <w:name w:val="Unresolved Mention"/>
    <w:uiPriority w:val="99"/>
    <w:semiHidden/>
    <w:unhideWhenUsed/>
    <w:rsid w:val="007E3D2E"/>
    <w:rPr>
      <w:color w:val="808080"/>
      <w:shd w:val="clear" w:color="auto" w:fill="E6E6E6"/>
    </w:rPr>
  </w:style>
  <w:style w:type="character" w:styleId="Hiperligaovisitada">
    <w:name w:val="FollowedHyperlink"/>
    <w:uiPriority w:val="99"/>
    <w:semiHidden/>
    <w:unhideWhenUsed/>
    <w:rsid w:val="007E3D2E"/>
    <w:rPr>
      <w:color w:val="954F72"/>
      <w:u w:val="single"/>
    </w:rPr>
  </w:style>
  <w:style w:type="paragraph" w:customStyle="1" w:styleId="default0">
    <w:name w:val="default"/>
    <w:basedOn w:val="Normal"/>
    <w:rsid w:val="007E3D2E"/>
    <w:pPr>
      <w:spacing w:before="100" w:beforeAutospacing="1" w:after="100" w:afterAutospacing="1"/>
    </w:pPr>
  </w:style>
  <w:style w:type="paragraph" w:customStyle="1" w:styleId="no-doc-c">
    <w:name w:val="no-doc-c"/>
    <w:basedOn w:val="Normal"/>
    <w:rsid w:val="007E3D2E"/>
    <w:pPr>
      <w:spacing w:before="100" w:beforeAutospacing="1" w:after="100" w:afterAutospacing="1"/>
    </w:pPr>
  </w:style>
  <w:style w:type="paragraph" w:styleId="Avanodecorpodetexto">
    <w:name w:val="Body Text Indent"/>
    <w:basedOn w:val="Normal"/>
    <w:link w:val="AvanodecorpodetextoCarter"/>
    <w:rsid w:val="007E3D2E"/>
    <w:pPr>
      <w:spacing w:after="120"/>
      <w:ind w:left="283"/>
    </w:pPr>
  </w:style>
  <w:style w:type="character" w:customStyle="1" w:styleId="AvanodecorpodetextoCarter">
    <w:name w:val="Avanço de corpo de texto Caráter"/>
    <w:basedOn w:val="Tipodeletrapredefinidodopargrafo"/>
    <w:link w:val="Avanodecorpodetexto"/>
    <w:rsid w:val="007E3D2E"/>
    <w:rPr>
      <w:rFonts w:ascii="Times New Roman" w:eastAsia="Times New Roman" w:hAnsi="Times New Roman" w:cs="Times New Roman"/>
      <w:kern w:val="0"/>
      <w:lang w:eastAsia="pt-PT"/>
      <w14:ligatures w14:val="none"/>
    </w:rPr>
  </w:style>
  <w:style w:type="paragraph" w:customStyle="1" w:styleId="ti-doc-dur">
    <w:name w:val="ti-doc-dur"/>
    <w:basedOn w:val="Normal"/>
    <w:rsid w:val="007E3D2E"/>
    <w:pPr>
      <w:spacing w:before="100" w:beforeAutospacing="1" w:after="100" w:afterAutospacing="1"/>
    </w:pPr>
  </w:style>
  <w:style w:type="character" w:customStyle="1" w:styleId="sp-normal">
    <w:name w:val="sp-normal"/>
    <w:rsid w:val="007E3D2E"/>
  </w:style>
  <w:style w:type="character" w:customStyle="1" w:styleId="italic">
    <w:name w:val="italic"/>
    <w:rsid w:val="007E3D2E"/>
  </w:style>
  <w:style w:type="paragraph" w:customStyle="1" w:styleId="Normal1">
    <w:name w:val="Normal1"/>
    <w:basedOn w:val="Normal"/>
    <w:rsid w:val="007E3D2E"/>
    <w:pPr>
      <w:spacing w:before="100" w:beforeAutospacing="1" w:after="100" w:afterAutospacing="1"/>
    </w:pPr>
  </w:style>
  <w:style w:type="paragraph" w:customStyle="1" w:styleId="ti-doc-dur-star">
    <w:name w:val="ti-doc-dur-star"/>
    <w:basedOn w:val="Normal"/>
    <w:rsid w:val="007E3D2E"/>
    <w:pPr>
      <w:spacing w:before="100" w:beforeAutospacing="1" w:after="100" w:afterAutospacing="1"/>
    </w:pPr>
  </w:style>
  <w:style w:type="character" w:customStyle="1" w:styleId="super">
    <w:name w:val="super"/>
    <w:rsid w:val="007E3D2E"/>
  </w:style>
  <w:style w:type="paragraph" w:customStyle="1" w:styleId="typedudocumentcp">
    <w:name w:val="typedudocument_cp"/>
    <w:basedOn w:val="Normal"/>
    <w:rsid w:val="007E3D2E"/>
    <w:pPr>
      <w:spacing w:before="100" w:beforeAutospacing="1" w:after="100" w:afterAutospacing="1"/>
    </w:pPr>
  </w:style>
  <w:style w:type="paragraph" w:customStyle="1" w:styleId="titreobjetcp">
    <w:name w:val="titreobjet_cp"/>
    <w:basedOn w:val="Normal"/>
    <w:rsid w:val="007E3D2E"/>
    <w:pPr>
      <w:spacing w:before="100" w:beforeAutospacing="1" w:after="100" w:afterAutospacing="1"/>
    </w:pPr>
  </w:style>
  <w:style w:type="paragraph" w:customStyle="1" w:styleId="h2">
    <w:name w:val="h2"/>
    <w:basedOn w:val="Normal"/>
    <w:rsid w:val="007E3D2E"/>
    <w:pPr>
      <w:spacing w:before="100" w:beforeAutospacing="1" w:after="100" w:afterAutospacing="1"/>
    </w:pPr>
  </w:style>
  <w:style w:type="paragraph" w:customStyle="1" w:styleId="hidden">
    <w:name w:val="hidden"/>
    <w:basedOn w:val="Normal"/>
    <w:uiPriority w:val="99"/>
    <w:rsid w:val="007E3D2E"/>
    <w:pPr>
      <w:spacing w:after="150"/>
    </w:pPr>
    <w:rPr>
      <w:vanish/>
    </w:rPr>
  </w:style>
  <w:style w:type="paragraph" w:customStyle="1" w:styleId="oj-doc-ti">
    <w:name w:val="oj-doc-ti"/>
    <w:basedOn w:val="Normal"/>
    <w:rsid w:val="007E3D2E"/>
    <w:pPr>
      <w:spacing w:before="100" w:beforeAutospacing="1" w:after="100" w:afterAutospacing="1"/>
    </w:pPr>
  </w:style>
  <w:style w:type="character" w:customStyle="1" w:styleId="oj-italic">
    <w:name w:val="oj-italic"/>
    <w:basedOn w:val="Tipodeletrapredefinidodopargrafo"/>
    <w:rsid w:val="007E3D2E"/>
  </w:style>
  <w:style w:type="paragraph" w:customStyle="1" w:styleId="oj-no-doc-c">
    <w:name w:val="oj-no-doc-c"/>
    <w:basedOn w:val="Normal"/>
    <w:rsid w:val="007E3D2E"/>
    <w:pPr>
      <w:spacing w:before="100" w:beforeAutospacing="1" w:after="100" w:afterAutospacing="1"/>
    </w:pPr>
  </w:style>
  <w:style w:type="paragraph" w:styleId="Textodenotadefim">
    <w:name w:val="endnote text"/>
    <w:basedOn w:val="Normal"/>
    <w:link w:val="TextodenotadefimCarter"/>
    <w:uiPriority w:val="99"/>
    <w:semiHidden/>
    <w:unhideWhenUsed/>
    <w:rsid w:val="007E3D2E"/>
    <w:rPr>
      <w:sz w:val="20"/>
      <w:szCs w:val="20"/>
    </w:rPr>
  </w:style>
  <w:style w:type="character" w:customStyle="1" w:styleId="TextodenotadefimCarter">
    <w:name w:val="Texto de nota de fim Caráter"/>
    <w:basedOn w:val="Tipodeletrapredefinidodopargrafo"/>
    <w:link w:val="Textodenotadefim"/>
    <w:uiPriority w:val="99"/>
    <w:semiHidden/>
    <w:rsid w:val="007E3D2E"/>
    <w:rPr>
      <w:rFonts w:ascii="Times New Roman" w:eastAsia="Times New Roman" w:hAnsi="Times New Roman" w:cs="Times New Roman"/>
      <w:kern w:val="0"/>
      <w:sz w:val="20"/>
      <w:szCs w:val="20"/>
      <w:lang w:eastAsia="pt-PT"/>
      <w14:ligatures w14:val="none"/>
    </w:rPr>
  </w:style>
  <w:style w:type="character" w:styleId="Refdenotadefim">
    <w:name w:val="endnote reference"/>
    <w:uiPriority w:val="99"/>
    <w:semiHidden/>
    <w:unhideWhenUsed/>
    <w:rsid w:val="007E3D2E"/>
    <w:rPr>
      <w:vertAlign w:val="superscript"/>
    </w:rPr>
  </w:style>
  <w:style w:type="character" w:customStyle="1" w:styleId="oj-sub">
    <w:name w:val="oj-sub"/>
    <w:basedOn w:val="Tipodeletrapredefinidodopargrafo"/>
    <w:rsid w:val="007E3D2E"/>
  </w:style>
  <w:style w:type="paragraph" w:customStyle="1" w:styleId="oj-normal">
    <w:name w:val="oj-normal"/>
    <w:basedOn w:val="Normal"/>
    <w:rsid w:val="007E3D2E"/>
    <w:pPr>
      <w:spacing w:before="100" w:beforeAutospacing="1" w:after="100" w:afterAutospacing="1"/>
    </w:pPr>
  </w:style>
  <w:style w:type="character" w:customStyle="1" w:styleId="Cabealho4Carter">
    <w:name w:val="Cabeçalho 4 Caráter"/>
    <w:rsid w:val="007E3D2E"/>
    <w:rPr>
      <w:b/>
      <w:bCs/>
      <w:sz w:val="28"/>
      <w:szCs w:val="23"/>
      <w:lang w:val="pt-PT" w:eastAsia="en-US" w:bidi="ar-SA"/>
    </w:rPr>
  </w:style>
  <w:style w:type="character" w:customStyle="1" w:styleId="rgba">
    <w:name w:val="rgba"/>
    <w:basedOn w:val="Tipodeletrapredefinidodopargrafo"/>
    <w:rsid w:val="007E3D2E"/>
  </w:style>
  <w:style w:type="character" w:customStyle="1" w:styleId="dados">
    <w:name w:val="dados"/>
    <w:rsid w:val="007E3D2E"/>
  </w:style>
  <w:style w:type="paragraph" w:customStyle="1" w:styleId="emission">
    <w:name w:val="emission"/>
    <w:basedOn w:val="Normal"/>
    <w:rsid w:val="007E3D2E"/>
    <w:pPr>
      <w:spacing w:before="100" w:beforeAutospacing="1" w:after="100" w:afterAutospacing="1"/>
    </w:pPr>
  </w:style>
  <w:style w:type="paragraph" w:customStyle="1" w:styleId="rfrenceinstitutionnelle">
    <w:name w:val="rfrenceinstitutionnelle"/>
    <w:basedOn w:val="Normal"/>
    <w:rsid w:val="007E3D2E"/>
    <w:pPr>
      <w:spacing w:before="100" w:beforeAutospacing="1" w:after="100" w:afterAutospacing="1"/>
    </w:pPr>
  </w:style>
  <w:style w:type="character" w:customStyle="1" w:styleId="comet-item-title">
    <w:name w:val="comet-item-title"/>
    <w:basedOn w:val="Tipodeletrapredefinidodopargrafo"/>
    <w:rsid w:val="007E3D2E"/>
  </w:style>
  <w:style w:type="paragraph" w:styleId="HTMLpr-formatado">
    <w:name w:val="HTML Preformatted"/>
    <w:basedOn w:val="Normal"/>
    <w:link w:val="HTMLpr-formatadoCarter"/>
    <w:uiPriority w:val="99"/>
    <w:semiHidden/>
    <w:unhideWhenUsed/>
    <w:rsid w:val="007E3D2E"/>
    <w:rPr>
      <w:rFonts w:ascii="Courier New" w:hAnsi="Courier New" w:cs="Courier New"/>
      <w:sz w:val="20"/>
      <w:szCs w:val="20"/>
    </w:rPr>
  </w:style>
  <w:style w:type="character" w:customStyle="1" w:styleId="HTMLpr-formatadoCarter">
    <w:name w:val="HTML pré-formatado Caráter"/>
    <w:basedOn w:val="Tipodeletrapredefinidodopargrafo"/>
    <w:link w:val="HTMLpr-formatado"/>
    <w:uiPriority w:val="99"/>
    <w:semiHidden/>
    <w:rsid w:val="007E3D2E"/>
    <w:rPr>
      <w:rFonts w:ascii="Courier New" w:eastAsia="Times New Roman" w:hAnsi="Courier New" w:cs="Courier New"/>
      <w:kern w:val="0"/>
      <w:sz w:val="20"/>
      <w:szCs w:val="20"/>
      <w:lang w:eastAsia="pt-PT"/>
      <w14:ligatures w14:val="none"/>
    </w:rPr>
  </w:style>
  <w:style w:type="character" w:customStyle="1" w:styleId="emissor">
    <w:name w:val="emissor"/>
    <w:basedOn w:val="Tipodeletrapredefinidodopargrafo"/>
    <w:rsid w:val="007E3D2E"/>
  </w:style>
  <w:style w:type="paragraph" w:customStyle="1" w:styleId="oj-ti-doc-eph">
    <w:name w:val="oj-ti-doc-eph"/>
    <w:basedOn w:val="Normal"/>
    <w:rsid w:val="007E3D2E"/>
    <w:pPr>
      <w:spacing w:before="100" w:beforeAutospacing="1" w:after="100" w:afterAutospacing="1"/>
    </w:pPr>
  </w:style>
  <w:style w:type="character" w:customStyle="1" w:styleId="oj-super">
    <w:name w:val="oj-super"/>
    <w:basedOn w:val="Tipodeletrapredefinidodopargrafo"/>
    <w:rsid w:val="007E3D2E"/>
  </w:style>
  <w:style w:type="paragraph" w:customStyle="1" w:styleId="oj-ti-sect-2">
    <w:name w:val="oj-ti-sect-2"/>
    <w:basedOn w:val="Normal"/>
    <w:rsid w:val="007E3D2E"/>
    <w:pPr>
      <w:spacing w:before="100" w:beforeAutospacing="1" w:after="100" w:afterAutospacing="1"/>
    </w:pPr>
  </w:style>
  <w:style w:type="character" w:customStyle="1" w:styleId="heading1">
    <w:name w:val="heading1"/>
    <w:basedOn w:val="Tipodeletrapredefinidodopargrafo"/>
    <w:rsid w:val="007E3D2E"/>
  </w:style>
  <w:style w:type="paragraph" w:customStyle="1" w:styleId="v1msonormal">
    <w:name w:val="v1msonormal"/>
    <w:basedOn w:val="Normal"/>
    <w:rsid w:val="007E3D2E"/>
    <w:pPr>
      <w:spacing w:before="100" w:beforeAutospacing="1" w:after="100" w:afterAutospacing="1"/>
    </w:pPr>
    <w:rPr>
      <w:rFonts w:ascii="Calibri" w:eastAsia="Calibri" w:hAnsi="Calibri" w:cs="Calibri"/>
      <w:sz w:val="22"/>
      <w:szCs w:val="22"/>
    </w:rPr>
  </w:style>
  <w:style w:type="character" w:customStyle="1" w:styleId="apple-converted-space">
    <w:name w:val="apple-converted-space"/>
    <w:basedOn w:val="Tipodeletrapredefinidodopargrafo"/>
    <w:rsid w:val="007E3D2E"/>
  </w:style>
  <w:style w:type="character" w:customStyle="1" w:styleId="m3756872742343456853msofootnotereference">
    <w:name w:val="m_3756872742343456853msofootnotereference"/>
    <w:basedOn w:val="Tipodeletrapredefinidodopargrafo"/>
    <w:rsid w:val="007E3D2E"/>
  </w:style>
  <w:style w:type="character" w:customStyle="1" w:styleId="m-3878474058234975384msofootnotereference">
    <w:name w:val="m_-3878474058234975384msofootnotereference"/>
    <w:basedOn w:val="Tipodeletrapredefinidodopargrafo"/>
    <w:rsid w:val="007E3D2E"/>
  </w:style>
  <w:style w:type="character" w:customStyle="1" w:styleId="v1msofootnotereference">
    <w:name w:val="v1msofootnotereference"/>
    <w:basedOn w:val="Tipodeletrapredefinidodopargrafo"/>
    <w:rsid w:val="007E3D2E"/>
  </w:style>
  <w:style w:type="paragraph" w:customStyle="1" w:styleId="v1title-bold">
    <w:name w:val="v1title-bold"/>
    <w:basedOn w:val="Normal"/>
    <w:rsid w:val="007E3D2E"/>
    <w:pPr>
      <w:spacing w:before="100" w:beforeAutospacing="1" w:after="100" w:afterAutospacing="1"/>
    </w:pPr>
  </w:style>
  <w:style w:type="paragraph" w:customStyle="1" w:styleId="v1v1msonormal">
    <w:name w:val="v1v1msonormal"/>
    <w:basedOn w:val="Normal"/>
    <w:rsid w:val="007E3D2E"/>
    <w:pPr>
      <w:spacing w:before="100" w:beforeAutospacing="1" w:after="100" w:afterAutospacing="1"/>
    </w:pPr>
  </w:style>
  <w:style w:type="character" w:customStyle="1" w:styleId="v1v1msofootnotereference">
    <w:name w:val="v1v1msofootnotereference"/>
    <w:basedOn w:val="Tipodeletrapredefinidodopargrafo"/>
    <w:rsid w:val="007E3D2E"/>
  </w:style>
  <w:style w:type="paragraph" w:customStyle="1" w:styleId="title-bold">
    <w:name w:val="title-bold"/>
    <w:basedOn w:val="Normal"/>
    <w:uiPriority w:val="99"/>
    <w:rsid w:val="007E3D2E"/>
    <w:pPr>
      <w:spacing w:before="100" w:beforeAutospacing="1" w:after="100" w:afterAutospacing="1"/>
    </w:pPr>
  </w:style>
  <w:style w:type="character" w:customStyle="1" w:styleId="v1comet-item-title">
    <w:name w:val="v1comet-item-title"/>
    <w:basedOn w:val="Tipodeletrapredefinidodopargrafo"/>
    <w:rsid w:val="009F25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eil.secure.europarl.europa.eu/oeil/popups/ficheprocedure.do?lang=en&amp;reference=2021/2711(RSP)"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6" Type="http://schemas.openxmlformats.org/officeDocument/2006/relationships/hyperlink" Target="https://ec.europa.eu/commission/presscorner/detail/pt/ip_22_1753" TargetMode="External"/><Relationship Id="rId21" Type="http://schemas.openxmlformats.org/officeDocument/2006/relationships/hyperlink" Target="https://www.consilium.europa.eu/pt/press/press-releases/2022/02/24/joint-statement-by-the-members-of-the-european-council-24-02-2022/" TargetMode="External"/><Relationship Id="rId34" Type="http://schemas.openxmlformats.org/officeDocument/2006/relationships/hyperlink" Target="https://eur-lex.europa.eu/legal-content/PT/TXT/PDF/?uri=CELEX:32022Q0502(01)&amp;from=PT" TargetMode="External"/><Relationship Id="rId42" Type="http://schemas.openxmlformats.org/officeDocument/2006/relationships/hyperlink" Target="https://ec.europa.eu/commission/presscorner/detail/pt/IP_22_2763" TargetMode="External"/><Relationship Id="rId47" Type="http://schemas.openxmlformats.org/officeDocument/2006/relationships/hyperlink" Target="https://eur-lex.europa.eu/legal-content/PT/TXT/?uri=CELEX%3A52022DC0234&amp;qid=1653033335279" TargetMode="External"/><Relationship Id="rId50" Type="http://schemas.openxmlformats.org/officeDocument/2006/relationships/hyperlink" Target="https://www.europarl.europa.eu/doceo/document/TA-9-2022-0212_PT.html" TargetMode="External"/><Relationship Id="rId55" Type="http://schemas.openxmlformats.org/officeDocument/2006/relationships/hyperlink" Target="http://hdl.handle.net/11328/702" TargetMode="External"/><Relationship Id="rId63" Type="http://schemas.openxmlformats.org/officeDocument/2006/relationships/hyperlink" Target="https://eur-lex.europa.eu/legal-content/PT/TXT/?uri=uriserv%3AOJ.L_.2022.157.01.0013.01.POR&amp;toc=OJ%3AL%3A2022%3A157%3ATOC" TargetMode="External"/><Relationship Id="rId7" Type="http://schemas.openxmlformats.org/officeDocument/2006/relationships/hyperlink" Target="https://www.consilium.europa.eu/media/47338/1011-12-20-euco-conclusions-pt.pdf" TargetMode="External"/><Relationship Id="rId2" Type="http://schemas.openxmlformats.org/officeDocument/2006/relationships/hyperlink" Target="https://files.dre.pt/1s/2022/03/04200/0000200003.pdf" TargetMode="External"/><Relationship Id="rId16" Type="http://schemas.openxmlformats.org/officeDocument/2006/relationships/hyperlink" Target="https://eur-lex.europa.eu/legal-content/PT/TXT/PDF/?uri=CELEX:52022XC0318(02)&amp;from=PT" TargetMode="External"/><Relationship Id="rId29" Type="http://schemas.openxmlformats.org/officeDocument/2006/relationships/hyperlink" Target="https://eur-lex.europa.eu/legal-content/PT/TXT/PDF/?uri=CELEX:32013R0606" TargetMode="External"/><Relationship Id="rId11" Type="http://schemas.openxmlformats.org/officeDocument/2006/relationships/hyperlink" Target="https://www.europarl.europa.eu/doceo/document/TA-9-2022-0074_PT.html" TargetMode="External"/><Relationship Id="rId24" Type="http://schemas.openxmlformats.org/officeDocument/2006/relationships/hyperlink" Target="https://eur-lex.europa.eu/legal-content/PT/TXT/PDF/?uri=CELEX:52021DP0401&amp;from=PT" TargetMode="External"/><Relationship Id="rId32" Type="http://schemas.openxmlformats.org/officeDocument/2006/relationships/hyperlink" Target="https://european-union.europa.eu/institutions-law-budget/institutions-and-bodies/institutions-and-bodies-profiles/fra_pt" TargetMode="External"/><Relationship Id="rId37" Type="http://schemas.openxmlformats.org/officeDocument/2006/relationships/hyperlink" Target="https://eur-lex.europa.eu/legal-content/PT/TXT/PDF/?uri=CELEX:32022Q0225(01)&amp;from=PT" TargetMode="External"/><Relationship Id="rId40" Type="http://schemas.openxmlformats.org/officeDocument/2006/relationships/hyperlink" Target="https://portugal.representation.ec.europa.eu/events/dia-da-europa-2022-05-09_pt" TargetMode="External"/><Relationship Id="rId45" Type="http://schemas.openxmlformats.org/officeDocument/2006/relationships/hyperlink" Target="https://eur-lex.europa.eu/legal-content/PT/TXT/PDF/?uri=CELEX:32022Q0519(01)&amp;from=PT" TargetMode="External"/><Relationship Id="rId53" Type="http://schemas.openxmlformats.org/officeDocument/2006/relationships/hyperlink" Target="https://www.telles.pt/xms/files/TELLES_Nota_informativa_Digital_Privacidade_e_Ciberseguranca__Decreto-Lei_n.o_109-G_2021.pdf" TargetMode="External"/><Relationship Id="rId58" Type="http://schemas.openxmlformats.org/officeDocument/2006/relationships/hyperlink" Target="http://hdl.handle.net/11328/2422" TargetMode="External"/><Relationship Id="rId66" Type="http://schemas.openxmlformats.org/officeDocument/2006/relationships/hyperlink" Target="https://eur-lex.europa.eu/legal-content/PT/TXT/?uri=uriserv%3AOJ.L_.2022.158.01.0053.01.POR&amp;toc=OJ%3AL%3A2022%3A158%3ATOC" TargetMode="External"/><Relationship Id="rId5" Type="http://schemas.openxmlformats.org/officeDocument/2006/relationships/hyperlink" Target="https://curia.europa.eu/juris/document/document.jsf?text=&amp;docid=254062&amp;pageIndex=0&amp;doclang=FR&amp;mode=req&amp;dir=&amp;occ=first&amp;part=1&amp;cid=3662862" TargetMode="External"/><Relationship Id="rId61" Type="http://schemas.openxmlformats.org/officeDocument/2006/relationships/hyperlink" Target="http://hdl.handle.net/11328/4019" TargetMode="External"/><Relationship Id="rId19" Type="http://schemas.openxmlformats.org/officeDocument/2006/relationships/hyperlink" Target="https://ec.europa.eu/competition-policy/european-competition-network_en" TargetMode="External"/><Relationship Id="rId14" Type="http://schemas.openxmlformats.org/officeDocument/2006/relationships/hyperlink" Target="https://eur-lex.europa.eu/legal-content/PT/TXT/PDF/?uri=CELEX:52022XC0318(01)&amp;from=PT" TargetMode="External"/><Relationship Id="rId22" Type="http://schemas.openxmlformats.org/officeDocument/2006/relationships/hyperlink" Target="https://eur-lex.europa.eu/legal-content/PT/TXT/PDF/?uri=COM:2022:118:FIN" TargetMode="External"/><Relationship Id="rId27" Type="http://schemas.openxmlformats.org/officeDocument/2006/relationships/hyperlink" Target="https://eur-lex.europa.eu/legal-content/PT/TXT/PDF/?uri=CELEX:32022D0492&amp;from=PT" TargetMode="External"/><Relationship Id="rId30" Type="http://schemas.openxmlformats.org/officeDocument/2006/relationships/hyperlink" Target="https://eur-lex.europa.eu/legal-content/PT/TXT/PDF/?uri=CELEX:32022R0555&amp;from=PT" TargetMode="External"/><Relationship Id="rId35" Type="http://schemas.openxmlformats.org/officeDocument/2006/relationships/hyperlink" Target="https://www.eca.europa.eu/Lists/ECADocuments/IMPLEMENTING_RULES_2021/Implementing_rules_2021_PT.pdf" TargetMode="External"/><Relationship Id="rId43" Type="http://schemas.openxmlformats.org/officeDocument/2006/relationships/hyperlink" Target="https://eur-lex.europa.eu/legal-content/PT/TXT/?uri=CELEX%3A32022D0712&amp;qid=1666544346224" TargetMode="External"/><Relationship Id="rId48" Type="http://schemas.openxmlformats.org/officeDocument/2006/relationships/hyperlink" Target="https://ec.europa.eu/info/files/eu-justice-scoreboard-2022_pt" TargetMode="External"/><Relationship Id="rId56" Type="http://schemas.openxmlformats.org/officeDocument/2006/relationships/hyperlink" Target="http://hdl.handle.net/11328/1854" TargetMode="External"/><Relationship Id="rId64" Type="http://schemas.openxmlformats.org/officeDocument/2006/relationships/hyperlink" Target="https://culture.ec.europa.eu/event/european-heritage-label-award-ceremony" TargetMode="External"/><Relationship Id="rId8" Type="http://schemas.openxmlformats.org/officeDocument/2006/relationships/hyperlink" Target="https://www.europarl.europa.eu/news/pt/press-room/20220227IPR24205/invasao-da-ucrania-pe-apela-a-uma-resposta-mais-firme-a-agressao-da-russia" TargetMode="External"/><Relationship Id="rId51" Type="http://schemas.openxmlformats.org/officeDocument/2006/relationships/hyperlink" Target="https://eur-lex.europa.eu/legal-content/PT/TXT/PDF/?uri=CELEX:32019L2161&amp;from=PT" TargetMode="External"/><Relationship Id="rId3" Type="http://schemas.openxmlformats.org/officeDocument/2006/relationships/hyperlink" Target="https://ec.europa.eu/info/sites/default/files/about_the_european_commission/eu_budget/c_2022_1382_3_en_act_part1_v7.pdf" TargetMode="External"/><Relationship Id="rId12" Type="http://schemas.openxmlformats.org/officeDocument/2006/relationships/hyperlink" Target="https://officialblogofunio.com/2022/03/18/note-from-mep-jose-manuel-fernandes-regarding-european-parliament-resolution-of-10-march-2022-on-the-rule-of-law-and-the-consequences-of-the-ecj-ruling/" TargetMode="External"/><Relationship Id="rId17" Type="http://schemas.openxmlformats.org/officeDocument/2006/relationships/hyperlink" Target="https://eur-lex.europa.eu/legal-content/PT/TXT/?uri=CELEX%3A02020R2092-20201222&amp;qid=1651508854502" TargetMode="External"/><Relationship Id="rId25" Type="http://schemas.openxmlformats.org/officeDocument/2006/relationships/hyperlink" Target="https://eur-lex.europa.eu/legal-content/PT/TXT/PDF/?uri=CELEX:32022D0482&amp;from=PT" TargetMode="External"/><Relationship Id="rId33" Type="http://schemas.openxmlformats.org/officeDocument/2006/relationships/hyperlink" Target="https://www.publico.pt/2022/04/27/mundo/noticia/bruxelas-ja-enviou-notificacao-formal-activacao-mecanismo-estado-direito-hungria-2003987" TargetMode="External"/><Relationship Id="rId38" Type="http://schemas.openxmlformats.org/officeDocument/2006/relationships/hyperlink" Target="https://eur-lex.europa.eu/legal-content/PT/TXT/PDF/?uri=CELEX:C2021/397/01&amp;from=PT" TargetMode="External"/><Relationship Id="rId46" Type="http://schemas.openxmlformats.org/officeDocument/2006/relationships/hyperlink" Target="https://eur-lex.europa.eu/legal-content/PT/TXT/PDF/?uri=CELEX:32021Q0210(01)&amp;from=PT" TargetMode="External"/><Relationship Id="rId59" Type="http://schemas.openxmlformats.org/officeDocument/2006/relationships/hyperlink" Target="http://hdl.handle.net/11328/3713" TargetMode="External"/><Relationship Id="rId20" Type="http://schemas.openxmlformats.org/officeDocument/2006/relationships/hyperlink" Target="https://ec.europa.eu/competition-policy/system/files/2022-03/202203_joint-statement_ecn_ukraine-war.pdf" TargetMode="External"/><Relationship Id="rId41" Type="http://schemas.openxmlformats.org/officeDocument/2006/relationships/hyperlink" Target="https://europa.eu/european-union/about-eu/symbols/europe-day/schuman-declaration_pt" TargetMode="External"/><Relationship Id="rId54" Type="http://schemas.openxmlformats.org/officeDocument/2006/relationships/hyperlink" Target="http://hdl.handle.net/11328/1101" TargetMode="External"/><Relationship Id="rId62" Type="http://schemas.openxmlformats.org/officeDocument/2006/relationships/hyperlink" Target="https://eurocid.mne.gov.pt/eventos/dia-da-iniciativa-de-cidadania-europeia-2022" TargetMode="External"/><Relationship Id="rId1" Type="http://schemas.openxmlformats.org/officeDocument/2006/relationships/hyperlink" Target="https://revistas.rcaap.pt/juridica/issue/view/1050" TargetMode="External"/><Relationship Id="rId6" Type="http://schemas.openxmlformats.org/officeDocument/2006/relationships/hyperlink" Target="https://www.europarl.europa.eu/doceo/document/TA-9-2021-0287_PT.html" TargetMode="External"/><Relationship Id="rId15" Type="http://schemas.openxmlformats.org/officeDocument/2006/relationships/hyperlink" Target="https://ec.europa.eu/competition-policy/public-consultations_en" TargetMode="External"/><Relationship Id="rId23" Type="http://schemas.openxmlformats.org/officeDocument/2006/relationships/hyperlink" Target="https://eur-lex.europa.eu/legal-content/PT/TXT/PDF/?uri=CELEX:52022DC0121&amp;qid=1648119175251&amp;from=PT" TargetMode="External"/><Relationship Id="rId28" Type="http://schemas.openxmlformats.org/officeDocument/2006/relationships/hyperlink" Target="https://eur-lex.europa.eu/legal-content/PT/TXT/PDF/?uri=CELEX:52022DC0127&amp;qid=1648540579411&amp;from=PT" TargetMode="External"/><Relationship Id="rId36" Type="http://schemas.openxmlformats.org/officeDocument/2006/relationships/hyperlink" Target="https://eur-lex.europa.eu/legal-content/PT/TXT/?uri=CELEX%3A02010Q0423%2801%29-20201214" TargetMode="External"/><Relationship Id="rId49" Type="http://schemas.openxmlformats.org/officeDocument/2006/relationships/hyperlink" Target="https://ec.europa.eu/commission/presscorner/detail/pt/ip_22_3146" TargetMode="External"/><Relationship Id="rId57" Type="http://schemas.openxmlformats.org/officeDocument/2006/relationships/hyperlink" Target="http://hdl.handle.net/11328/2981" TargetMode="External"/><Relationship Id="rId10" Type="http://schemas.openxmlformats.org/officeDocument/2006/relationships/hyperlink" Target="https://op.europa.eu/pt/publication-detail/-/publication/92b9b0d3-9e14-11ec-83e1-01aa75ed71a1" TargetMode="External"/><Relationship Id="rId31" Type="http://schemas.openxmlformats.org/officeDocument/2006/relationships/hyperlink" Target="https://eur-lex.europa.eu/legal-content/PT/TXT/PDF/?uri=CELEX:32007R0168&amp;from=PT" TargetMode="External"/><Relationship Id="rId44" Type="http://schemas.openxmlformats.org/officeDocument/2006/relationships/hyperlink" Target="https://eur-lex.europa.eu/legal-content/PT/TXT/PDF/?uri=CELEX:02004L0035-20190626&amp;from=EN" TargetMode="External"/><Relationship Id="rId52" Type="http://schemas.openxmlformats.org/officeDocument/2006/relationships/hyperlink" Target="https://ec.europa.eu/info/files/factsheet-new-consumer-rights-what-benefits-will-i-get_pt" TargetMode="External"/><Relationship Id="rId60" Type="http://schemas.openxmlformats.org/officeDocument/2006/relationships/hyperlink" Target="http://hdl.handle.net/11328/3875" TargetMode="External"/><Relationship Id="rId65" Type="http://schemas.openxmlformats.org/officeDocument/2006/relationships/hyperlink" Target="https://culture.ec.europa.eu/news/commission-announces-12-new-european-heritage-label-sites" TargetMode="External"/><Relationship Id="rId4" Type="http://schemas.openxmlformats.org/officeDocument/2006/relationships/hyperlink" Target="https://eur-lex.europa.eu/legal-content/PT/TXT/PDF/?uri=CELEX:32020R2092&amp;qid=1622396251991&amp;from=PT" TargetMode="External"/><Relationship Id="rId9" Type="http://schemas.openxmlformats.org/officeDocument/2006/relationships/hyperlink" Target="https://observador.pt/2022/03/03/depois-da-ucrania-e-georgia-moldavia-tambem-assina-pedido-formal-para-se-juntar-a-uniao-europeia/" TargetMode="External"/><Relationship Id="rId13" Type="http://schemas.openxmlformats.org/officeDocument/2006/relationships/hyperlink" Target="https://observador.pt/2022/03/15/operacao-europa-procuradoria-europeia-faz-primeira-operacao-em-portugal/" TargetMode="External"/><Relationship Id="rId18" Type="http://schemas.openxmlformats.org/officeDocument/2006/relationships/hyperlink" Target="https://eur-lex.europa.eu/legal-content/PT/TXT/PDF/?uri=CELEX:52022IP0052&amp;from=PT" TargetMode="External"/><Relationship Id="rId39" Type="http://schemas.openxmlformats.org/officeDocument/2006/relationships/hyperlink" Target="https://eur-lex.europa.eu/legal-content/PT/TXT/PDF/?uri=OJ:JOC_2022_184_R_0012&amp;from=PT"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BFAF40-E5F2-4C74-85FD-23AD1610FA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3690</Words>
  <Characters>19929</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João Pedro Pereira Sousa</dc:creator>
  <cp:keywords/>
  <dc:description/>
  <cp:lastModifiedBy>Filipa FM. Marinho</cp:lastModifiedBy>
  <cp:revision>2</cp:revision>
  <dcterms:created xsi:type="dcterms:W3CDTF">2022-12-12T09:36:00Z</dcterms:created>
  <dcterms:modified xsi:type="dcterms:W3CDTF">2022-12-12T09:36:00Z</dcterms:modified>
</cp:coreProperties>
</file>