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E3343B" w14:textId="77777777" w:rsidR="001915F5" w:rsidRDefault="001915F5" w:rsidP="001915F5">
      <w:pPr>
        <w:pStyle w:val="Heading2"/>
        <w:shd w:val="clear" w:color="auto" w:fill="EFEFEF"/>
        <w:spacing w:before="300" w:after="0" w:line="360" w:lineRule="atLeast"/>
        <w:jc w:val="center"/>
        <w:rPr>
          <w:rFonts w:ascii="Open Sans" w:hAnsi="Open Sans" w:cs="Open Sans"/>
          <w:color w:val="777777"/>
          <w:sz w:val="54"/>
          <w:szCs w:val="54"/>
        </w:rPr>
      </w:pPr>
      <w:bookmarkStart w:id="0" w:name="_Hlk74034465"/>
      <w:r>
        <w:rPr>
          <w:noProof/>
        </w:rPr>
        <w:drawing>
          <wp:anchor distT="0" distB="0" distL="114300" distR="114300" simplePos="0" relativeHeight="251658240" behindDoc="1" locked="0" layoutInCell="1" allowOverlap="1" wp14:anchorId="736C4EAF" wp14:editId="67B2E751">
            <wp:simplePos x="0" y="0"/>
            <wp:positionH relativeFrom="column">
              <wp:posOffset>-613410</wp:posOffset>
            </wp:positionH>
            <wp:positionV relativeFrom="page">
              <wp:posOffset>38100</wp:posOffset>
            </wp:positionV>
            <wp:extent cx="6534150" cy="3681095"/>
            <wp:effectExtent l="0" t="0" r="0" b="0"/>
            <wp:wrapTight wrapText="bothSides">
              <wp:wrapPolygon edited="0">
                <wp:start x="0" y="0"/>
                <wp:lineTo x="0" y="21462"/>
                <wp:lineTo x="21537" y="21462"/>
                <wp:lineTo x="21537" y="0"/>
                <wp:lineTo x="0" y="0"/>
              </wp:wrapPolygon>
            </wp:wrapTight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4150" cy="368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2EA9">
        <w:rPr>
          <w:rFonts w:ascii="Oxygen" w:hAnsi="Oxygen"/>
          <w:color w:val="222222"/>
          <w:sz w:val="19"/>
          <w:szCs w:val="19"/>
          <w:bdr w:val="none" w:sz="0" w:space="0" w:color="auto" w:frame="1"/>
          <w:shd w:val="clear" w:color="auto" w:fill="F0F0E9"/>
        </w:rPr>
        <w:br/>
      </w:r>
      <w:bookmarkStart w:id="1" w:name="_Hlk78464570"/>
      <w:r>
        <w:rPr>
          <w:rStyle w:val="Strong"/>
          <w:rFonts w:ascii="Open Sans" w:hAnsi="Open Sans" w:cs="Open Sans"/>
          <w:b/>
          <w:bCs/>
          <w:color w:val="777777"/>
          <w:sz w:val="54"/>
          <w:szCs w:val="54"/>
        </w:rPr>
        <w:t>Simpósio Internacional</w:t>
      </w:r>
    </w:p>
    <w:p w14:paraId="19577103" w14:textId="77777777" w:rsidR="001915F5" w:rsidRDefault="001915F5" w:rsidP="001915F5">
      <w:pPr>
        <w:pStyle w:val="Heading2"/>
        <w:shd w:val="clear" w:color="auto" w:fill="EFEFEF"/>
        <w:spacing w:before="300" w:after="0" w:line="360" w:lineRule="atLeast"/>
        <w:jc w:val="center"/>
        <w:rPr>
          <w:rFonts w:ascii="Open Sans" w:hAnsi="Open Sans" w:cs="Open Sans"/>
          <w:color w:val="777777"/>
          <w:sz w:val="54"/>
          <w:szCs w:val="54"/>
        </w:rPr>
      </w:pPr>
      <w:r>
        <w:rPr>
          <w:rStyle w:val="Strong"/>
          <w:rFonts w:ascii="Open Sans" w:hAnsi="Open Sans" w:cs="Open Sans"/>
          <w:b/>
          <w:bCs/>
          <w:color w:val="A11D1D"/>
          <w:sz w:val="54"/>
          <w:szCs w:val="54"/>
        </w:rPr>
        <w:t>ÉTICA JURÍDICA NO AMBIENTE DIGITAL</w:t>
      </w:r>
      <w:bookmarkEnd w:id="1"/>
    </w:p>
    <w:p w14:paraId="4A972EB2" w14:textId="77777777" w:rsidR="001915F5" w:rsidRPr="00832398" w:rsidRDefault="001915F5" w:rsidP="00832398">
      <w:pPr>
        <w:pStyle w:val="Heading4"/>
        <w:shd w:val="clear" w:color="auto" w:fill="EFEFEF"/>
        <w:spacing w:before="150" w:after="150" w:line="360" w:lineRule="atLeast"/>
        <w:ind w:left="-709" w:right="-852"/>
        <w:jc w:val="center"/>
        <w:rPr>
          <w:rFonts w:ascii="Open Sans" w:hAnsi="Open Sans" w:cs="Open Sans"/>
          <w:i w:val="0"/>
          <w:iCs w:val="0"/>
          <w:color w:val="777777"/>
          <w:sz w:val="27"/>
          <w:szCs w:val="27"/>
        </w:rPr>
      </w:pPr>
      <w:r w:rsidRPr="00832398">
        <w:rPr>
          <w:rFonts w:ascii="Open Sans" w:hAnsi="Open Sans" w:cs="Open Sans"/>
          <w:i w:val="0"/>
          <w:iCs w:val="0"/>
          <w:color w:val="777777"/>
          <w:sz w:val="27"/>
          <w:szCs w:val="27"/>
        </w:rPr>
        <w:t>(ETHOSDIG)</w:t>
      </w:r>
    </w:p>
    <w:p w14:paraId="24E73BC1" w14:textId="77777777" w:rsidR="001915F5" w:rsidRPr="00832398" w:rsidRDefault="001915F5" w:rsidP="00832398">
      <w:pPr>
        <w:pStyle w:val="Heading4"/>
        <w:shd w:val="clear" w:color="auto" w:fill="EFEFEF"/>
        <w:spacing w:before="150" w:after="150" w:line="360" w:lineRule="atLeast"/>
        <w:ind w:left="-709" w:right="-852"/>
        <w:jc w:val="center"/>
        <w:rPr>
          <w:rFonts w:ascii="Open Sans" w:hAnsi="Open Sans" w:cs="Open Sans"/>
          <w:i w:val="0"/>
          <w:iCs w:val="0"/>
          <w:color w:val="777777"/>
          <w:sz w:val="27"/>
          <w:szCs w:val="27"/>
        </w:rPr>
      </w:pPr>
      <w:bookmarkStart w:id="2" w:name="_Hlk78464672"/>
      <w:r w:rsidRPr="00832398">
        <w:rPr>
          <w:rFonts w:ascii="Open Sans" w:hAnsi="Open Sans" w:cs="Open Sans"/>
          <w:i w:val="0"/>
          <w:iCs w:val="0"/>
          <w:color w:val="777777"/>
          <w:sz w:val="27"/>
          <w:szCs w:val="27"/>
        </w:rPr>
        <w:t>Instituto Superior de Contabilidade e Administração do Porto – ISCAP</w:t>
      </w:r>
    </w:p>
    <w:p w14:paraId="55EC33D4" w14:textId="77777777" w:rsidR="001915F5" w:rsidRPr="00832398" w:rsidRDefault="001915F5" w:rsidP="00832398">
      <w:pPr>
        <w:pStyle w:val="Heading4"/>
        <w:shd w:val="clear" w:color="auto" w:fill="EFEFEF"/>
        <w:spacing w:before="150" w:after="150" w:line="360" w:lineRule="atLeast"/>
        <w:ind w:left="-709" w:right="-852"/>
        <w:jc w:val="center"/>
        <w:rPr>
          <w:rFonts w:ascii="Open Sans" w:hAnsi="Open Sans" w:cs="Open Sans"/>
          <w:i w:val="0"/>
          <w:iCs w:val="0"/>
          <w:color w:val="777777"/>
          <w:sz w:val="27"/>
          <w:szCs w:val="27"/>
        </w:rPr>
      </w:pPr>
      <w:r w:rsidRPr="00832398">
        <w:rPr>
          <w:rFonts w:ascii="Open Sans" w:hAnsi="Open Sans" w:cs="Open Sans"/>
          <w:i w:val="0"/>
          <w:iCs w:val="0"/>
          <w:color w:val="777777"/>
          <w:sz w:val="27"/>
          <w:szCs w:val="27"/>
        </w:rPr>
        <w:t>Politécnico do Porto – Portugal</w:t>
      </w:r>
    </w:p>
    <w:p w14:paraId="0FF52D64" w14:textId="3424E0F9" w:rsidR="009D2EA9" w:rsidRPr="00832398" w:rsidRDefault="001915F5" w:rsidP="00832398">
      <w:pPr>
        <w:pStyle w:val="Heading4"/>
        <w:shd w:val="clear" w:color="auto" w:fill="EFEFEF"/>
        <w:spacing w:before="150" w:line="360" w:lineRule="atLeast"/>
        <w:ind w:left="-709" w:right="-852"/>
        <w:jc w:val="center"/>
        <w:rPr>
          <w:rFonts w:ascii="Open Sans" w:hAnsi="Open Sans" w:cs="Open Sans"/>
          <w:i w:val="0"/>
          <w:iCs w:val="0"/>
          <w:color w:val="777777"/>
          <w:sz w:val="27"/>
          <w:szCs w:val="27"/>
        </w:rPr>
      </w:pPr>
      <w:r w:rsidRPr="00832398">
        <w:rPr>
          <w:rFonts w:ascii="Open Sans" w:hAnsi="Open Sans" w:cs="Open Sans"/>
          <w:i w:val="0"/>
          <w:iCs w:val="0"/>
          <w:color w:val="777777"/>
          <w:sz w:val="27"/>
          <w:szCs w:val="27"/>
        </w:rPr>
        <w:t>21 de outubro de 2021 (online e presencial)</w:t>
      </w:r>
      <w:bookmarkEnd w:id="2"/>
    </w:p>
    <w:bookmarkStart w:id="3" w:name="_Hlk78464707"/>
    <w:bookmarkEnd w:id="0"/>
    <w:p w14:paraId="22F6C6D6" w14:textId="62FA5086" w:rsidR="006A12AE" w:rsidRDefault="001915F5" w:rsidP="00F90ABB">
      <w:pPr>
        <w:spacing w:line="360" w:lineRule="auto"/>
        <w:jc w:val="both"/>
      </w:pPr>
      <w:r>
        <w:fldChar w:fldCharType="begin"/>
      </w:r>
      <w:r>
        <w:instrText xml:space="preserve"> HYPERLINK "https://iberojur.com/ethosdig-porto/" </w:instrText>
      </w:r>
      <w:r>
        <w:fldChar w:fldCharType="separate"/>
      </w:r>
      <w:r>
        <w:rPr>
          <w:rStyle w:val="Hyperlink"/>
        </w:rPr>
        <w:t>ETHOSDIG (Porto) » Iberojur</w:t>
      </w:r>
      <w:r>
        <w:fldChar w:fldCharType="end"/>
      </w:r>
      <w:bookmarkEnd w:id="3"/>
    </w:p>
    <w:p w14:paraId="7018841D" w14:textId="77777777" w:rsidR="0017381C" w:rsidRDefault="0017381C" w:rsidP="00F90ABB">
      <w:pPr>
        <w:spacing w:line="360" w:lineRule="auto"/>
        <w:jc w:val="both"/>
      </w:pPr>
    </w:p>
    <w:p w14:paraId="01409215" w14:textId="77777777" w:rsidR="006A12AE" w:rsidRPr="006B0A59" w:rsidRDefault="006A12AE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14:paraId="1D7869C4" w14:textId="5862148B" w:rsidR="00D0218D" w:rsidRPr="000A3B45" w:rsidRDefault="00C41811" w:rsidP="00824E6A">
      <w:pPr>
        <w:spacing w:line="360" w:lineRule="auto"/>
        <w:ind w:right="-427"/>
        <w:jc w:val="center"/>
        <w:rPr>
          <w:b/>
          <w:u w:val="single"/>
          <w:lang w:val="es-ES_tradnl"/>
        </w:rPr>
      </w:pPr>
      <w:r w:rsidRPr="00C41811">
        <w:rPr>
          <w:rFonts w:ascii="Arial" w:hAnsi="Arial" w:cs="Arial"/>
          <w:b/>
          <w:u w:val="single"/>
        </w:rPr>
        <w:t>O DIGITAL COMO PRIORIDADE DA COMISSÃO EUROPEIA: BREVE ANÁLISE SOBRE A TRANSFORMAÇÃO DIGITAL NO ÂMBITO DA UNIÃO EUROPEIA</w:t>
      </w:r>
    </w:p>
    <w:p w14:paraId="2F7E3848" w14:textId="22200E2F" w:rsidR="00D0218D" w:rsidRDefault="00D0218D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253539">
        <w:rPr>
          <w:rFonts w:ascii="Times New Roman" w:hAnsi="Times New Roman" w:cs="Times New Roman"/>
          <w:color w:val="auto"/>
          <w:sz w:val="20"/>
          <w:szCs w:val="20"/>
        </w:rPr>
        <w:tab/>
      </w:r>
      <w:bookmarkStart w:id="4" w:name="_GoBack"/>
      <w:bookmarkEnd w:id="4"/>
    </w:p>
    <w:p w14:paraId="42CCD8AC" w14:textId="77777777" w:rsidR="00F732EC" w:rsidRDefault="00F732EC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320F099E" w14:textId="6388C9D9" w:rsidR="00D0218D" w:rsidRDefault="00D0218D" w:rsidP="006B0A59">
      <w:pPr>
        <w:spacing w:line="360" w:lineRule="auto"/>
        <w:ind w:firstLine="708"/>
        <w:jc w:val="both"/>
      </w:pPr>
      <w:r w:rsidRPr="004E0BFA">
        <w:rPr>
          <w:i/>
          <w:iCs/>
        </w:rPr>
        <w:t>Dora Resende Alves</w:t>
      </w:r>
      <w:r w:rsidRPr="004E0BFA">
        <w:t>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 w:rsidR="00FE35F1">
        <w:rPr>
          <w:i/>
          <w:iCs/>
        </w:rPr>
        <w:tab/>
      </w:r>
      <w:r w:rsidR="00C41811">
        <w:rPr>
          <w:i/>
          <w:iCs/>
        </w:rPr>
        <w:tab/>
      </w:r>
      <w:hyperlink r:id="rId9" w:history="1">
        <w:r w:rsidR="00FE35F1" w:rsidRPr="007C0A8C">
          <w:rPr>
            <w:rStyle w:val="Hyperlink"/>
            <w:sz w:val="20"/>
            <w:szCs w:val="20"/>
          </w:rPr>
          <w:t>dra@upt.pt</w:t>
        </w:r>
      </w:hyperlink>
      <w:r w:rsidRPr="004E0BFA">
        <w:t xml:space="preserve">       </w:t>
      </w:r>
      <w:r w:rsidRPr="004E0BFA">
        <w:tab/>
      </w:r>
    </w:p>
    <w:p w14:paraId="154716D3" w14:textId="7D5E2D9A" w:rsidR="00C41811" w:rsidRPr="00C41811" w:rsidRDefault="00C41811" w:rsidP="00C41811">
      <w:pPr>
        <w:pStyle w:val="Default"/>
        <w:spacing w:line="360" w:lineRule="auto"/>
        <w:ind w:firstLine="708"/>
        <w:jc w:val="both"/>
        <w:rPr>
          <w:rStyle w:val="Hyperlink"/>
          <w:sz w:val="20"/>
          <w:szCs w:val="20"/>
        </w:rPr>
      </w:pPr>
      <w:r>
        <w:rPr>
          <w:rFonts w:ascii="Times New Roman" w:hAnsi="Times New Roman" w:cs="Times New Roman"/>
          <w:i/>
          <w:iCs/>
          <w:color w:val="auto"/>
        </w:rPr>
        <w:t xml:space="preserve">Ana Carolina </w:t>
      </w:r>
      <w:r w:rsidRPr="00C41811">
        <w:rPr>
          <w:rFonts w:ascii="Times New Roman" w:hAnsi="Times New Roman" w:cs="Times New Roman"/>
          <w:i/>
          <w:iCs/>
          <w:color w:val="auto"/>
        </w:rPr>
        <w:t xml:space="preserve">Assumpção </w:t>
      </w:r>
      <w:r>
        <w:rPr>
          <w:rFonts w:ascii="Times New Roman" w:hAnsi="Times New Roman" w:cs="Times New Roman"/>
          <w:i/>
          <w:iCs/>
          <w:color w:val="auto"/>
        </w:rPr>
        <w:t>Stoffel</w:t>
      </w:r>
      <w:r w:rsidRPr="004E0BFA">
        <w:rPr>
          <w:i/>
          <w:iCs/>
        </w:rPr>
        <w:t xml:space="preserve">  </w:t>
      </w:r>
      <w:r>
        <w:rPr>
          <w:rFonts w:ascii="Times New Roman" w:hAnsi="Times New Roman" w:cs="Times New Roman"/>
          <w:i/>
          <w:iCs/>
          <w:color w:val="auto"/>
        </w:rPr>
        <w:tab/>
      </w:r>
      <w:r>
        <w:rPr>
          <w:rFonts w:ascii="Times New Roman" w:hAnsi="Times New Roman" w:cs="Times New Roman"/>
          <w:i/>
          <w:iCs/>
          <w:color w:val="auto"/>
        </w:rPr>
        <w:tab/>
      </w:r>
      <w:r>
        <w:rPr>
          <w:rFonts w:ascii="Times New Roman" w:hAnsi="Times New Roman" w:cs="Times New Roman"/>
          <w:i/>
          <w:iCs/>
          <w:color w:val="auto"/>
        </w:rPr>
        <w:tab/>
      </w:r>
      <w:hyperlink r:id="rId10" w:history="1">
        <w:r w:rsidRPr="00C41811">
          <w:rPr>
            <w:rStyle w:val="Hyperlink"/>
            <w:rFonts w:ascii="Times New Roman" w:hAnsi="Times New Roman" w:cs="Times New Roman"/>
            <w:sz w:val="20"/>
            <w:szCs w:val="20"/>
          </w:rPr>
          <w:t>ac.astoffel@gmail.com</w:t>
        </w:r>
      </w:hyperlink>
      <w:r w:rsidRPr="00C41811">
        <w:rPr>
          <w:rStyle w:val="Hyperlink"/>
          <w:sz w:val="20"/>
          <w:szCs w:val="20"/>
        </w:rPr>
        <w:t xml:space="preserve"> </w:t>
      </w:r>
    </w:p>
    <w:p w14:paraId="32C045EB" w14:textId="77777777" w:rsidR="00C41811" w:rsidRDefault="00C41811" w:rsidP="006B0A59">
      <w:pPr>
        <w:spacing w:line="360" w:lineRule="auto"/>
        <w:ind w:firstLine="708"/>
        <w:jc w:val="both"/>
      </w:pPr>
    </w:p>
    <w:p w14:paraId="1BD0334C" w14:textId="5EDF143C" w:rsidR="00832B42" w:rsidRPr="00832B42" w:rsidRDefault="00832B42" w:rsidP="00832B42">
      <w:pPr>
        <w:spacing w:line="360" w:lineRule="auto"/>
        <w:rPr>
          <w:rStyle w:val="Hyperlink"/>
          <w:sz w:val="20"/>
          <w:szCs w:val="20"/>
        </w:rPr>
      </w:pPr>
      <w:r>
        <w:rPr>
          <w:rFonts w:ascii="Garamond" w:hAnsi="Garamond" w:cs="Arial"/>
          <w:b/>
          <w:color w:val="000000" w:themeColor="text1"/>
        </w:rPr>
        <w:t xml:space="preserve">  </w:t>
      </w:r>
      <w:r>
        <w:rPr>
          <w:rFonts w:ascii="Garamond" w:hAnsi="Garamond" w:cs="Arial"/>
          <w:b/>
          <w:color w:val="000000" w:themeColor="text1"/>
        </w:rPr>
        <w:tab/>
      </w:r>
      <w:r w:rsidRPr="00832B42">
        <w:rPr>
          <w:rStyle w:val="Hyperlink"/>
          <w:sz w:val="20"/>
          <w:szCs w:val="20"/>
        </w:rPr>
        <w:t xml:space="preserve"> </w:t>
      </w:r>
    </w:p>
    <w:p w14:paraId="0A50ADB2" w14:textId="77777777" w:rsidR="00832B42" w:rsidRPr="006B0A59" w:rsidRDefault="00832B42" w:rsidP="00832B42">
      <w:pPr>
        <w:spacing w:line="360" w:lineRule="auto"/>
        <w:jc w:val="right"/>
      </w:pPr>
    </w:p>
    <w:p w14:paraId="3D0863DE" w14:textId="77777777" w:rsidR="009F3F62" w:rsidRDefault="00D0218D" w:rsidP="0071236B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008D80B5" w14:textId="78AF495E" w:rsidR="00D0218D" w:rsidRDefault="00D0218D" w:rsidP="0071236B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lastRenderedPageBreak/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</w:t>
      </w:r>
      <w:r w:rsidR="009F3F62">
        <w:rPr>
          <w:rFonts w:ascii="Times New Roman" w:hAnsi="Times New Roman" w:cs="Times New Roman"/>
          <w:sz w:val="20"/>
          <w:szCs w:val="20"/>
        </w:rPr>
        <w:t>474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F8F6057" w14:textId="331E7414" w:rsidR="00D0218D" w:rsidRDefault="00D0218D" w:rsidP="00282214">
      <w:pPr>
        <w:rPr>
          <w:b/>
          <w:bCs/>
        </w:rPr>
      </w:pPr>
    </w:p>
    <w:p w14:paraId="3257E98D" w14:textId="77777777" w:rsidR="001E53D2" w:rsidRPr="006B0A59" w:rsidRDefault="001E53D2" w:rsidP="00282214">
      <w:pPr>
        <w:rPr>
          <w:b/>
          <w:bCs/>
        </w:rPr>
      </w:pPr>
    </w:p>
    <w:p w14:paraId="4A6FD979" w14:textId="3A3754AB" w:rsidR="00FE35F1" w:rsidRDefault="00D0218D" w:rsidP="006F62E8">
      <w:pPr>
        <w:jc w:val="both"/>
        <w:rPr>
          <w:b/>
          <w:bCs/>
          <w:lang w:val="es-ES"/>
        </w:rPr>
      </w:pPr>
      <w:r>
        <w:rPr>
          <w:b/>
          <w:bCs/>
          <w:lang w:val="es-ES"/>
        </w:rPr>
        <w:t>Área temática</w:t>
      </w:r>
      <w:r w:rsidRPr="00ED6672">
        <w:rPr>
          <w:b/>
          <w:bCs/>
          <w:lang w:val="es-ES"/>
        </w:rPr>
        <w:t>:</w:t>
      </w:r>
      <w:r>
        <w:rPr>
          <w:b/>
          <w:bCs/>
          <w:lang w:val="es-ES"/>
        </w:rPr>
        <w:t xml:space="preserve">  </w:t>
      </w:r>
    </w:p>
    <w:p w14:paraId="3AB9E473" w14:textId="62217613" w:rsidR="00580707" w:rsidRDefault="003B1B93" w:rsidP="006F62E8">
      <w:pPr>
        <w:rPr>
          <w:lang w:val="es-ES_tradnl"/>
        </w:rPr>
      </w:pPr>
      <w:r>
        <w:rPr>
          <w:rFonts w:ascii="Open Sans" w:hAnsi="Open Sans" w:cs="Open Sans"/>
          <w:color w:val="5E5E5E"/>
          <w:shd w:val="clear" w:color="auto" w:fill="EFEFEF"/>
        </w:rPr>
        <w:t>– Inteligência artificial e direito </w:t>
      </w:r>
    </w:p>
    <w:p w14:paraId="7D839372" w14:textId="5D7DB5F2" w:rsidR="005C7065" w:rsidRDefault="0012466F" w:rsidP="006F62E8">
      <w:pPr>
        <w:rPr>
          <w:lang w:val="es-ES_tradnl"/>
        </w:rPr>
      </w:pPr>
      <w:r>
        <w:rPr>
          <w:lang w:val="es-ES_tradnl"/>
        </w:rPr>
        <w:t>Direito da União Europeia</w:t>
      </w:r>
    </w:p>
    <w:p w14:paraId="3F6C0B5D" w14:textId="77777777" w:rsidR="00D0218D" w:rsidRPr="0009297C" w:rsidRDefault="00D0218D" w:rsidP="00282214">
      <w:pPr>
        <w:pStyle w:val="font8"/>
        <w:rPr>
          <w:sz w:val="22"/>
          <w:szCs w:val="22"/>
          <w:lang w:val="es-ES_tradnl"/>
        </w:rPr>
      </w:pPr>
    </w:p>
    <w:p w14:paraId="341F22FC" w14:textId="687E76F2" w:rsidR="00D0218D" w:rsidRDefault="00D0218D" w:rsidP="00CA1677">
      <w:pPr>
        <w:rPr>
          <w:b/>
          <w:bCs/>
        </w:rPr>
      </w:pPr>
      <w:r w:rsidRPr="00843F90">
        <w:rPr>
          <w:b/>
          <w:bCs/>
        </w:rPr>
        <w:t>Resumo:</w:t>
      </w:r>
      <w:r w:rsidR="001E294F">
        <w:rPr>
          <w:b/>
          <w:bCs/>
        </w:rPr>
        <w:t xml:space="preserve">    </w:t>
      </w:r>
    </w:p>
    <w:p w14:paraId="56A617B3" w14:textId="77777777" w:rsidR="00CA1677" w:rsidRPr="00CA1677" w:rsidRDefault="00CA1677" w:rsidP="00CA1677">
      <w:pPr>
        <w:rPr>
          <w:b/>
          <w:bCs/>
        </w:rPr>
      </w:pPr>
    </w:p>
    <w:p w14:paraId="540C02EA" w14:textId="77777777" w:rsidR="00C41811" w:rsidRDefault="00C41811" w:rsidP="00C41811">
      <w:pPr>
        <w:spacing w:line="360" w:lineRule="auto"/>
        <w:ind w:firstLine="708"/>
        <w:jc w:val="both"/>
        <w:rPr>
          <w:rFonts w:ascii="Garamond" w:hAnsi="Garamond" w:cs="Arial"/>
          <w:lang w:eastAsia="pt-BR"/>
        </w:rPr>
      </w:pPr>
      <w:r w:rsidRPr="004A0081">
        <w:rPr>
          <w:rFonts w:ascii="Garamond" w:hAnsi="Garamond" w:cs="Arial"/>
          <w:lang w:eastAsia="pt-BR"/>
        </w:rPr>
        <w:t xml:space="preserve">O presente artigo resulta de estudo realizado na área do direito da União Europeia quanto ao uso e inserção das tecnologias facilitadoras no âmbito da UE. Tal questão é de grande importância no atual contexto, considerando que em 2021 a União Europeia estabeleceu um plano de </w:t>
      </w:r>
      <w:r w:rsidRPr="004A0081">
        <w:rPr>
          <w:rFonts w:ascii="Garamond" w:hAnsi="Garamond"/>
          <w:shd w:val="clear" w:color="auto" w:fill="FFFFFF"/>
        </w:rPr>
        <w:t>transformação digital da Europa, o qual deve ser totalmente efetivado 2030. Em que pese a inegável importante que a tecnologia tem adquirido no dia a dia não só das empresas, mas também dos cidadãos e da Administração Pública, é igualmente importante a preocupação com riscos advindos do uso do digital, como, mas não se restringindo, a proteção de dados, ambiente digital seguro, não exclusão dos grupos com potencial menor acesso a tais tecnologias</w:t>
      </w:r>
      <w:r>
        <w:rPr>
          <w:rFonts w:ascii="Garamond" w:hAnsi="Garamond"/>
          <w:shd w:val="clear" w:color="auto" w:fill="FFFFFF"/>
        </w:rPr>
        <w:t xml:space="preserve"> digitais</w:t>
      </w:r>
      <w:r w:rsidRPr="004A0081">
        <w:rPr>
          <w:rFonts w:ascii="Garamond" w:hAnsi="Garamond"/>
          <w:shd w:val="clear" w:color="auto" w:fill="FFFFFF"/>
        </w:rPr>
        <w:t>. Diante disso, é que propôs a análise do digital como prioridade da Comissão Europeia, buscando-se demonstrar os principais pilares em que a União está se alicerçando para a transformação digital, bem como os principais pontos de atenção que estão sendo observados. Para a elaboração do trabalho proposto, foram utilizadas doutrina europeia, sobretudo portuguesa, bem como documentação do direito da União Europeia</w:t>
      </w:r>
      <w:r w:rsidRPr="004A0081">
        <w:rPr>
          <w:rFonts w:ascii="Garamond" w:hAnsi="Garamond" w:cs="Arial"/>
          <w:lang w:eastAsia="pt-BR"/>
        </w:rPr>
        <w:t>.</w:t>
      </w:r>
    </w:p>
    <w:p w14:paraId="0B712D48" w14:textId="77777777" w:rsidR="00C41811" w:rsidRPr="004A0081" w:rsidRDefault="00C41811" w:rsidP="00C41811">
      <w:pPr>
        <w:spacing w:line="360" w:lineRule="auto"/>
        <w:ind w:firstLine="709"/>
        <w:jc w:val="both"/>
        <w:rPr>
          <w:rFonts w:ascii="Garamond" w:hAnsi="Garamond" w:cs="Arial"/>
        </w:rPr>
      </w:pPr>
      <w:r w:rsidRPr="004A0081">
        <w:rPr>
          <w:rFonts w:ascii="Garamond" w:hAnsi="Garamond" w:cs="Arial"/>
        </w:rPr>
        <w:t>Em razão do cenário acima explicitado, procurou-se primeiramente verificar como está sendo tratada a inserção das tecnologias facilitadoras no âmbito legal, pela União Europeia, e, posteriormente, quais são as principais características, estratégias e cautelas que a UE tem tomado diante de tal contexto.</w:t>
      </w:r>
    </w:p>
    <w:p w14:paraId="0FE2D4E9" w14:textId="77777777" w:rsidR="00C41811" w:rsidRPr="004A0081" w:rsidRDefault="00C41811" w:rsidP="00C41811">
      <w:pPr>
        <w:spacing w:line="360" w:lineRule="auto"/>
        <w:ind w:firstLine="709"/>
        <w:jc w:val="both"/>
        <w:rPr>
          <w:rFonts w:ascii="Garamond" w:hAnsi="Garamond"/>
        </w:rPr>
      </w:pPr>
      <w:r w:rsidRPr="004A0081">
        <w:rPr>
          <w:rFonts w:ascii="Garamond" w:hAnsi="Garamond"/>
        </w:rPr>
        <w:t>Faz-se, de acordo com o assunto focado, uso de variados endereços eletrónicos ao longo do texto, para acesso e como fonte, visto que a utilização das plataformas informáticas é parte do tema. Apesar de discutível valor académico, recorre-se aqui à disponibilização de endereços que serão a forma de acesso eficaz e que demonstram algumas das ideias desenvolvidas pelas autoras.</w:t>
      </w:r>
    </w:p>
    <w:p w14:paraId="21927A79" w14:textId="77777777" w:rsidR="00C41811" w:rsidRPr="004A0081" w:rsidRDefault="00C41811" w:rsidP="00C41811">
      <w:pPr>
        <w:spacing w:line="360" w:lineRule="auto"/>
        <w:ind w:firstLine="708"/>
        <w:jc w:val="both"/>
        <w:rPr>
          <w:rFonts w:ascii="Garamond" w:hAnsi="Garamond" w:cs="Arial"/>
          <w:lang w:eastAsia="pt-BR"/>
        </w:rPr>
      </w:pPr>
    </w:p>
    <w:p w14:paraId="1DB2FACA" w14:textId="77777777" w:rsidR="001A0EC1" w:rsidRDefault="001A0EC1" w:rsidP="004B2B04">
      <w:pPr>
        <w:spacing w:line="360" w:lineRule="auto"/>
        <w:jc w:val="both"/>
      </w:pPr>
    </w:p>
    <w:p w14:paraId="2329209B" w14:textId="2BEF2896" w:rsidR="00D0218D" w:rsidRDefault="004B2B04" w:rsidP="00620898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C41811" w:rsidRPr="004A0081">
        <w:rPr>
          <w:rFonts w:ascii="Garamond" w:hAnsi="Garamond" w:cs="Arial"/>
          <w:lang w:eastAsia="pt-BR"/>
        </w:rPr>
        <w:t xml:space="preserve">Tecnologia. </w:t>
      </w:r>
      <w:r w:rsidR="00C41811" w:rsidRPr="009C66A3">
        <w:rPr>
          <w:rFonts w:ascii="Garamond" w:hAnsi="Garamond" w:cs="Arial"/>
          <w:lang w:eastAsia="pt-BR"/>
        </w:rPr>
        <w:t xml:space="preserve">União Europeia. </w:t>
      </w:r>
      <w:r w:rsidR="00C41811">
        <w:rPr>
          <w:rFonts w:ascii="Garamond" w:hAnsi="Garamond" w:cs="Arial"/>
          <w:lang w:val="en-US" w:eastAsia="pt-BR"/>
        </w:rPr>
        <w:t>Transformação digital</w:t>
      </w:r>
      <w:r>
        <w:t xml:space="preserve">.  </w:t>
      </w:r>
    </w:p>
    <w:p w14:paraId="51802E4E" w14:textId="1F880B61" w:rsidR="00263932" w:rsidRDefault="00263932" w:rsidP="00620898">
      <w:pPr>
        <w:spacing w:line="360" w:lineRule="auto"/>
        <w:jc w:val="both"/>
      </w:pPr>
    </w:p>
    <w:p w14:paraId="735A06C0" w14:textId="77777777" w:rsidR="00C41811" w:rsidRDefault="00C41811" w:rsidP="00620898">
      <w:pPr>
        <w:spacing w:line="360" w:lineRule="auto"/>
        <w:jc w:val="both"/>
      </w:pPr>
    </w:p>
    <w:p w14:paraId="5FC1E796" w14:textId="2CDE5ECD" w:rsidR="00C41811" w:rsidRDefault="00C41811" w:rsidP="00C41811">
      <w:pPr>
        <w:jc w:val="both"/>
        <w:rPr>
          <w:rFonts w:ascii="Garamond" w:hAnsi="Garamond" w:cs="Arial"/>
          <w:sz w:val="20"/>
          <w:szCs w:val="20"/>
        </w:rPr>
      </w:pPr>
      <w:r w:rsidRPr="00C41811">
        <w:rPr>
          <w:rFonts w:ascii="Garamond" w:hAnsi="Garamond" w:cs="Arial"/>
          <w:b/>
          <w:sz w:val="20"/>
          <w:szCs w:val="20"/>
        </w:rPr>
        <w:t xml:space="preserve">Sumário: </w:t>
      </w:r>
      <w:r w:rsidRPr="00C41811">
        <w:rPr>
          <w:rFonts w:ascii="Garamond" w:hAnsi="Garamond" w:cs="Arial"/>
          <w:sz w:val="20"/>
          <w:szCs w:val="20"/>
        </w:rPr>
        <w:t xml:space="preserve">1. Introdução; 2. </w:t>
      </w:r>
      <w:r w:rsidRPr="00C41811">
        <w:rPr>
          <w:rFonts w:ascii="Garamond" w:hAnsi="Garamond"/>
          <w:sz w:val="20"/>
          <w:szCs w:val="20"/>
        </w:rPr>
        <w:t xml:space="preserve">O digital como prioridade da Comissão Europeia: o Regulamento (UE) 2021/694 e breves reflexões sobre seus reflexos no atual cenário eurocomunitário; 3. A Inteligência Artificial (IA) no direito da União Europeia; 4. Plano para transformação digital da Europa; </w:t>
      </w:r>
      <w:r w:rsidRPr="00C41811">
        <w:rPr>
          <w:rFonts w:ascii="Garamond" w:hAnsi="Garamond"/>
          <w:bCs/>
          <w:sz w:val="20"/>
          <w:szCs w:val="20"/>
        </w:rPr>
        <w:t>5</w:t>
      </w:r>
      <w:r w:rsidRPr="00C41811">
        <w:rPr>
          <w:rFonts w:ascii="Garamond" w:hAnsi="Garamond" w:cs="Arial"/>
          <w:sz w:val="20"/>
          <w:szCs w:val="20"/>
        </w:rPr>
        <w:t>. Considerações finais; Referências bibliográficas.</w:t>
      </w:r>
    </w:p>
    <w:p w14:paraId="3233684A" w14:textId="77777777" w:rsidR="00C41811" w:rsidRDefault="00C41811" w:rsidP="00C41811">
      <w:pPr>
        <w:jc w:val="both"/>
        <w:rPr>
          <w:rFonts w:ascii="Garamond" w:hAnsi="Garamond" w:cs="Arial"/>
          <w:sz w:val="20"/>
          <w:szCs w:val="20"/>
        </w:rPr>
      </w:pPr>
    </w:p>
    <w:p w14:paraId="7934B7F8" w14:textId="77777777" w:rsidR="00C41811" w:rsidRPr="00C41811" w:rsidRDefault="00C41811" w:rsidP="00C41811">
      <w:pPr>
        <w:jc w:val="both"/>
        <w:rPr>
          <w:sz w:val="20"/>
          <w:szCs w:val="20"/>
        </w:rPr>
      </w:pPr>
    </w:p>
    <w:p w14:paraId="7C8CA8C1" w14:textId="0C7CA23D" w:rsidR="00C41811" w:rsidRPr="00C41811" w:rsidRDefault="00F252BB" w:rsidP="00C41811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3B32E076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  <w:lang w:val="pt-BR"/>
        </w:rPr>
      </w:pPr>
      <w:r w:rsidRPr="00C41811">
        <w:rPr>
          <w:rFonts w:ascii="Garamond" w:hAnsi="Garamond"/>
          <w:sz w:val="20"/>
          <w:szCs w:val="20"/>
          <w:lang w:val="pt-BR"/>
        </w:rPr>
        <w:t xml:space="preserve">ABREU, Joana Covelo de (2019). O desígnio da justiça eletrónica europeia de 2019 a 2023 à luz do contencioso da União – reflexões antecipatórias. In </w:t>
      </w:r>
      <w:r w:rsidRPr="00C41811">
        <w:rPr>
          <w:rFonts w:ascii="Garamond" w:hAnsi="Garamond"/>
          <w:i/>
          <w:iCs/>
          <w:sz w:val="20"/>
          <w:szCs w:val="20"/>
        </w:rPr>
        <w:t>Direito e Pessoa no Mundo Digital - Algumas Questões</w:t>
      </w:r>
      <w:r w:rsidRPr="00C41811">
        <w:rPr>
          <w:rFonts w:ascii="Garamond" w:hAnsi="Garamond"/>
          <w:sz w:val="20"/>
          <w:szCs w:val="20"/>
          <w:lang w:val="pt-BR"/>
        </w:rPr>
        <w:t xml:space="preserve">. Universidade do Minho, pp. 27-45. ISBN 978-989-54194-9-4. </w:t>
      </w:r>
      <w:r w:rsidRPr="00C41811">
        <w:rPr>
          <w:rFonts w:ascii="Garamond" w:hAnsi="Garamond" w:cs="Arial"/>
          <w:sz w:val="20"/>
          <w:szCs w:val="20"/>
        </w:rPr>
        <w:t xml:space="preserve">[consult. 19 Set 2021]. Disponível em: </w:t>
      </w:r>
      <w:hyperlink r:id="rId11" w:history="1">
        <w:r w:rsidRPr="00C41811">
          <w:rPr>
            <w:rStyle w:val="Hyperlink"/>
            <w:rFonts w:ascii="Garamond" w:hAnsi="Garamond"/>
            <w:sz w:val="20"/>
            <w:szCs w:val="20"/>
          </w:rPr>
          <w:t>https://issuu.com/comunicadireito/docs/jornadas_25_anos_edum</w:t>
        </w:r>
      </w:hyperlink>
      <w:r w:rsidRPr="00C41811">
        <w:rPr>
          <w:rFonts w:ascii="Garamond" w:hAnsi="Garamond"/>
          <w:sz w:val="20"/>
          <w:szCs w:val="20"/>
        </w:rPr>
        <w:t xml:space="preserve"> </w:t>
      </w:r>
    </w:p>
    <w:p w14:paraId="29D9DB85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  <w:lang w:val="pt-BR"/>
        </w:rPr>
      </w:pPr>
    </w:p>
    <w:p w14:paraId="25C75030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  <w:r w:rsidRPr="00C41811">
        <w:rPr>
          <w:rFonts w:ascii="Garamond" w:hAnsi="Garamond" w:cs="Arial"/>
          <w:sz w:val="20"/>
          <w:szCs w:val="20"/>
        </w:rPr>
        <w:t xml:space="preserve">ABREU, Joana Rita de Sousa Covelo de, &amp; REIS, Liliana (2020). </w:t>
      </w:r>
      <w:r w:rsidRPr="00C41811">
        <w:rPr>
          <w:rFonts w:ascii="Garamond" w:hAnsi="Garamond"/>
          <w:i/>
          <w:iCs/>
          <w:sz w:val="20"/>
          <w:szCs w:val="20"/>
        </w:rPr>
        <w:t>Instituições, Órgãos e Organismos da União Europeia</w:t>
      </w:r>
      <w:r w:rsidRPr="00C41811">
        <w:rPr>
          <w:rFonts w:ascii="Garamond" w:hAnsi="Garamond"/>
          <w:sz w:val="20"/>
          <w:szCs w:val="20"/>
        </w:rPr>
        <w:t>. Almedina. ISBN: 9789724086453</w:t>
      </w:r>
    </w:p>
    <w:p w14:paraId="6A5C173A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  <w:lang w:val="pt-BR"/>
        </w:rPr>
      </w:pPr>
    </w:p>
    <w:p w14:paraId="2E80B9B6" w14:textId="5EBF1FE6" w:rsidR="00C41811" w:rsidRPr="00C41811" w:rsidRDefault="00C41811" w:rsidP="00C41811">
      <w:pPr>
        <w:jc w:val="both"/>
        <w:rPr>
          <w:rStyle w:val="Hyperlink"/>
          <w:rFonts w:ascii="Garamond" w:hAnsi="Garamond"/>
          <w:color w:val="auto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ALVES, D. R., &amp; SILVA, M. M. M. (2021). A iniciativa legislativa de cidadãos como instrumento de democracia: destaque para a União Europeia. In L. Bujosa Vadell &amp; F. S. Veiga, </w:t>
      </w:r>
      <w:r w:rsidRPr="00C41811">
        <w:rPr>
          <w:rFonts w:ascii="Garamond" w:hAnsi="Garamond"/>
          <w:i/>
          <w:iCs/>
          <w:sz w:val="20"/>
          <w:szCs w:val="20"/>
        </w:rPr>
        <w:t>Derecho transnacional iberoamericano</w:t>
      </w:r>
      <w:r w:rsidRPr="00C41811">
        <w:rPr>
          <w:rFonts w:ascii="Garamond" w:hAnsi="Garamond"/>
          <w:sz w:val="20"/>
          <w:szCs w:val="20"/>
        </w:rPr>
        <w:t xml:space="preserve">, vol. 2, pp. 455-467. Valencia, Espanha: Tirant Lo Blanch. ISBN: 978-84-1378-112-9. Disponível no Repositório UPT, </w:t>
      </w:r>
      <w:hyperlink r:id="rId12" w:history="1">
        <w:r w:rsidRPr="00C41811">
          <w:rPr>
            <w:rStyle w:val="Hyperlink"/>
            <w:rFonts w:ascii="Garamond" w:hAnsi="Garamond"/>
            <w:sz w:val="20"/>
            <w:szCs w:val="20"/>
          </w:rPr>
          <w:t>http://hdl.handle.net/11328/3609</w:t>
        </w:r>
      </w:hyperlink>
    </w:p>
    <w:p w14:paraId="56E1D8D2" w14:textId="77777777" w:rsidR="00C41811" w:rsidRPr="00C41811" w:rsidRDefault="00C41811" w:rsidP="00C41811">
      <w:pPr>
        <w:jc w:val="both"/>
        <w:rPr>
          <w:rStyle w:val="Hyperlink"/>
          <w:rFonts w:ascii="Garamond" w:hAnsi="Garamond"/>
          <w:color w:val="auto"/>
          <w:sz w:val="20"/>
          <w:szCs w:val="20"/>
        </w:rPr>
      </w:pPr>
    </w:p>
    <w:p w14:paraId="0BF1D0BF" w14:textId="77777777" w:rsidR="00C41811" w:rsidRPr="00C41811" w:rsidRDefault="00C41811" w:rsidP="00C41811">
      <w:pPr>
        <w:jc w:val="both"/>
        <w:rPr>
          <w:rFonts w:ascii="Garamond" w:hAnsi="Garamond" w:cs="Arial"/>
          <w:sz w:val="20"/>
          <w:szCs w:val="20"/>
          <w:lang w:eastAsia="pt-BR"/>
        </w:rPr>
      </w:pPr>
      <w:r w:rsidRPr="00C41811">
        <w:rPr>
          <w:rFonts w:ascii="Garamond" w:hAnsi="Garamond" w:cs="Arial"/>
          <w:sz w:val="20"/>
          <w:szCs w:val="20"/>
          <w:lang w:eastAsia="pt-BR"/>
        </w:rPr>
        <w:t xml:space="preserve">SCHWAB, Klaus (2016). </w:t>
      </w:r>
      <w:r w:rsidRPr="00C41811">
        <w:rPr>
          <w:rFonts w:ascii="Garamond" w:hAnsi="Garamond" w:cs="Arial"/>
          <w:i/>
          <w:iCs/>
          <w:sz w:val="20"/>
          <w:szCs w:val="20"/>
          <w:lang w:eastAsia="pt-BR"/>
        </w:rPr>
        <w:t>A quarta Revolução Industrial.</w:t>
      </w:r>
      <w:r w:rsidRPr="00C41811">
        <w:rPr>
          <w:rFonts w:ascii="Garamond" w:hAnsi="Garamond" w:cs="Arial"/>
          <w:sz w:val="20"/>
          <w:szCs w:val="20"/>
          <w:lang w:eastAsia="pt-BR"/>
        </w:rPr>
        <w:t xml:space="preserve"> São Paulo: Edipro. ISBN 978-85-7283-978-5.</w:t>
      </w:r>
    </w:p>
    <w:p w14:paraId="2468BF6D" w14:textId="77777777" w:rsidR="00C41811" w:rsidRDefault="00C41811" w:rsidP="00C41811">
      <w:pPr>
        <w:spacing w:line="360" w:lineRule="auto"/>
        <w:jc w:val="both"/>
        <w:rPr>
          <w:rStyle w:val="Hyperlink"/>
          <w:rFonts w:ascii="Garamond" w:hAnsi="Garamond"/>
          <w:color w:val="auto"/>
        </w:rPr>
      </w:pPr>
    </w:p>
    <w:p w14:paraId="61847417" w14:textId="6EF9ED95" w:rsidR="00C41811" w:rsidRPr="00C41811" w:rsidRDefault="00C41811" w:rsidP="00C41811">
      <w:pPr>
        <w:spacing w:line="360" w:lineRule="auto"/>
        <w:jc w:val="both"/>
        <w:rPr>
          <w:rFonts w:ascii="Garamond" w:hAnsi="Garamond"/>
        </w:rPr>
      </w:pPr>
      <w:r>
        <w:rPr>
          <w:b/>
          <w:bCs/>
        </w:rPr>
        <w:t>Documentação</w:t>
      </w:r>
    </w:p>
    <w:p w14:paraId="1B614347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COMISSÃO EUROPEIA (2021). Proposta de regulamento do Parlamento Europeu e do Conselho que estabelece regras harmonizadas em matéria de inteligência artificial (Regulamento Inteligência Artificial) e altera determinados atos legislativos da União. Documento COM(2021) 206 final de 21.04.2021. </w:t>
      </w:r>
      <w:r w:rsidRPr="00C41811">
        <w:rPr>
          <w:rFonts w:ascii="Garamond" w:hAnsi="Garamond" w:cs="Arial"/>
          <w:sz w:val="20"/>
          <w:szCs w:val="20"/>
        </w:rPr>
        <w:t xml:space="preserve">[consult. 19 Set 2021]. Disponível em: </w:t>
      </w:r>
      <w:r w:rsidRPr="00C41811">
        <w:rPr>
          <w:rFonts w:ascii="Garamond" w:hAnsi="Garamond"/>
          <w:sz w:val="20"/>
          <w:szCs w:val="20"/>
        </w:rPr>
        <w:t xml:space="preserve"> </w:t>
      </w:r>
      <w:hyperlink r:id="rId13" w:history="1">
        <w:r w:rsidRPr="00C41811">
          <w:rPr>
            <w:rStyle w:val="Hyperlink"/>
            <w:rFonts w:ascii="Garamond" w:hAnsi="Garamond"/>
            <w:sz w:val="20"/>
            <w:szCs w:val="20"/>
          </w:rPr>
          <w:t>resource.html (europa.eu)</w:t>
        </w:r>
      </w:hyperlink>
    </w:p>
    <w:p w14:paraId="7D5EAB31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</w:p>
    <w:p w14:paraId="33DA840B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COMISSÃO EUROPEIA (2021). Comunicação da Comissão ao Parlamento Europeu, ao Conselho, ao Comité Económico e Social Europeu e ao Comité das Regiões </w:t>
      </w:r>
      <w:r w:rsidRPr="00C41811">
        <w:rPr>
          <w:rFonts w:ascii="Garamond" w:hAnsi="Garamond"/>
          <w:i/>
          <w:iCs/>
          <w:sz w:val="20"/>
          <w:szCs w:val="20"/>
        </w:rPr>
        <w:t>Orientações para a Digitalização até 2030: a via europeia para a Década Digital</w:t>
      </w:r>
      <w:r w:rsidRPr="00C41811">
        <w:rPr>
          <w:rFonts w:ascii="Garamond" w:hAnsi="Garamond"/>
          <w:sz w:val="20"/>
          <w:szCs w:val="20"/>
        </w:rPr>
        <w:t xml:space="preserve">. Documento COM(2021) 118 final de 09.03.2021. </w:t>
      </w:r>
      <w:r w:rsidRPr="00C41811">
        <w:rPr>
          <w:rFonts w:ascii="Garamond" w:hAnsi="Garamond" w:cs="Arial"/>
          <w:sz w:val="20"/>
          <w:szCs w:val="20"/>
        </w:rPr>
        <w:t xml:space="preserve">[consult. 19 Set 2021]. Disponível em: </w:t>
      </w:r>
      <w:r w:rsidRPr="00C41811">
        <w:rPr>
          <w:rFonts w:ascii="Garamond" w:hAnsi="Garamond"/>
          <w:sz w:val="20"/>
          <w:szCs w:val="20"/>
        </w:rPr>
        <w:t xml:space="preserve"> </w:t>
      </w:r>
      <w:hyperlink r:id="rId14" w:history="1">
        <w:r w:rsidRPr="00C41811">
          <w:rPr>
            <w:rStyle w:val="Hyperlink"/>
            <w:rFonts w:ascii="Garamond" w:hAnsi="Garamond"/>
            <w:sz w:val="20"/>
            <w:szCs w:val="20"/>
          </w:rPr>
          <w:t>EUR-Lex - 52021DC0118 - PT - EUR-Lex (europa.eu)</w:t>
        </w:r>
      </w:hyperlink>
    </w:p>
    <w:p w14:paraId="61085C9B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</w:p>
    <w:p w14:paraId="18D59282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COMISSÃO EUROPEIA (2018). Comunicação da Comissão ao Parlamento Europeu, ao Conselho, ao Comité Económico e Social Europeu e ao Comité das Regiões </w:t>
      </w:r>
      <w:r w:rsidRPr="00C41811">
        <w:rPr>
          <w:rFonts w:ascii="Garamond" w:hAnsi="Garamond"/>
          <w:i/>
          <w:iCs/>
          <w:sz w:val="20"/>
          <w:szCs w:val="20"/>
        </w:rPr>
        <w:t>Inteligência artificial para a Europa</w:t>
      </w:r>
      <w:r w:rsidRPr="00C41811">
        <w:rPr>
          <w:rFonts w:ascii="Garamond" w:hAnsi="Garamond"/>
          <w:sz w:val="20"/>
          <w:szCs w:val="20"/>
        </w:rPr>
        <w:t xml:space="preserve">. Documento COM(2018) 237 final de 25.04.2018. </w:t>
      </w:r>
    </w:p>
    <w:p w14:paraId="2ED18844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</w:p>
    <w:p w14:paraId="376551CD" w14:textId="77777777" w:rsidR="00C41811" w:rsidRPr="00C41811" w:rsidRDefault="00C41811" w:rsidP="00C41811">
      <w:pPr>
        <w:shd w:val="clear" w:color="auto" w:fill="FFFFFF"/>
        <w:jc w:val="both"/>
        <w:rPr>
          <w:rFonts w:ascii="Garamond" w:hAnsi="Garamond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COMITÉ ECONÓMICO E SOCIAL EUROPEU (2021). Parecer 2021/C 374/05 - Comunicação da Comissão ao Parlamento Europeu, ao Conselho, ao Comité Económico e Social Europeu e ao Comité das Regiões — Orientações para a Digitalização até 2030: a via europeia para a Década Digital [COM(2021) 118 final] JOUE C 374 de 16.9.2021, pp. 22-27. [consult. 19 Set 2021]. Disponível em:  </w:t>
      </w:r>
      <w:hyperlink r:id="rId15" w:history="1">
        <w:r w:rsidRPr="00C41811">
          <w:rPr>
            <w:rStyle w:val="Hyperlink"/>
            <w:rFonts w:ascii="Garamond" w:hAnsi="Garamond"/>
            <w:sz w:val="20"/>
            <w:szCs w:val="20"/>
          </w:rPr>
          <w:t>https://eur-lex.europa.eu/legal-content/PT/TXT/PDF/?uri=CELEX:52021AE1530&amp;from=PT</w:t>
        </w:r>
      </w:hyperlink>
      <w:r w:rsidRPr="00C41811">
        <w:rPr>
          <w:rFonts w:ascii="Garamond" w:hAnsi="Garamond"/>
          <w:sz w:val="20"/>
          <w:szCs w:val="20"/>
        </w:rPr>
        <w:t xml:space="preserve"> </w:t>
      </w:r>
    </w:p>
    <w:p w14:paraId="354EDDB9" w14:textId="77777777" w:rsidR="00C41811" w:rsidRPr="00C41811" w:rsidRDefault="00C41811" w:rsidP="00C41811">
      <w:pPr>
        <w:jc w:val="both"/>
        <w:rPr>
          <w:rFonts w:ascii="Garamond" w:hAnsi="Garamond"/>
          <w:sz w:val="20"/>
          <w:szCs w:val="20"/>
        </w:rPr>
      </w:pPr>
    </w:p>
    <w:p w14:paraId="2D9CE424" w14:textId="77777777" w:rsidR="00C41811" w:rsidRPr="00C41811" w:rsidRDefault="00C41811" w:rsidP="00C41811">
      <w:pPr>
        <w:jc w:val="both"/>
        <w:rPr>
          <w:rFonts w:ascii="Garamond" w:hAnsi="Garamond" w:cs="Arial"/>
          <w:sz w:val="20"/>
          <w:szCs w:val="20"/>
        </w:rPr>
      </w:pPr>
      <w:r w:rsidRPr="00C41811">
        <w:rPr>
          <w:rFonts w:ascii="Garamond" w:hAnsi="Garamond"/>
          <w:sz w:val="20"/>
          <w:szCs w:val="20"/>
        </w:rPr>
        <w:t xml:space="preserve">PARLAMENTO EUROPEU e CONSELHO (2021). Regulamento (UE) 2021/694 do Parlamento Europeu e do Conselho de 29 de abril de 2021 que cria o Programa Europa Digital. </w:t>
      </w:r>
      <w:r w:rsidRPr="00C41811">
        <w:rPr>
          <w:rFonts w:ascii="Garamond" w:hAnsi="Garamond" w:cs="Arial"/>
          <w:sz w:val="20"/>
          <w:szCs w:val="20"/>
        </w:rPr>
        <w:t xml:space="preserve">[em linha] [consult. 19 Set 2021]. Disponível em </w:t>
      </w:r>
      <w:hyperlink r:id="rId16" w:history="1">
        <w:r w:rsidRPr="00C41811">
          <w:rPr>
            <w:rStyle w:val="Hyperlink"/>
            <w:rFonts w:ascii="Garamond" w:hAnsi="Garamond" w:cs="Arial"/>
            <w:sz w:val="20"/>
            <w:szCs w:val="20"/>
          </w:rPr>
          <w:t>https://eur-lex.europa.eu/legal-content/PT/TXT/HTML/?uri=CELEX:32021R0694&amp;from=EN</w:t>
        </w:r>
      </w:hyperlink>
    </w:p>
    <w:p w14:paraId="4843B839" w14:textId="5AC1E46E" w:rsidR="008975BE" w:rsidRPr="004F43EB" w:rsidRDefault="008975BE" w:rsidP="00620898">
      <w:pPr>
        <w:spacing w:line="360" w:lineRule="auto"/>
        <w:jc w:val="both"/>
        <w:rPr>
          <w:sz w:val="20"/>
          <w:szCs w:val="20"/>
        </w:rPr>
      </w:pPr>
    </w:p>
    <w:p w14:paraId="07138726" w14:textId="77777777" w:rsidR="004F43EB" w:rsidRDefault="004F43EB" w:rsidP="00620898">
      <w:pPr>
        <w:spacing w:line="360" w:lineRule="auto"/>
        <w:jc w:val="both"/>
      </w:pPr>
    </w:p>
    <w:sectPr w:rsidR="004F43EB" w:rsidSect="006A46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0A5F35" w14:textId="77777777" w:rsidR="00841621" w:rsidRDefault="00841621" w:rsidP="007D4EAE">
      <w:r>
        <w:separator/>
      </w:r>
    </w:p>
  </w:endnote>
  <w:endnote w:type="continuationSeparator" w:id="0">
    <w:p w14:paraId="333C2C1B" w14:textId="77777777" w:rsidR="00841621" w:rsidRDefault="00841621" w:rsidP="007D4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Oxygen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CACD1F" w14:textId="77777777" w:rsidR="00841621" w:rsidRDefault="00841621" w:rsidP="007D4EAE">
      <w:r>
        <w:separator/>
      </w:r>
    </w:p>
  </w:footnote>
  <w:footnote w:type="continuationSeparator" w:id="0">
    <w:p w14:paraId="4FCEA6A7" w14:textId="77777777" w:rsidR="00841621" w:rsidRDefault="00841621" w:rsidP="007D4E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362C88"/>
    <w:multiLevelType w:val="multilevel"/>
    <w:tmpl w:val="529EF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766E4C"/>
    <w:multiLevelType w:val="multilevel"/>
    <w:tmpl w:val="5C6ACB9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6BBD0209"/>
    <w:multiLevelType w:val="multilevel"/>
    <w:tmpl w:val="92621D2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ABB"/>
    <w:rsid w:val="00003F66"/>
    <w:rsid w:val="00020BC2"/>
    <w:rsid w:val="00022FD6"/>
    <w:rsid w:val="00055FA7"/>
    <w:rsid w:val="000628AC"/>
    <w:rsid w:val="000732FD"/>
    <w:rsid w:val="00091EE8"/>
    <w:rsid w:val="0009297C"/>
    <w:rsid w:val="000A3B45"/>
    <w:rsid w:val="000E352B"/>
    <w:rsid w:val="000F4FA8"/>
    <w:rsid w:val="0012466F"/>
    <w:rsid w:val="00144BB6"/>
    <w:rsid w:val="00156B15"/>
    <w:rsid w:val="0017381C"/>
    <w:rsid w:val="001915F5"/>
    <w:rsid w:val="00196C33"/>
    <w:rsid w:val="001A0EC1"/>
    <w:rsid w:val="001A6057"/>
    <w:rsid w:val="001B0641"/>
    <w:rsid w:val="001C478E"/>
    <w:rsid w:val="001E294F"/>
    <w:rsid w:val="001E36E8"/>
    <w:rsid w:val="001E53D2"/>
    <w:rsid w:val="001F1738"/>
    <w:rsid w:val="002030EE"/>
    <w:rsid w:val="002040AD"/>
    <w:rsid w:val="002150C0"/>
    <w:rsid w:val="00253539"/>
    <w:rsid w:val="00263932"/>
    <w:rsid w:val="00273204"/>
    <w:rsid w:val="00282214"/>
    <w:rsid w:val="00284265"/>
    <w:rsid w:val="002A1132"/>
    <w:rsid w:val="002B3E3B"/>
    <w:rsid w:val="002C488A"/>
    <w:rsid w:val="002D29DD"/>
    <w:rsid w:val="002D5FFD"/>
    <w:rsid w:val="002E3605"/>
    <w:rsid w:val="00321E76"/>
    <w:rsid w:val="00324E03"/>
    <w:rsid w:val="00324F08"/>
    <w:rsid w:val="00337EDF"/>
    <w:rsid w:val="00345FE9"/>
    <w:rsid w:val="00361328"/>
    <w:rsid w:val="003B014C"/>
    <w:rsid w:val="003B1B93"/>
    <w:rsid w:val="003C002C"/>
    <w:rsid w:val="003D7AB8"/>
    <w:rsid w:val="004000B0"/>
    <w:rsid w:val="00403253"/>
    <w:rsid w:val="00410380"/>
    <w:rsid w:val="004158AF"/>
    <w:rsid w:val="00427449"/>
    <w:rsid w:val="0048772B"/>
    <w:rsid w:val="00493243"/>
    <w:rsid w:val="004A0489"/>
    <w:rsid w:val="004A0C8D"/>
    <w:rsid w:val="004B2B04"/>
    <w:rsid w:val="004B34B2"/>
    <w:rsid w:val="004D26C8"/>
    <w:rsid w:val="004E0BFA"/>
    <w:rsid w:val="004F43EB"/>
    <w:rsid w:val="00524437"/>
    <w:rsid w:val="005463DE"/>
    <w:rsid w:val="00553A95"/>
    <w:rsid w:val="00567E16"/>
    <w:rsid w:val="00580707"/>
    <w:rsid w:val="00583E11"/>
    <w:rsid w:val="00585075"/>
    <w:rsid w:val="005A0019"/>
    <w:rsid w:val="005C7065"/>
    <w:rsid w:val="005D4574"/>
    <w:rsid w:val="006116B9"/>
    <w:rsid w:val="00620898"/>
    <w:rsid w:val="00623262"/>
    <w:rsid w:val="00625591"/>
    <w:rsid w:val="00642E96"/>
    <w:rsid w:val="00646BFB"/>
    <w:rsid w:val="00661049"/>
    <w:rsid w:val="00671F61"/>
    <w:rsid w:val="006737B5"/>
    <w:rsid w:val="006934EF"/>
    <w:rsid w:val="00695392"/>
    <w:rsid w:val="00696342"/>
    <w:rsid w:val="006A12AE"/>
    <w:rsid w:val="006A46B1"/>
    <w:rsid w:val="006B0A59"/>
    <w:rsid w:val="006B6D01"/>
    <w:rsid w:val="006F54D1"/>
    <w:rsid w:val="006F62E8"/>
    <w:rsid w:val="0071236B"/>
    <w:rsid w:val="00714AF3"/>
    <w:rsid w:val="007644E0"/>
    <w:rsid w:val="00765E6C"/>
    <w:rsid w:val="0076766C"/>
    <w:rsid w:val="00770EDD"/>
    <w:rsid w:val="00775C7C"/>
    <w:rsid w:val="007809CD"/>
    <w:rsid w:val="007843E6"/>
    <w:rsid w:val="00785B48"/>
    <w:rsid w:val="007917B1"/>
    <w:rsid w:val="00796268"/>
    <w:rsid w:val="007D21D2"/>
    <w:rsid w:val="007D30DD"/>
    <w:rsid w:val="007D4009"/>
    <w:rsid w:val="007D4EAE"/>
    <w:rsid w:val="007E2258"/>
    <w:rsid w:val="007E411B"/>
    <w:rsid w:val="007E5D69"/>
    <w:rsid w:val="00802CAC"/>
    <w:rsid w:val="00812B80"/>
    <w:rsid w:val="00824E6A"/>
    <w:rsid w:val="00831EBC"/>
    <w:rsid w:val="00832398"/>
    <w:rsid w:val="00832B42"/>
    <w:rsid w:val="008357D5"/>
    <w:rsid w:val="00841621"/>
    <w:rsid w:val="00843F90"/>
    <w:rsid w:val="00844CE3"/>
    <w:rsid w:val="00872285"/>
    <w:rsid w:val="00894C32"/>
    <w:rsid w:val="008975BE"/>
    <w:rsid w:val="008A4811"/>
    <w:rsid w:val="008A5A81"/>
    <w:rsid w:val="008A6BFF"/>
    <w:rsid w:val="008C0831"/>
    <w:rsid w:val="008D2A9C"/>
    <w:rsid w:val="008E7FFE"/>
    <w:rsid w:val="008F0EA8"/>
    <w:rsid w:val="00915F4D"/>
    <w:rsid w:val="0095050B"/>
    <w:rsid w:val="00966F9D"/>
    <w:rsid w:val="009709AC"/>
    <w:rsid w:val="0097479D"/>
    <w:rsid w:val="009762DC"/>
    <w:rsid w:val="009911CA"/>
    <w:rsid w:val="009C57B3"/>
    <w:rsid w:val="009C6DFF"/>
    <w:rsid w:val="009D2EA9"/>
    <w:rsid w:val="009D49D7"/>
    <w:rsid w:val="009E4724"/>
    <w:rsid w:val="009F3F62"/>
    <w:rsid w:val="00A0251C"/>
    <w:rsid w:val="00A228F5"/>
    <w:rsid w:val="00A57059"/>
    <w:rsid w:val="00A65156"/>
    <w:rsid w:val="00A77398"/>
    <w:rsid w:val="00A96664"/>
    <w:rsid w:val="00AA606F"/>
    <w:rsid w:val="00AA7D83"/>
    <w:rsid w:val="00AB1B50"/>
    <w:rsid w:val="00AC5DD2"/>
    <w:rsid w:val="00AD2FF1"/>
    <w:rsid w:val="00B369C7"/>
    <w:rsid w:val="00B46A1B"/>
    <w:rsid w:val="00B82FEC"/>
    <w:rsid w:val="00B85F64"/>
    <w:rsid w:val="00B95D2F"/>
    <w:rsid w:val="00BC5C96"/>
    <w:rsid w:val="00BD743C"/>
    <w:rsid w:val="00C000BB"/>
    <w:rsid w:val="00C232E7"/>
    <w:rsid w:val="00C37FFA"/>
    <w:rsid w:val="00C41811"/>
    <w:rsid w:val="00C568A6"/>
    <w:rsid w:val="00C608BA"/>
    <w:rsid w:val="00C90B8F"/>
    <w:rsid w:val="00CA1061"/>
    <w:rsid w:val="00CA1677"/>
    <w:rsid w:val="00CD1F04"/>
    <w:rsid w:val="00D0218D"/>
    <w:rsid w:val="00D419E5"/>
    <w:rsid w:val="00D51F58"/>
    <w:rsid w:val="00D657AE"/>
    <w:rsid w:val="00D76F83"/>
    <w:rsid w:val="00D83523"/>
    <w:rsid w:val="00DA4363"/>
    <w:rsid w:val="00DD40CA"/>
    <w:rsid w:val="00DE2CB2"/>
    <w:rsid w:val="00DF1BB2"/>
    <w:rsid w:val="00DF1FA9"/>
    <w:rsid w:val="00E0199A"/>
    <w:rsid w:val="00E03059"/>
    <w:rsid w:val="00E04717"/>
    <w:rsid w:val="00E74ED8"/>
    <w:rsid w:val="00E932B4"/>
    <w:rsid w:val="00E93BEC"/>
    <w:rsid w:val="00ED6672"/>
    <w:rsid w:val="00EE43C0"/>
    <w:rsid w:val="00F252BB"/>
    <w:rsid w:val="00F34F7C"/>
    <w:rsid w:val="00F60371"/>
    <w:rsid w:val="00F64129"/>
    <w:rsid w:val="00F732EC"/>
    <w:rsid w:val="00F90ABB"/>
    <w:rsid w:val="00F90E3B"/>
    <w:rsid w:val="00F96C06"/>
    <w:rsid w:val="00FA1544"/>
    <w:rsid w:val="00FA3EA5"/>
    <w:rsid w:val="00FD76B8"/>
    <w:rsid w:val="00FE116E"/>
    <w:rsid w:val="00FE3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379E4"/>
  <w15:docId w15:val="{28BE437D-2ABB-4453-B82D-A6F9BA24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0ABB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40C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040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1236B"/>
    <w:pPr>
      <w:keepNext/>
      <w:keepLines/>
      <w:spacing w:before="40" w:line="276" w:lineRule="auto"/>
      <w:outlineLvl w:val="2"/>
    </w:pPr>
    <w:rPr>
      <w:rFonts w:ascii="Calibri Light" w:hAnsi="Calibri Light" w:cs="Calibri Light"/>
      <w:color w:val="1F4D7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12B8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uiPriority w:val="9"/>
    <w:semiHidden/>
    <w:rsid w:val="002C05A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rsid w:val="0071236B"/>
    <w:rPr>
      <w:rFonts w:ascii="Calibri Light" w:hAnsi="Calibri Light" w:cs="Calibri Light"/>
      <w:color w:val="1F4D78"/>
      <w:sz w:val="24"/>
      <w:szCs w:val="24"/>
    </w:rPr>
  </w:style>
  <w:style w:type="paragraph" w:customStyle="1" w:styleId="font8">
    <w:name w:val="font_8"/>
    <w:basedOn w:val="Normal"/>
    <w:uiPriority w:val="99"/>
    <w:rsid w:val="00282214"/>
    <w:pPr>
      <w:spacing w:before="100" w:beforeAutospacing="1" w:after="100" w:afterAutospacing="1"/>
    </w:pPr>
  </w:style>
  <w:style w:type="character" w:styleId="Hyperlink">
    <w:name w:val="Hyperlink"/>
    <w:rsid w:val="0071236B"/>
    <w:rPr>
      <w:color w:val="0000FF"/>
      <w:u w:val="single"/>
    </w:rPr>
  </w:style>
  <w:style w:type="paragraph" w:customStyle="1" w:styleId="Default">
    <w:name w:val="Default"/>
    <w:rsid w:val="0071236B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71236B"/>
    <w:pPr>
      <w:tabs>
        <w:tab w:val="center" w:pos="4252"/>
        <w:tab w:val="right" w:pos="8504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HeaderChar">
    <w:name w:val="Header Char"/>
    <w:link w:val="Header"/>
    <w:uiPriority w:val="99"/>
    <w:rsid w:val="0071236B"/>
    <w:rPr>
      <w:rFonts w:ascii="Calibri" w:hAnsi="Calibri" w:cs="Calibri"/>
    </w:rPr>
  </w:style>
  <w:style w:type="paragraph" w:styleId="FootnoteText">
    <w:name w:val="footnote text"/>
    <w:basedOn w:val="Normal"/>
    <w:link w:val="FootnoteTextChar"/>
    <w:uiPriority w:val="99"/>
    <w:rsid w:val="00A96664"/>
    <w:rPr>
      <w:rFonts w:ascii="Arial" w:hAnsi="Arial" w:cs="Arial"/>
      <w:sz w:val="20"/>
      <w:szCs w:val="20"/>
      <w:lang w:eastAsia="en-US"/>
    </w:rPr>
  </w:style>
  <w:style w:type="character" w:customStyle="1" w:styleId="FootnoteTextChar">
    <w:name w:val="Footnote Text Char"/>
    <w:link w:val="FootnoteText"/>
    <w:rsid w:val="00A96664"/>
    <w:rPr>
      <w:rFonts w:ascii="Arial" w:hAnsi="Arial" w:cs="Arial"/>
      <w:sz w:val="20"/>
      <w:szCs w:val="20"/>
    </w:rPr>
  </w:style>
  <w:style w:type="character" w:styleId="Strong">
    <w:name w:val="Strong"/>
    <w:uiPriority w:val="22"/>
    <w:qFormat/>
    <w:rsid w:val="00337EDF"/>
    <w:rPr>
      <w:b/>
      <w:bCs/>
    </w:rPr>
  </w:style>
  <w:style w:type="character" w:customStyle="1" w:styleId="MenoNoResolvida1">
    <w:name w:val="Menção Não Resolvida1"/>
    <w:basedOn w:val="DefaultParagraphFont"/>
    <w:uiPriority w:val="99"/>
    <w:semiHidden/>
    <w:unhideWhenUsed/>
    <w:rsid w:val="00FE35F1"/>
    <w:rPr>
      <w:color w:val="605E5C"/>
      <w:shd w:val="clear" w:color="auto" w:fill="E1DFDD"/>
    </w:rPr>
  </w:style>
  <w:style w:type="character" w:styleId="FootnoteReference">
    <w:name w:val="footnote reference"/>
    <w:uiPriority w:val="99"/>
    <w:rsid w:val="007D4EA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646B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6B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6BFB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6B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6BFB"/>
    <w:rPr>
      <w:rFonts w:ascii="Times New Roman" w:eastAsia="Times New Roman" w:hAnsi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6B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6BFB"/>
    <w:rPr>
      <w:rFonts w:ascii="Segoe UI" w:eastAsia="Times New Roman" w:hAnsi="Segoe UI" w:cs="Segoe UI"/>
      <w:sz w:val="18"/>
      <w:szCs w:val="18"/>
    </w:rPr>
  </w:style>
  <w:style w:type="character" w:customStyle="1" w:styleId="MenoNoResolvida2">
    <w:name w:val="Menção Não Resolvida2"/>
    <w:basedOn w:val="DefaultParagraphFont"/>
    <w:uiPriority w:val="99"/>
    <w:semiHidden/>
    <w:unhideWhenUsed/>
    <w:rsid w:val="0062089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DD40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unhideWhenUsed/>
    <w:rsid w:val="004B2B04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4B2B04"/>
    <w:rPr>
      <w:i/>
      <w:iCs/>
    </w:rPr>
  </w:style>
  <w:style w:type="character" w:customStyle="1" w:styleId="Heading4Char">
    <w:name w:val="Heading 4 Char"/>
    <w:basedOn w:val="DefaultParagraphFont"/>
    <w:link w:val="Heading4"/>
    <w:uiPriority w:val="9"/>
    <w:rsid w:val="00812B80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styleId="ListParagraph">
    <w:name w:val="List Paragraph"/>
    <w:basedOn w:val="Normal"/>
    <w:uiPriority w:val="34"/>
    <w:qFormat/>
    <w:rsid w:val="00263932"/>
    <w:rPr>
      <w:rFonts w:ascii="Calibri" w:eastAsiaTheme="minorHAnsi" w:hAnsi="Calibri" w:cs="Calibri"/>
      <w:sz w:val="22"/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26393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263932"/>
    <w:rPr>
      <w:rFonts w:eastAsiaTheme="minorHAnsi" w:cstheme="minorBidi"/>
      <w:sz w:val="22"/>
      <w:szCs w:val="21"/>
      <w:lang w:eastAsia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F0E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B34B2"/>
    <w:rPr>
      <w:color w:val="800080" w:themeColor="followedHyperlink"/>
      <w:u w:val="single"/>
    </w:rPr>
  </w:style>
  <w:style w:type="character" w:customStyle="1" w:styleId="resaltado">
    <w:name w:val="resaltado"/>
    <w:basedOn w:val="DefaultParagraphFont"/>
    <w:rsid w:val="007962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5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eur-lex.europa.eu/resource.html?uri=cellar:e0649735-a372-11eb-9585-01aa75ed71a1.0004.02/DOC_1&amp;format=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hdl.handle.net/11328/3609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legal-content/PT/TXT/HTML/?uri=CELEX:32021R0694&amp;from=E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ssuu.com/comunicadireito/docs/jornadas_25_anos_edu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ur-lex.europa.eu/legal-content/PT/TXT/PDF/?uri=CELEX:52021AE1530&amp;from=PT" TargetMode="External"/><Relationship Id="rId10" Type="http://schemas.openxmlformats.org/officeDocument/2006/relationships/hyperlink" Target="mailto:ac.astoffel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ra@upt.pt" TargetMode="External"/><Relationship Id="rId14" Type="http://schemas.openxmlformats.org/officeDocument/2006/relationships/hyperlink" Target="https://eur-lex.europa.eu/legal-content/PT/TXT/PDF/?uri=CELEX:52021DC0118&amp;from=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BF965-5311-4FE7-98E4-58B1C6995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780</Words>
  <Characters>5543</Characters>
  <Application>Microsoft Office Word</Application>
  <DocSecurity>0</DocSecurity>
  <Lines>46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II Congreso Internacional Comunicación y Pensamiento</vt:lpstr>
      <vt:lpstr>II Congreso Internacional Comunicación y Pensamiento</vt:lpstr>
    </vt:vector>
  </TitlesOfParts>
  <Company/>
  <LinksUpToDate>false</LinksUpToDate>
  <CharactersWithSpaces>6311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 Congreso Internacional Comunicación y Pensamiento</dc:title>
  <dc:subject/>
  <dc:creator>Maria Manuela Dias Marques Magalhaes Silva</dc:creator>
  <cp:keywords/>
  <dc:description/>
  <cp:lastModifiedBy>Dora Resende Alves</cp:lastModifiedBy>
  <cp:revision>3</cp:revision>
  <dcterms:created xsi:type="dcterms:W3CDTF">2021-10-29T08:48:00Z</dcterms:created>
  <dcterms:modified xsi:type="dcterms:W3CDTF">2021-10-29T08:56:00Z</dcterms:modified>
</cp:coreProperties>
</file>