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64A42B5" w14:textId="77777777" w:rsidR="00D0218D" w:rsidRDefault="00D0218D" w:rsidP="002040AD">
      <w:pPr>
        <w:spacing w:line="360" w:lineRule="auto"/>
        <w:jc w:val="both"/>
      </w:pPr>
      <w:bookmarkStart w:id="0" w:name="_GoBack"/>
      <w:bookmarkEnd w:id="0"/>
    </w:p>
    <w:p w14:paraId="79EDF863" w14:textId="77777777" w:rsidR="00D0218D" w:rsidRDefault="00D0218D" w:rsidP="0071236B">
      <w:pPr>
        <w:pStyle w:val="Ttulo3"/>
        <w:shd w:val="clear" w:color="auto" w:fill="FFFFFF"/>
        <w:spacing w:before="0"/>
        <w:jc w:val="right"/>
        <w:textAlignment w:val="baseline"/>
        <w:rPr>
          <w:rFonts w:ascii="Times New Roman" w:hAnsi="Times New Roman" w:cs="Times New Roman"/>
          <w:b/>
          <w:bCs/>
          <w:sz w:val="18"/>
          <w:szCs w:val="18"/>
          <w:lang w:val="es-ES_tradnl"/>
        </w:rPr>
      </w:pPr>
    </w:p>
    <w:p w14:paraId="395ED79D" w14:textId="390F6636" w:rsidR="00D0218D" w:rsidRDefault="00D0218D" w:rsidP="002040AD">
      <w:pPr>
        <w:pStyle w:val="Ttulo3"/>
        <w:shd w:val="clear" w:color="auto" w:fill="FFFFFF"/>
        <w:tabs>
          <w:tab w:val="left" w:pos="195"/>
        </w:tabs>
        <w:spacing w:before="0"/>
        <w:textAlignment w:val="baseline"/>
        <w:rPr>
          <w:rFonts w:ascii="Times New Roman" w:hAnsi="Times New Roman" w:cs="Times New Roman"/>
          <w:b/>
          <w:bCs/>
          <w:sz w:val="18"/>
          <w:szCs w:val="18"/>
          <w:lang w:val="es-ES_tradnl"/>
        </w:rPr>
      </w:pPr>
      <w:r>
        <w:rPr>
          <w:rFonts w:ascii="Times New Roman" w:hAnsi="Times New Roman" w:cs="Times New Roman"/>
          <w:b/>
          <w:bCs/>
          <w:sz w:val="18"/>
          <w:szCs w:val="18"/>
          <w:lang w:val="es-ES_tradnl"/>
        </w:rPr>
        <w:tab/>
      </w:r>
      <w:r w:rsidR="00104FB4">
        <w:rPr>
          <w:noProof/>
        </w:rPr>
        <w:drawing>
          <wp:inline distT="0" distB="0" distL="0" distR="0" wp14:anchorId="131B7636" wp14:editId="2FE32BAD">
            <wp:extent cx="4381500" cy="1504950"/>
            <wp:effectExtent l="0" t="0" r="0" b="0"/>
            <wp:docPr id="15" name="Imagem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8"/>
                    <a:srcRect l="9972" t="15372" r="36275" b="61550"/>
                    <a:stretch/>
                  </pic:blipFill>
                  <pic:spPr bwMode="auto">
                    <a:xfrm>
                      <a:off x="0" y="0"/>
                      <a:ext cx="4384104" cy="150584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06828060" w14:textId="77777777" w:rsidR="00D0218D" w:rsidRDefault="00D0218D" w:rsidP="0071236B">
      <w:pPr>
        <w:pStyle w:val="Ttulo3"/>
        <w:shd w:val="clear" w:color="auto" w:fill="FFFFFF"/>
        <w:spacing w:before="0"/>
        <w:jc w:val="right"/>
        <w:textAlignment w:val="baseline"/>
        <w:rPr>
          <w:rFonts w:ascii="Times New Roman" w:hAnsi="Times New Roman" w:cs="Times New Roman"/>
          <w:b/>
          <w:bCs/>
          <w:sz w:val="18"/>
          <w:szCs w:val="18"/>
          <w:lang w:val="es-ES_tradnl"/>
        </w:rPr>
      </w:pPr>
    </w:p>
    <w:p w14:paraId="24617F12" w14:textId="77777777" w:rsidR="00104FB4" w:rsidRDefault="00104FB4" w:rsidP="001A6057">
      <w:pPr>
        <w:jc w:val="both"/>
        <w:rPr>
          <w:rFonts w:ascii="Helvetica" w:hAnsi="Helvetica"/>
          <w:b/>
          <w:bCs/>
          <w:color w:val="777777"/>
          <w:sz w:val="28"/>
          <w:szCs w:val="28"/>
          <w:shd w:val="clear" w:color="auto" w:fill="FFFFFF"/>
        </w:rPr>
      </w:pPr>
    </w:p>
    <w:p w14:paraId="58AE7738" w14:textId="7C9612F0" w:rsidR="001A6057" w:rsidRDefault="00104FB4" w:rsidP="001A6057">
      <w:pPr>
        <w:jc w:val="both"/>
        <w:rPr>
          <w:rFonts w:ascii="Helvetica" w:hAnsi="Helvetica"/>
          <w:b/>
          <w:bCs/>
          <w:color w:val="777777"/>
          <w:sz w:val="28"/>
          <w:szCs w:val="28"/>
          <w:shd w:val="clear" w:color="auto" w:fill="FFFFFF"/>
        </w:rPr>
      </w:pPr>
      <w:r>
        <w:rPr>
          <w:rFonts w:ascii="Helvetica" w:hAnsi="Helvetica"/>
          <w:b/>
          <w:bCs/>
          <w:color w:val="777777"/>
          <w:sz w:val="28"/>
          <w:szCs w:val="28"/>
          <w:shd w:val="clear" w:color="auto" w:fill="FFFFFF"/>
        </w:rPr>
        <w:t>webinar</w:t>
      </w:r>
    </w:p>
    <w:p w14:paraId="1C34BD0A" w14:textId="77777777" w:rsidR="001A6057" w:rsidRPr="001A6057" w:rsidRDefault="001A6057" w:rsidP="001A6057">
      <w:pPr>
        <w:jc w:val="both"/>
        <w:rPr>
          <w:rFonts w:ascii="Helvetica" w:hAnsi="Helvetica"/>
          <w:color w:val="777777"/>
          <w:sz w:val="28"/>
          <w:szCs w:val="28"/>
          <w:shd w:val="clear" w:color="auto" w:fill="FFFFFF"/>
        </w:rPr>
      </w:pPr>
    </w:p>
    <w:p w14:paraId="27435BBA" w14:textId="6841D6CA" w:rsidR="001A6057" w:rsidRDefault="001A6057" w:rsidP="001A6057">
      <w:pPr>
        <w:jc w:val="right"/>
        <w:rPr>
          <w:rFonts w:ascii="Helvetica" w:hAnsi="Helvetica"/>
          <w:color w:val="777777"/>
          <w:shd w:val="clear" w:color="auto" w:fill="FFFFFF"/>
        </w:rPr>
      </w:pPr>
      <w:r w:rsidRPr="001A6057">
        <w:rPr>
          <w:rFonts w:ascii="Helvetica" w:hAnsi="Helvetica"/>
          <w:color w:val="777777"/>
          <w:shd w:val="clear" w:color="auto" w:fill="FFFFFF"/>
        </w:rPr>
        <w:t xml:space="preserve">8 de </w:t>
      </w:r>
      <w:r w:rsidR="00104FB4">
        <w:rPr>
          <w:rFonts w:ascii="Helvetica" w:hAnsi="Helvetica"/>
          <w:color w:val="777777"/>
          <w:shd w:val="clear" w:color="auto" w:fill="FFFFFF"/>
        </w:rPr>
        <w:t>maio</w:t>
      </w:r>
      <w:r w:rsidRPr="001A6057">
        <w:rPr>
          <w:rFonts w:ascii="Helvetica" w:hAnsi="Helvetica"/>
          <w:color w:val="777777"/>
          <w:shd w:val="clear" w:color="auto" w:fill="FFFFFF"/>
        </w:rPr>
        <w:t xml:space="preserve"> de 2021 </w:t>
      </w:r>
    </w:p>
    <w:p w14:paraId="40D9E384" w14:textId="77777777" w:rsidR="00104FB4" w:rsidRDefault="00104FB4" w:rsidP="001A6057">
      <w:pPr>
        <w:jc w:val="right"/>
        <w:rPr>
          <w:rFonts w:ascii="Helvetica" w:hAnsi="Helvetica"/>
          <w:color w:val="777777"/>
          <w:shd w:val="clear" w:color="auto" w:fill="FFFFFF"/>
        </w:rPr>
      </w:pPr>
    </w:p>
    <w:p w14:paraId="0C16E39F" w14:textId="3F457FBA" w:rsidR="00104FB4" w:rsidRPr="002D29DD" w:rsidRDefault="00104FB4" w:rsidP="001A6057">
      <w:pPr>
        <w:jc w:val="right"/>
        <w:rPr>
          <w:rFonts w:ascii="Helvetica" w:hAnsi="Helvetica"/>
          <w:color w:val="777777"/>
          <w:shd w:val="clear" w:color="auto" w:fill="FFFFFF"/>
        </w:rPr>
      </w:pPr>
      <w:r>
        <w:rPr>
          <w:rFonts w:ascii="Helvetica" w:hAnsi="Helvetica"/>
          <w:color w:val="777777"/>
          <w:shd w:val="clear" w:color="auto" w:fill="FFFFFF"/>
        </w:rPr>
        <w:t>16h / 17.30</w:t>
      </w:r>
    </w:p>
    <w:p w14:paraId="38208699" w14:textId="0B57216A" w:rsidR="001A6057" w:rsidRPr="001A6057" w:rsidRDefault="001A6057" w:rsidP="001A6057">
      <w:pPr>
        <w:jc w:val="right"/>
        <w:rPr>
          <w:rFonts w:ascii="Helvetica" w:hAnsi="Helvetica"/>
          <w:color w:val="777777"/>
          <w:shd w:val="clear" w:color="auto" w:fill="FFFFFF"/>
        </w:rPr>
      </w:pPr>
      <w:r w:rsidRPr="001A6057">
        <w:rPr>
          <w:rFonts w:ascii="Helvetica" w:hAnsi="Helvetica"/>
          <w:color w:val="777777"/>
          <w:shd w:val="clear" w:color="auto" w:fill="FFFFFF"/>
        </w:rPr>
        <w:t>(</w:t>
      </w:r>
      <w:r w:rsidRPr="001A6057">
        <w:rPr>
          <w:rFonts w:ascii="Helvetica" w:hAnsi="Helvetica"/>
          <w:b/>
          <w:bCs/>
          <w:color w:val="777777"/>
          <w:shd w:val="clear" w:color="auto" w:fill="FFFFFF"/>
        </w:rPr>
        <w:t>on line</w:t>
      </w:r>
      <w:r w:rsidRPr="001A6057">
        <w:rPr>
          <w:rFonts w:ascii="Helvetica" w:hAnsi="Helvetica"/>
          <w:color w:val="777777"/>
          <w:shd w:val="clear" w:color="auto" w:fill="FFFFFF"/>
        </w:rPr>
        <w:t>)</w:t>
      </w:r>
    </w:p>
    <w:p w14:paraId="0E8AFE2C" w14:textId="77777777" w:rsidR="00D0218D" w:rsidRPr="002A1132" w:rsidRDefault="00D0218D" w:rsidP="00F90ABB">
      <w:pPr>
        <w:spacing w:line="360" w:lineRule="auto"/>
        <w:jc w:val="both"/>
        <w:rPr>
          <w:sz w:val="22"/>
          <w:szCs w:val="22"/>
          <w:u w:val="single"/>
          <w:lang w:val="es-ES_tradnl"/>
        </w:rPr>
      </w:pPr>
    </w:p>
    <w:p w14:paraId="0545882C" w14:textId="77777777" w:rsidR="00D0218D" w:rsidRPr="006B0A59" w:rsidRDefault="00D0218D" w:rsidP="00F90ABB">
      <w:pPr>
        <w:spacing w:line="360" w:lineRule="auto"/>
        <w:jc w:val="both"/>
        <w:rPr>
          <w:sz w:val="22"/>
          <w:szCs w:val="22"/>
          <w:u w:val="single"/>
          <w:lang w:val="es-ES_tradnl"/>
        </w:rPr>
      </w:pPr>
    </w:p>
    <w:p w14:paraId="5785BD93" w14:textId="77777777" w:rsidR="00D0218D" w:rsidRPr="006B0A59" w:rsidRDefault="00D0218D" w:rsidP="00F90ABB">
      <w:pPr>
        <w:spacing w:line="360" w:lineRule="auto"/>
        <w:jc w:val="both"/>
        <w:rPr>
          <w:sz w:val="22"/>
          <w:szCs w:val="22"/>
          <w:u w:val="single"/>
          <w:lang w:val="es-ES_tradnl"/>
        </w:rPr>
      </w:pPr>
    </w:p>
    <w:p w14:paraId="0CF8039D" w14:textId="0C4CA65F" w:rsidR="00104FB4" w:rsidRDefault="00104FB4" w:rsidP="000F4FA8">
      <w:pPr>
        <w:spacing w:line="360" w:lineRule="auto"/>
        <w:jc w:val="center"/>
        <w:rPr>
          <w:u w:val="single"/>
        </w:rPr>
      </w:pPr>
      <w:bookmarkStart w:id="1" w:name="_Hlk71378527"/>
      <w:r w:rsidRPr="00104FB4">
        <w:rPr>
          <w:u w:val="single"/>
        </w:rPr>
        <w:t>Direito da concorrência quadro regulat</w:t>
      </w:r>
      <w:r w:rsidRPr="00104FB4">
        <w:rPr>
          <w:u w:val="single"/>
          <w:lang w:val="es-ES_tradnl"/>
        </w:rPr>
        <w:t>ó</w:t>
      </w:r>
      <w:r w:rsidRPr="00104FB4">
        <w:rPr>
          <w:u w:val="single"/>
        </w:rPr>
        <w:t xml:space="preserve">rio aplicável ao </w:t>
      </w:r>
      <w:r w:rsidRPr="001837FB">
        <w:rPr>
          <w:i/>
          <w:iCs/>
          <w:u w:val="single"/>
        </w:rPr>
        <w:t>e-Commerce</w:t>
      </w:r>
      <w:r w:rsidRPr="00104FB4">
        <w:rPr>
          <w:u w:val="single"/>
        </w:rPr>
        <w:t xml:space="preserve"> </w:t>
      </w:r>
    </w:p>
    <w:p w14:paraId="1D7869C4" w14:textId="11E04771" w:rsidR="00D0218D" w:rsidRPr="00104FB4" w:rsidRDefault="00104FB4" w:rsidP="000F4FA8">
      <w:pPr>
        <w:spacing w:line="360" w:lineRule="auto"/>
        <w:jc w:val="center"/>
        <w:rPr>
          <w:u w:val="single"/>
          <w:lang w:val="es-ES_tradnl"/>
        </w:rPr>
      </w:pPr>
      <w:r w:rsidRPr="00104FB4">
        <w:rPr>
          <w:u w:val="single"/>
        </w:rPr>
        <w:t xml:space="preserve">em Portugal e na </w:t>
      </w:r>
      <w:r>
        <w:rPr>
          <w:u w:val="single"/>
        </w:rPr>
        <w:t>U</w:t>
      </w:r>
      <w:r w:rsidRPr="00104FB4">
        <w:rPr>
          <w:u w:val="single"/>
        </w:rPr>
        <w:t xml:space="preserve">nião </w:t>
      </w:r>
      <w:r>
        <w:rPr>
          <w:u w:val="single"/>
        </w:rPr>
        <w:t>E</w:t>
      </w:r>
      <w:r w:rsidRPr="00104FB4">
        <w:rPr>
          <w:u w:val="single"/>
        </w:rPr>
        <w:t>uropeia</w:t>
      </w:r>
      <w:bookmarkEnd w:id="1"/>
    </w:p>
    <w:p w14:paraId="2F7E3848" w14:textId="77777777" w:rsidR="00D0218D" w:rsidRDefault="00D0218D" w:rsidP="0071236B">
      <w:pPr>
        <w:pStyle w:val="Default"/>
        <w:spacing w:line="360" w:lineRule="auto"/>
        <w:jc w:val="both"/>
        <w:rPr>
          <w:rFonts w:ascii="Times New Roman" w:hAnsi="Times New Roman" w:cs="Times New Roman"/>
          <w:color w:val="auto"/>
          <w:sz w:val="20"/>
          <w:szCs w:val="20"/>
        </w:rPr>
      </w:pPr>
      <w:r w:rsidRPr="00253539">
        <w:rPr>
          <w:rFonts w:ascii="Times New Roman" w:hAnsi="Times New Roman" w:cs="Times New Roman"/>
          <w:color w:val="auto"/>
          <w:sz w:val="20"/>
          <w:szCs w:val="20"/>
        </w:rPr>
        <w:tab/>
      </w:r>
    </w:p>
    <w:p w14:paraId="1841DEDA" w14:textId="66864719" w:rsidR="00D0218D" w:rsidRPr="00253539" w:rsidRDefault="00D0218D" w:rsidP="0071236B">
      <w:pPr>
        <w:pStyle w:val="Default"/>
        <w:spacing w:line="360" w:lineRule="auto"/>
        <w:ind w:firstLine="708"/>
        <w:jc w:val="both"/>
        <w:rPr>
          <w:rFonts w:ascii="Times New Roman" w:hAnsi="Times New Roman" w:cs="Times New Roman"/>
          <w:color w:val="auto"/>
          <w:sz w:val="20"/>
          <w:szCs w:val="20"/>
        </w:rPr>
      </w:pPr>
    </w:p>
    <w:p w14:paraId="02A89A83" w14:textId="77777777" w:rsidR="00104FB4" w:rsidRDefault="00D0218D" w:rsidP="006B0A59">
      <w:pPr>
        <w:spacing w:line="360" w:lineRule="auto"/>
        <w:ind w:firstLine="708"/>
        <w:jc w:val="both"/>
      </w:pPr>
      <w:r w:rsidRPr="004E0BFA">
        <w:rPr>
          <w:i/>
          <w:iCs/>
        </w:rPr>
        <w:t>Dora Resende Alves</w:t>
      </w:r>
      <w:r w:rsidRPr="004E0BFA">
        <w:t>, PhD</w:t>
      </w:r>
      <w:r w:rsidRPr="004E0BFA">
        <w:rPr>
          <w:i/>
          <w:iCs/>
        </w:rPr>
        <w:t xml:space="preserve">   </w:t>
      </w:r>
      <w:r w:rsidRPr="004E0BFA">
        <w:rPr>
          <w:i/>
          <w:iCs/>
        </w:rPr>
        <w:tab/>
      </w:r>
      <w:r>
        <w:rPr>
          <w:i/>
          <w:iCs/>
        </w:rPr>
        <w:tab/>
      </w:r>
      <w:r w:rsidR="00FE35F1">
        <w:rPr>
          <w:i/>
          <w:iCs/>
        </w:rPr>
        <w:tab/>
      </w:r>
      <w:hyperlink r:id="rId9" w:history="1">
        <w:r w:rsidR="00FE35F1" w:rsidRPr="007C0A8C">
          <w:rPr>
            <w:rStyle w:val="Hiperligao"/>
            <w:sz w:val="20"/>
            <w:szCs w:val="20"/>
          </w:rPr>
          <w:t>dra@upt.pt</w:t>
        </w:r>
      </w:hyperlink>
      <w:r w:rsidRPr="004E0BFA">
        <w:t xml:space="preserve">       </w:t>
      </w:r>
    </w:p>
    <w:p w14:paraId="320F099E" w14:textId="1EDA7620" w:rsidR="00D0218D" w:rsidRDefault="00104FB4" w:rsidP="006B0A59">
      <w:pPr>
        <w:spacing w:line="360" w:lineRule="auto"/>
        <w:ind w:firstLine="708"/>
        <w:jc w:val="both"/>
      </w:pPr>
      <w:r>
        <w:rPr>
          <w:i/>
          <w:iCs/>
        </w:rPr>
        <w:t>Fernanda Maria Neves Rebelo</w:t>
      </w:r>
      <w:r w:rsidRPr="00253539">
        <w:rPr>
          <w:sz w:val="20"/>
          <w:szCs w:val="20"/>
        </w:rPr>
        <w:t>, PhD</w:t>
      </w:r>
      <w:r w:rsidRPr="00253539">
        <w:rPr>
          <w:i/>
          <w:iCs/>
          <w:sz w:val="20"/>
          <w:szCs w:val="20"/>
        </w:rPr>
        <w:t xml:space="preserve">   </w:t>
      </w:r>
      <w:r w:rsidRPr="00253539">
        <w:rPr>
          <w:sz w:val="20"/>
          <w:szCs w:val="20"/>
        </w:rPr>
        <w:tab/>
      </w:r>
      <w:hyperlink r:id="rId10" w:history="1">
        <w:r w:rsidRPr="00891785">
          <w:rPr>
            <w:rStyle w:val="Hiperligao"/>
            <w:sz w:val="20"/>
            <w:szCs w:val="20"/>
          </w:rPr>
          <w:t>fmnr@upt.pt</w:t>
        </w:r>
      </w:hyperlink>
      <w:r w:rsidR="00D0218D" w:rsidRPr="004E0BFA">
        <w:tab/>
      </w:r>
    </w:p>
    <w:p w14:paraId="05F0C3A0" w14:textId="77777777" w:rsidR="00D0218D" w:rsidRPr="006B0A59" w:rsidRDefault="00D0218D" w:rsidP="006B0A59">
      <w:pPr>
        <w:spacing w:line="360" w:lineRule="auto"/>
        <w:ind w:firstLine="708"/>
        <w:jc w:val="both"/>
      </w:pPr>
    </w:p>
    <w:p w14:paraId="008D80B5" w14:textId="77777777" w:rsidR="00D0218D" w:rsidRPr="008D2A9C" w:rsidRDefault="00D0218D" w:rsidP="0071236B">
      <w:pPr>
        <w:pStyle w:val="Default"/>
        <w:jc w:val="both"/>
        <w:rPr>
          <w:rFonts w:ascii="Times New Roman" w:hAnsi="Times New Roman" w:cs="Times New Roman"/>
          <w:color w:val="auto"/>
          <w:sz w:val="20"/>
          <w:szCs w:val="20"/>
        </w:rPr>
      </w:pPr>
      <w:r w:rsidRPr="00DF1FA9">
        <w:rPr>
          <w:rFonts w:ascii="Times New Roman" w:hAnsi="Times New Roman" w:cs="Times New Roman"/>
          <w:b/>
          <w:bCs/>
          <w:sz w:val="20"/>
          <w:szCs w:val="20"/>
        </w:rPr>
        <w:t>FILIA</w:t>
      </w:r>
      <w:r>
        <w:rPr>
          <w:rFonts w:ascii="Times New Roman" w:hAnsi="Times New Roman" w:cs="Times New Roman"/>
          <w:b/>
          <w:bCs/>
          <w:sz w:val="20"/>
          <w:szCs w:val="20"/>
        </w:rPr>
        <w:t>ÇÃO</w:t>
      </w:r>
      <w:r w:rsidRPr="00DF1FA9">
        <w:rPr>
          <w:rFonts w:ascii="Times New Roman" w:hAnsi="Times New Roman" w:cs="Times New Roman"/>
          <w:b/>
          <w:bCs/>
          <w:color w:val="auto"/>
          <w:sz w:val="20"/>
          <w:szCs w:val="20"/>
        </w:rPr>
        <w:t>:</w:t>
      </w:r>
      <w:r w:rsidRPr="008D2A9C">
        <w:rPr>
          <w:rFonts w:ascii="Times New Roman" w:hAnsi="Times New Roman" w:cs="Times New Roman"/>
          <w:color w:val="auto"/>
          <w:sz w:val="22"/>
          <w:szCs w:val="22"/>
        </w:rPr>
        <w:t xml:space="preserve"> </w:t>
      </w:r>
      <w:r w:rsidRPr="008D2A9C">
        <w:rPr>
          <w:rFonts w:ascii="Times New Roman" w:hAnsi="Times New Roman" w:cs="Times New Roman"/>
          <w:sz w:val="20"/>
          <w:szCs w:val="20"/>
        </w:rPr>
        <w:t>Universidade Por</w:t>
      </w:r>
      <w:r>
        <w:rPr>
          <w:rFonts w:ascii="Times New Roman" w:hAnsi="Times New Roman" w:cs="Times New Roman"/>
          <w:sz w:val="20"/>
          <w:szCs w:val="20"/>
        </w:rPr>
        <w:t>tucalense Infante D. Henrique, Departamento de Direito, P</w:t>
      </w:r>
      <w:r w:rsidRPr="008D2A9C">
        <w:rPr>
          <w:rFonts w:ascii="Times New Roman" w:hAnsi="Times New Roman" w:cs="Times New Roman"/>
          <w:sz w:val="20"/>
          <w:szCs w:val="20"/>
        </w:rPr>
        <w:t>orto, Portugal</w:t>
      </w:r>
      <w:r>
        <w:rPr>
          <w:rFonts w:ascii="Times New Roman" w:hAnsi="Times New Roman" w:cs="Times New Roman"/>
          <w:sz w:val="20"/>
          <w:szCs w:val="20"/>
        </w:rPr>
        <w:t>, +351225572609.</w:t>
      </w:r>
    </w:p>
    <w:p w14:paraId="4F8F6057" w14:textId="77777777" w:rsidR="00D0218D" w:rsidRPr="006B0A59" w:rsidRDefault="00D0218D" w:rsidP="00282214">
      <w:pPr>
        <w:rPr>
          <w:b/>
          <w:bCs/>
        </w:rPr>
      </w:pPr>
    </w:p>
    <w:p w14:paraId="3F6C0B5D" w14:textId="77777777" w:rsidR="00D0218D" w:rsidRPr="0009297C" w:rsidRDefault="00D0218D" w:rsidP="00282214">
      <w:pPr>
        <w:pStyle w:val="font8"/>
        <w:rPr>
          <w:sz w:val="22"/>
          <w:szCs w:val="22"/>
          <w:lang w:val="es-ES_tradnl"/>
        </w:rPr>
      </w:pPr>
    </w:p>
    <w:p w14:paraId="2EFCD25E" w14:textId="2D3C49E3" w:rsidR="00D0218D" w:rsidRPr="00843F90" w:rsidRDefault="00D0218D" w:rsidP="00282214">
      <w:pPr>
        <w:rPr>
          <w:b/>
          <w:bCs/>
        </w:rPr>
      </w:pPr>
      <w:r w:rsidRPr="00843F90">
        <w:rPr>
          <w:b/>
          <w:bCs/>
        </w:rPr>
        <w:t>Resumo:</w:t>
      </w:r>
      <w:r w:rsidR="001E294F">
        <w:rPr>
          <w:b/>
          <w:bCs/>
        </w:rPr>
        <w:t xml:space="preserve">    </w:t>
      </w:r>
    </w:p>
    <w:p w14:paraId="341F22FC" w14:textId="77777777" w:rsidR="00D0218D" w:rsidRDefault="00D0218D" w:rsidP="00F90ABB">
      <w:pPr>
        <w:spacing w:line="360" w:lineRule="auto"/>
        <w:ind w:firstLine="708"/>
        <w:jc w:val="both"/>
      </w:pPr>
    </w:p>
    <w:p w14:paraId="3EC31D1D" w14:textId="388251BF" w:rsidR="001837FB" w:rsidRDefault="001837FB" w:rsidP="00C232E7">
      <w:pPr>
        <w:spacing w:line="360" w:lineRule="auto"/>
        <w:ind w:firstLine="708"/>
        <w:jc w:val="both"/>
      </w:pPr>
      <w:r>
        <w:t xml:space="preserve">Surge a presente palestra, em formato virtual, no seguimento de convite por parte do NEDRI - </w:t>
      </w:r>
      <w:bookmarkStart w:id="2" w:name="_Hlk71378411"/>
      <w:r w:rsidR="00896067" w:rsidRPr="00896067">
        <w:t>Núcleo de Estudantes de Direito e Relações Internacionais da Universidade Portucalense Infante D. Henrique</w:t>
      </w:r>
      <w:bookmarkEnd w:id="2"/>
      <w:r>
        <w:t>, a quem agradecemos.</w:t>
      </w:r>
    </w:p>
    <w:p w14:paraId="1BA7F7EC" w14:textId="4B02BBB7" w:rsidR="001837FB" w:rsidRDefault="001837FB" w:rsidP="00C232E7">
      <w:pPr>
        <w:spacing w:line="360" w:lineRule="auto"/>
        <w:ind w:firstLine="708"/>
        <w:jc w:val="both"/>
      </w:pPr>
      <w:r>
        <w:t>O tema será partilhado na abordagem da ideia de concorrência e depois a vertente dos direitos dos consumidores no comércio eletrónico.</w:t>
      </w:r>
    </w:p>
    <w:p w14:paraId="7408078E" w14:textId="77777777" w:rsidR="001837FB" w:rsidRDefault="001837FB" w:rsidP="00C232E7">
      <w:pPr>
        <w:spacing w:line="360" w:lineRule="auto"/>
        <w:ind w:firstLine="708"/>
        <w:jc w:val="both"/>
      </w:pPr>
    </w:p>
    <w:p w14:paraId="552BD697" w14:textId="67DD4055" w:rsidR="001837FB" w:rsidRPr="00714AF3" w:rsidRDefault="00C232E7" w:rsidP="001837FB">
      <w:pPr>
        <w:spacing w:line="360" w:lineRule="auto"/>
        <w:ind w:firstLine="708"/>
        <w:jc w:val="both"/>
      </w:pPr>
      <w:r w:rsidRPr="00714AF3">
        <w:lastRenderedPageBreak/>
        <w:t xml:space="preserve">O modelo de integração seguido na construção da União Europeia (UE) </w:t>
      </w:r>
      <w:r w:rsidR="001837FB">
        <w:t>prossegue valores plasmados no artigo 2.º do Tratado da União Europeia (TUE)</w:t>
      </w:r>
      <w:r w:rsidR="001837FB">
        <w:rPr>
          <w:rStyle w:val="Refdenotaderodap"/>
        </w:rPr>
        <w:footnoteReference w:id="1"/>
      </w:r>
      <w:r w:rsidR="001837FB">
        <w:t xml:space="preserve"> prosseguidos no artigo 3.º do TUE com os instrumentos necessários à integração, onde se insere a construção do mercado interno</w:t>
      </w:r>
      <w:r w:rsidRPr="00714AF3">
        <w:t>.</w:t>
      </w:r>
    </w:p>
    <w:p w14:paraId="467AE116" w14:textId="423CFFDD" w:rsidR="00C232E7" w:rsidRDefault="00C232E7" w:rsidP="00C232E7">
      <w:pPr>
        <w:spacing w:line="360" w:lineRule="auto"/>
        <w:ind w:firstLine="708"/>
        <w:jc w:val="both"/>
      </w:pPr>
      <w:r w:rsidRPr="00714AF3">
        <w:t>O tema escolhido prende-se com a aplicação efetiva das regras da U</w:t>
      </w:r>
      <w:r w:rsidR="001837FB">
        <w:t xml:space="preserve">nião </w:t>
      </w:r>
      <w:r w:rsidRPr="00714AF3">
        <w:t>E</w:t>
      </w:r>
      <w:r w:rsidR="001837FB">
        <w:t>uropeia</w:t>
      </w:r>
      <w:r w:rsidRPr="00714AF3">
        <w:t xml:space="preserve"> </w:t>
      </w:r>
      <w:r w:rsidR="001837FB">
        <w:t xml:space="preserve">de acordo com as competências que lhe são atribuídas pelos tratados institutivos, vendo os artigos </w:t>
      </w:r>
      <w:r w:rsidR="00C10E5E">
        <w:t>2</w:t>
      </w:r>
      <w:r w:rsidR="001837FB">
        <w:t xml:space="preserve">.º </w:t>
      </w:r>
      <w:r w:rsidR="00C10E5E">
        <w:t>a 6.º</w:t>
      </w:r>
      <w:r w:rsidR="001837FB">
        <w:t xml:space="preserve"> do Tratado sobre o Funcionamento da União Europeia (TFUE)</w:t>
      </w:r>
      <w:r w:rsidR="001837FB">
        <w:rPr>
          <w:rStyle w:val="Refdenotaderodap"/>
        </w:rPr>
        <w:footnoteReference w:id="2"/>
      </w:r>
      <w:r w:rsidR="001837FB">
        <w:t>.</w:t>
      </w:r>
    </w:p>
    <w:p w14:paraId="1A0B0469" w14:textId="44DC9995" w:rsidR="00BE1BE9" w:rsidRDefault="00BE1BE9" w:rsidP="00C232E7">
      <w:pPr>
        <w:spacing w:line="360" w:lineRule="auto"/>
        <w:ind w:firstLine="708"/>
        <w:jc w:val="both"/>
      </w:pPr>
      <w:r>
        <w:t xml:space="preserve">Essa definição é relevante no presente momento de pandemia em que matérias como a saúde pública e a investigação e a defesa dos consumidores (que será focada) surgem na opinião pública como cobradas à União Europeia mas se tratam juridicamente de competências partilhadas com os Estados membros (artigo </w:t>
      </w:r>
      <w:r w:rsidR="00C10E5E">
        <w:t>4</w:t>
      </w:r>
      <w:r>
        <w:t>.º do TFUE). Já a política de concorrência para a construção do mercado interno, essa surge como competência exclusiva, tal como a política comercial comum (artigo 3.º do TFUE).</w:t>
      </w:r>
    </w:p>
    <w:p w14:paraId="0C9405DF" w14:textId="69AA48C0" w:rsidR="00BE1BE9" w:rsidRDefault="00BE1BE9" w:rsidP="00C232E7">
      <w:pPr>
        <w:spacing w:line="360" w:lineRule="auto"/>
        <w:ind w:firstLine="708"/>
        <w:jc w:val="both"/>
      </w:pPr>
      <w:r>
        <w:t>Relativamente à política da concorrência, ainda assim, não é fácil numa primeira leitura, visto que há convivência entre normas nacionais</w:t>
      </w:r>
      <w:r>
        <w:rPr>
          <w:rStyle w:val="Refdenotaderodap"/>
        </w:rPr>
        <w:footnoteReference w:id="3"/>
      </w:r>
      <w:r>
        <w:t xml:space="preserve"> e normas da União Europeia</w:t>
      </w:r>
      <w:r>
        <w:rPr>
          <w:rStyle w:val="Refdenotaderodap"/>
        </w:rPr>
        <w:footnoteReference w:id="4"/>
      </w:r>
      <w:r w:rsidR="009365F5">
        <w:t>, com objetos diferenciados ainda assim.</w:t>
      </w:r>
    </w:p>
    <w:p w14:paraId="44B5DAC5" w14:textId="7ABD9292" w:rsidR="009365F5" w:rsidRDefault="009365F5" w:rsidP="00C232E7">
      <w:pPr>
        <w:spacing w:line="360" w:lineRule="auto"/>
        <w:ind w:firstLine="708"/>
        <w:jc w:val="both"/>
      </w:pPr>
      <w:r>
        <w:t>Em especial, as regras do direito da concorrência aplicáveis às empresas (artigos 101.º e 102.º do TFUE) foram redigidas de tal forma na sua génese que acompanharam sem alterações (com meras pequenas atualizações) todo o percurso evolutivo da União Europeia</w:t>
      </w:r>
      <w:r w:rsidR="00D66E60">
        <w:rPr>
          <w:rStyle w:val="Refdenotaderodap"/>
        </w:rPr>
        <w:footnoteReference w:id="5"/>
      </w:r>
      <w:r>
        <w:t>.</w:t>
      </w:r>
    </w:p>
    <w:p w14:paraId="75AF1FD4" w14:textId="0AE2EA40" w:rsidR="009365F5" w:rsidRDefault="009365F5" w:rsidP="00C232E7">
      <w:pPr>
        <w:spacing w:line="360" w:lineRule="auto"/>
        <w:ind w:firstLine="708"/>
        <w:jc w:val="both"/>
      </w:pPr>
      <w:r>
        <w:t>Com o Tratado de Lisboa, em vigor em 2009</w:t>
      </w:r>
      <w:r w:rsidR="00B17CA4">
        <w:rPr>
          <w:rStyle w:val="Refdenotaderodap"/>
        </w:rPr>
        <w:footnoteReference w:id="6"/>
      </w:r>
      <w:r>
        <w:t xml:space="preserve">, a concorrência não é já um </w:t>
      </w:r>
      <w:r w:rsidR="00B17CA4">
        <w:t>objetivo,</w:t>
      </w:r>
      <w:r>
        <w:t xml:space="preserve"> mas torna-se um instrumento, embora sem alterações de prioridade. É, aliás, uma das áreas em que a Comissão Europeia dispõe de mais poder com uma pasta própria, a DG CO</w:t>
      </w:r>
      <w:r w:rsidR="00D66E60">
        <w:t>MP</w:t>
      </w:r>
      <w:r>
        <w:rPr>
          <w:rStyle w:val="Refdenotaderodap"/>
        </w:rPr>
        <w:footnoteReference w:id="7"/>
      </w:r>
      <w:r>
        <w:t>.</w:t>
      </w:r>
      <w:r w:rsidR="00D66E60">
        <w:t xml:space="preserve"> Tal como a nível de cada Estado se encontram as autoridades da concorrência nacionais</w:t>
      </w:r>
      <w:r w:rsidR="00D66E60">
        <w:rPr>
          <w:rStyle w:val="Refdenotaderodap"/>
        </w:rPr>
        <w:footnoteReference w:id="8"/>
      </w:r>
      <w:r w:rsidR="00D66E60">
        <w:t>, articuladas numa Rede Europeia de Concorrência (REC)</w:t>
      </w:r>
      <w:r w:rsidR="00D66E60">
        <w:rPr>
          <w:rStyle w:val="Refdenotaderodap"/>
        </w:rPr>
        <w:footnoteReference w:id="9"/>
      </w:r>
      <w:r w:rsidR="00D66E60">
        <w:t>.</w:t>
      </w:r>
    </w:p>
    <w:p w14:paraId="59C526AF" w14:textId="0B29F4E3" w:rsidR="001837FB" w:rsidRDefault="009365F5" w:rsidP="00247BAC">
      <w:pPr>
        <w:spacing w:line="360" w:lineRule="auto"/>
        <w:ind w:firstLine="708"/>
        <w:jc w:val="both"/>
      </w:pPr>
      <w:r>
        <w:lastRenderedPageBreak/>
        <w:t xml:space="preserve">De notar que os conceitos envolvidos (empresa, acordo, mercado relevante) serão sempre entendidos a nível do direito da União Europeia e não a nível nacional dos 27 Estados-Membros. Para isso, muito auxilia toda a documentação de </w:t>
      </w:r>
      <w:r w:rsidRPr="009365F5">
        <w:rPr>
          <w:i/>
          <w:iCs/>
        </w:rPr>
        <w:t>soft law</w:t>
      </w:r>
      <w:r>
        <w:t xml:space="preserve"> produzida pela Comissão (comunicações, orientações, relatórios).</w:t>
      </w:r>
    </w:p>
    <w:p w14:paraId="387BE3E6" w14:textId="4569F170" w:rsidR="00B824AF" w:rsidRPr="00714AF3" w:rsidRDefault="001837FB" w:rsidP="00C232E7">
      <w:pPr>
        <w:spacing w:line="360" w:lineRule="auto"/>
        <w:ind w:firstLine="708"/>
        <w:jc w:val="both"/>
      </w:pPr>
      <w:r>
        <w:t>Se uma primeira visão de integração meramente económica foi inegável, desde 1992, pelo Tratado de Maastricht</w:t>
      </w:r>
      <w:r>
        <w:rPr>
          <w:rStyle w:val="Refdenotaderodap"/>
        </w:rPr>
        <w:footnoteReference w:id="10"/>
      </w:r>
      <w:r>
        <w:t>, o cidadão passa a estar no centro das prioridades. O</w:t>
      </w:r>
      <w:r w:rsidR="00B824AF">
        <w:t xml:space="preserve"> foco no cidadão torna-se visível, aliás, nas preocupações que presidem à Cimeira Social a decorrer nesta data no Porto</w:t>
      </w:r>
      <w:r w:rsidR="00B824AF">
        <w:rPr>
          <w:rStyle w:val="Refdenotaderodap"/>
        </w:rPr>
        <w:footnoteReference w:id="11"/>
      </w:r>
      <w:r w:rsidR="00B824AF">
        <w:t>, na organização dos eventos do próximo Dia da Europa (9 de maio)</w:t>
      </w:r>
      <w:r w:rsidR="00B824AF">
        <w:rPr>
          <w:rStyle w:val="Refdenotaderodap"/>
        </w:rPr>
        <w:footnoteReference w:id="12"/>
      </w:r>
      <w:r w:rsidR="00B824AF">
        <w:t xml:space="preserve"> e na arquitetura da </w:t>
      </w:r>
      <w:bookmarkStart w:id="3" w:name="_Hlk71447483"/>
      <w:r w:rsidR="00B824AF">
        <w:t>Convenção Sobre o Futuro da Europa</w:t>
      </w:r>
      <w:bookmarkEnd w:id="3"/>
      <w:r w:rsidR="00B824AF">
        <w:t>, também em lançamento</w:t>
      </w:r>
      <w:r w:rsidR="00861190">
        <w:t xml:space="preserve"> este mês</w:t>
      </w:r>
      <w:r w:rsidR="00B824AF">
        <w:rPr>
          <w:rStyle w:val="Refdenotaderodap"/>
        </w:rPr>
        <w:footnoteReference w:id="13"/>
      </w:r>
      <w:r w:rsidR="00B824AF">
        <w:t>.</w:t>
      </w:r>
    </w:p>
    <w:p w14:paraId="612E33F3" w14:textId="1A936C59" w:rsidR="00EE43C0" w:rsidRDefault="006F1797" w:rsidP="00EE43C0">
      <w:pPr>
        <w:spacing w:line="360" w:lineRule="auto"/>
        <w:jc w:val="both"/>
      </w:pPr>
      <w:r>
        <w:t>___________</w:t>
      </w:r>
    </w:p>
    <w:p w14:paraId="66F02163" w14:textId="7A5A1A06" w:rsidR="006F1797" w:rsidRDefault="006F1797" w:rsidP="00EE43C0">
      <w:pPr>
        <w:spacing w:line="360" w:lineRule="auto"/>
        <w:jc w:val="both"/>
      </w:pPr>
      <w:r>
        <w:tab/>
        <w:t xml:space="preserve">Em seguida, uma análise mais próxima do comércio eletrónico ou, como é chamado, </w:t>
      </w:r>
      <w:r w:rsidRPr="006F1797">
        <w:rPr>
          <w:i/>
          <w:iCs/>
        </w:rPr>
        <w:t>e-Commerce</w:t>
      </w:r>
      <w:r>
        <w:t xml:space="preserve"> na legislação.</w:t>
      </w:r>
    </w:p>
    <w:p w14:paraId="442FC067" w14:textId="1A3ADE92" w:rsidR="006F1797" w:rsidRDefault="006F1797" w:rsidP="00EE43C0">
      <w:pPr>
        <w:spacing w:line="360" w:lineRule="auto"/>
        <w:jc w:val="both"/>
      </w:pPr>
      <w:r>
        <w:t>-------------</w:t>
      </w:r>
    </w:p>
    <w:p w14:paraId="448BD289" w14:textId="77777777" w:rsidR="00585075" w:rsidRDefault="00585075" w:rsidP="00EE43C0">
      <w:pPr>
        <w:spacing w:line="360" w:lineRule="auto"/>
        <w:jc w:val="both"/>
        <w:rPr>
          <w:bCs/>
        </w:rPr>
      </w:pPr>
    </w:p>
    <w:p w14:paraId="4318A2C4" w14:textId="740DDF0D" w:rsidR="00EE43C0" w:rsidRPr="00485652" w:rsidRDefault="00EE43C0" w:rsidP="00EE43C0">
      <w:pPr>
        <w:spacing w:line="360" w:lineRule="auto"/>
        <w:jc w:val="both"/>
        <w:rPr>
          <w:bCs/>
        </w:rPr>
      </w:pPr>
      <w:r w:rsidRPr="00485652">
        <w:rPr>
          <w:b/>
          <w:bCs/>
        </w:rPr>
        <w:t>Palavras-chave:</w:t>
      </w:r>
      <w:r w:rsidRPr="00485652">
        <w:rPr>
          <w:bCs/>
        </w:rPr>
        <w:t xml:space="preserve"> </w:t>
      </w:r>
      <w:r w:rsidR="006F1797">
        <w:rPr>
          <w:bCs/>
        </w:rPr>
        <w:t xml:space="preserve">política da concorrência; </w:t>
      </w:r>
      <w:r w:rsidRPr="00485652">
        <w:rPr>
          <w:bCs/>
        </w:rPr>
        <w:t>União Europeia</w:t>
      </w:r>
      <w:r w:rsidR="006F1797">
        <w:rPr>
          <w:bCs/>
        </w:rPr>
        <w:t xml:space="preserve">; </w:t>
      </w:r>
      <w:r w:rsidR="006F1797">
        <w:t xml:space="preserve">comércio eletrónico; </w:t>
      </w:r>
      <w:r w:rsidR="006F1797" w:rsidRPr="006F1797">
        <w:rPr>
          <w:i/>
          <w:iCs/>
        </w:rPr>
        <w:t>e-Commerce</w:t>
      </w:r>
      <w:r w:rsidR="006F1797">
        <w:t xml:space="preserve">; </w:t>
      </w:r>
      <w:r w:rsidR="006F1797">
        <w:rPr>
          <w:bCs/>
        </w:rPr>
        <w:t>legislação</w:t>
      </w:r>
      <w:r w:rsidRPr="00485652">
        <w:rPr>
          <w:bCs/>
        </w:rPr>
        <w:t>.</w:t>
      </w:r>
      <w:r w:rsidR="00620898">
        <w:rPr>
          <w:bCs/>
        </w:rPr>
        <w:t xml:space="preserve">    </w:t>
      </w:r>
    </w:p>
    <w:p w14:paraId="2329209B" w14:textId="7978AF21" w:rsidR="00D0218D" w:rsidRDefault="00D0218D" w:rsidP="00620898">
      <w:pPr>
        <w:spacing w:line="360" w:lineRule="auto"/>
        <w:jc w:val="both"/>
      </w:pPr>
    </w:p>
    <w:p w14:paraId="25E39035" w14:textId="2620079D" w:rsidR="00A05FB3" w:rsidRDefault="00A05FB3" w:rsidP="00620898">
      <w:pPr>
        <w:spacing w:line="360" w:lineRule="auto"/>
        <w:jc w:val="both"/>
      </w:pPr>
    </w:p>
    <w:p w14:paraId="35D0DB04" w14:textId="632FAF38" w:rsidR="00A05FB3" w:rsidRDefault="00A05FB3" w:rsidP="00620898">
      <w:pPr>
        <w:spacing w:line="360" w:lineRule="auto"/>
        <w:jc w:val="both"/>
        <w:rPr>
          <w:b/>
          <w:bCs/>
        </w:rPr>
      </w:pPr>
      <w:r>
        <w:rPr>
          <w:b/>
          <w:bCs/>
        </w:rPr>
        <w:t>Referências breves</w:t>
      </w:r>
    </w:p>
    <w:p w14:paraId="3761E317" w14:textId="43439AC2" w:rsidR="00A05FB3" w:rsidRDefault="00A05FB3" w:rsidP="00620898">
      <w:pPr>
        <w:spacing w:line="360" w:lineRule="auto"/>
        <w:jc w:val="both"/>
        <w:rPr>
          <w:b/>
          <w:bCs/>
        </w:rPr>
      </w:pPr>
    </w:p>
    <w:p w14:paraId="50D11EB8" w14:textId="77777777" w:rsidR="005260E7" w:rsidRPr="0020258B" w:rsidRDefault="005260E7" w:rsidP="005260E7">
      <w:pPr>
        <w:pStyle w:val="Ttulo"/>
        <w:jc w:val="both"/>
        <w:rPr>
          <w:b w:val="0"/>
          <w:sz w:val="20"/>
          <w:szCs w:val="20"/>
        </w:rPr>
      </w:pPr>
      <w:r w:rsidRPr="0020258B">
        <w:rPr>
          <w:b w:val="0"/>
          <w:sz w:val="20"/>
          <w:szCs w:val="20"/>
        </w:rPr>
        <w:t xml:space="preserve">ALVES, Dora Resende. </w:t>
      </w:r>
      <w:r w:rsidRPr="0020258B">
        <w:rPr>
          <w:b w:val="0"/>
          <w:i/>
          <w:sz w:val="20"/>
          <w:szCs w:val="20"/>
        </w:rPr>
        <w:t>Direito da concorrência: os poderes de investigação e sanção da Comissão Europeia</w:t>
      </w:r>
      <w:r w:rsidRPr="0020258B">
        <w:rPr>
          <w:b w:val="0"/>
          <w:sz w:val="20"/>
          <w:szCs w:val="20"/>
        </w:rPr>
        <w:t>. Sílabas &amp; Desafios, 2018.  303 páginas. ISBN: 978-989-8842-31-2.</w:t>
      </w:r>
    </w:p>
    <w:p w14:paraId="1394DC38" w14:textId="13DC8593" w:rsidR="005260E7" w:rsidRDefault="00DC2598" w:rsidP="007803B4">
      <w:pPr>
        <w:autoSpaceDE w:val="0"/>
        <w:autoSpaceDN w:val="0"/>
        <w:jc w:val="both"/>
        <w:rPr>
          <w:bCs/>
          <w:iCs/>
          <w:sz w:val="16"/>
          <w:szCs w:val="16"/>
        </w:rPr>
      </w:pPr>
      <w:hyperlink r:id="rId11" w:history="1">
        <w:r w:rsidR="005260E7" w:rsidRPr="00405133">
          <w:rPr>
            <w:rStyle w:val="Hiperligao"/>
            <w:bCs/>
            <w:iCs/>
            <w:sz w:val="16"/>
            <w:szCs w:val="16"/>
          </w:rPr>
          <w:t>https://silabas-e-desafios.pt/produto/direito-da-concorrencia-os-poderes-de-investigacao-e-sancao-da-comissao-europeia/</w:t>
        </w:r>
      </w:hyperlink>
      <w:r w:rsidR="005260E7" w:rsidRPr="00405133">
        <w:rPr>
          <w:bCs/>
          <w:iCs/>
          <w:sz w:val="16"/>
          <w:szCs w:val="16"/>
        </w:rPr>
        <w:t xml:space="preserve"> </w:t>
      </w:r>
    </w:p>
    <w:p w14:paraId="0DFD2668" w14:textId="77777777" w:rsidR="007803B4" w:rsidRPr="007803B4" w:rsidRDefault="007803B4" w:rsidP="007803B4">
      <w:pPr>
        <w:autoSpaceDE w:val="0"/>
        <w:autoSpaceDN w:val="0"/>
        <w:jc w:val="both"/>
        <w:rPr>
          <w:bCs/>
          <w:iCs/>
          <w:sz w:val="16"/>
          <w:szCs w:val="16"/>
        </w:rPr>
      </w:pPr>
    </w:p>
    <w:p w14:paraId="79C86750" w14:textId="77777777" w:rsidR="004166A8" w:rsidRPr="00065298" w:rsidRDefault="004166A8" w:rsidP="004166A8">
      <w:pPr>
        <w:autoSpaceDE w:val="0"/>
        <w:autoSpaceDN w:val="0"/>
        <w:jc w:val="both"/>
        <w:rPr>
          <w:sz w:val="20"/>
          <w:szCs w:val="20"/>
        </w:rPr>
      </w:pPr>
      <w:r w:rsidRPr="00065298">
        <w:rPr>
          <w:color w:val="262626"/>
          <w:sz w:val="20"/>
          <w:szCs w:val="20"/>
        </w:rPr>
        <w:t xml:space="preserve">CANOTILHO, Mariana; FROUFE, Pedro Madeira e SILVEIRA, Alessandra (coordenação). </w:t>
      </w:r>
      <w:r w:rsidRPr="00065298">
        <w:rPr>
          <w:i/>
          <w:iCs/>
          <w:color w:val="262626"/>
          <w:sz w:val="20"/>
          <w:szCs w:val="20"/>
        </w:rPr>
        <w:t>Direito da União Europeia – Elementos de direito e políticas da União</w:t>
      </w:r>
      <w:r w:rsidRPr="00065298">
        <w:rPr>
          <w:color w:val="262626"/>
          <w:sz w:val="20"/>
          <w:szCs w:val="20"/>
        </w:rPr>
        <w:t xml:space="preserve">. </w:t>
      </w:r>
      <w:r w:rsidRPr="00065298">
        <w:rPr>
          <w:rStyle w:val="text"/>
          <w:color w:val="333333"/>
          <w:sz w:val="20"/>
          <w:szCs w:val="20"/>
        </w:rPr>
        <w:t>Edições Almedina, 2016.</w:t>
      </w:r>
      <w:r w:rsidRPr="00065298">
        <w:rPr>
          <w:rStyle w:val="text"/>
          <w:sz w:val="20"/>
          <w:szCs w:val="20"/>
        </w:rPr>
        <w:t xml:space="preserve"> ISBN: </w:t>
      </w:r>
      <w:r w:rsidRPr="00065298">
        <w:rPr>
          <w:sz w:val="20"/>
          <w:szCs w:val="20"/>
          <w:shd w:val="clear" w:color="auto" w:fill="F6F6F6"/>
        </w:rPr>
        <w:t>9789724061436</w:t>
      </w:r>
    </w:p>
    <w:p w14:paraId="18305217" w14:textId="77777777" w:rsidR="004166A8" w:rsidRPr="00D520B1" w:rsidRDefault="00DC2598" w:rsidP="004166A8">
      <w:pPr>
        <w:autoSpaceDE w:val="0"/>
        <w:autoSpaceDN w:val="0"/>
        <w:jc w:val="both"/>
        <w:rPr>
          <w:sz w:val="16"/>
          <w:szCs w:val="16"/>
        </w:rPr>
      </w:pPr>
      <w:hyperlink r:id="rId12" w:history="1">
        <w:r w:rsidR="004166A8" w:rsidRPr="003E0844">
          <w:rPr>
            <w:rStyle w:val="Hiperligao"/>
            <w:sz w:val="16"/>
            <w:szCs w:val="16"/>
          </w:rPr>
          <w:t>https://www.almedina.net/direito-da-uni-o-europeia-1563802002.html</w:t>
        </w:r>
      </w:hyperlink>
      <w:r w:rsidR="004166A8">
        <w:rPr>
          <w:sz w:val="16"/>
          <w:szCs w:val="16"/>
        </w:rPr>
        <w:t xml:space="preserve"> </w:t>
      </w:r>
    </w:p>
    <w:p w14:paraId="4937B931" w14:textId="77777777" w:rsidR="004166A8" w:rsidRDefault="004166A8" w:rsidP="007803B4">
      <w:pPr>
        <w:pStyle w:val="Corpodetexto"/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</w:p>
    <w:p w14:paraId="571868B9" w14:textId="63478149" w:rsidR="007803B4" w:rsidRPr="00AE169D" w:rsidRDefault="007803B4" w:rsidP="007803B4">
      <w:pPr>
        <w:pStyle w:val="Corpodetexto"/>
        <w:spacing w:after="0" w:line="240" w:lineRule="auto"/>
        <w:jc w:val="both"/>
        <w:rPr>
          <w:rFonts w:ascii="Times New Roman" w:hAnsi="Times New Roman"/>
          <w:color w:val="252B33"/>
          <w:sz w:val="23"/>
          <w:szCs w:val="23"/>
        </w:rPr>
      </w:pPr>
      <w:r w:rsidRPr="007803B4">
        <w:rPr>
          <w:rFonts w:ascii="Times New Roman" w:hAnsi="Times New Roman"/>
          <w:sz w:val="20"/>
          <w:szCs w:val="20"/>
        </w:rPr>
        <w:t xml:space="preserve">GOMES, José Luís Caramelo. </w:t>
      </w:r>
      <w:r w:rsidRPr="007803B4">
        <w:rPr>
          <w:rFonts w:ascii="Times New Roman" w:hAnsi="Times New Roman"/>
          <w:i/>
          <w:sz w:val="20"/>
          <w:szCs w:val="20"/>
        </w:rPr>
        <w:t>Lições de Direito da Concorrência</w:t>
      </w:r>
      <w:r w:rsidRPr="007803B4">
        <w:rPr>
          <w:rFonts w:ascii="Times New Roman" w:hAnsi="Times New Roman"/>
          <w:sz w:val="20"/>
          <w:szCs w:val="20"/>
        </w:rPr>
        <w:t xml:space="preserve">. Coimbra: Livraria Almedina, 2016. </w:t>
      </w:r>
      <w:r w:rsidRPr="007803B4">
        <w:rPr>
          <w:rStyle w:val="dados1"/>
          <w:rFonts w:ascii="Times New Roman" w:hAnsi="Times New Roman"/>
          <w:sz w:val="20"/>
          <w:szCs w:val="20"/>
        </w:rPr>
        <w:t xml:space="preserve">ISBN </w:t>
      </w:r>
      <w:r w:rsidRPr="007803B4">
        <w:rPr>
          <w:rFonts w:ascii="Times New Roman" w:hAnsi="Times New Roman"/>
          <w:color w:val="252B33"/>
          <w:sz w:val="20"/>
          <w:szCs w:val="20"/>
        </w:rPr>
        <w:t>9789724043548.</w:t>
      </w:r>
      <w:r w:rsidRPr="00AE169D">
        <w:rPr>
          <w:rFonts w:ascii="Times New Roman" w:hAnsi="Times New Roman"/>
          <w:color w:val="252B33"/>
          <w:sz w:val="23"/>
          <w:szCs w:val="23"/>
        </w:rPr>
        <w:t xml:space="preserve">  (</w:t>
      </w:r>
      <w:r w:rsidRPr="00AE169D">
        <w:rPr>
          <w:rFonts w:ascii="Times New Roman" w:hAnsi="Times New Roman"/>
          <w:color w:val="252B33"/>
          <w:sz w:val="16"/>
          <w:szCs w:val="16"/>
        </w:rPr>
        <w:t>esgotado</w:t>
      </w:r>
      <w:r w:rsidRPr="00AE169D">
        <w:rPr>
          <w:rFonts w:ascii="Times New Roman" w:hAnsi="Times New Roman"/>
          <w:color w:val="252B33"/>
          <w:sz w:val="23"/>
          <w:szCs w:val="23"/>
        </w:rPr>
        <w:t>)</w:t>
      </w:r>
    </w:p>
    <w:p w14:paraId="306CC535" w14:textId="22339A0B" w:rsidR="007803B4" w:rsidRDefault="00DC2598" w:rsidP="007803B4">
      <w:pPr>
        <w:pStyle w:val="Corpodetexto"/>
        <w:spacing w:after="0" w:line="240" w:lineRule="auto"/>
        <w:rPr>
          <w:rFonts w:ascii="Times New Roman" w:hAnsi="Times New Roman"/>
          <w:sz w:val="16"/>
          <w:szCs w:val="16"/>
        </w:rPr>
      </w:pPr>
      <w:hyperlink r:id="rId13" w:history="1">
        <w:r w:rsidR="007803B4" w:rsidRPr="00EC05EF">
          <w:rPr>
            <w:rStyle w:val="Hiperligao"/>
            <w:rFonts w:ascii="Times New Roman" w:hAnsi="Times New Roman"/>
            <w:sz w:val="16"/>
            <w:szCs w:val="16"/>
          </w:rPr>
          <w:t>Lições de Direito da Concorrência (almedina.net)</w:t>
        </w:r>
      </w:hyperlink>
    </w:p>
    <w:p w14:paraId="30A95AC2" w14:textId="77777777" w:rsidR="007803B4" w:rsidRPr="007803B4" w:rsidRDefault="007803B4" w:rsidP="007803B4">
      <w:pPr>
        <w:pStyle w:val="Corpodetexto"/>
        <w:spacing w:after="0" w:line="240" w:lineRule="auto"/>
        <w:rPr>
          <w:rFonts w:ascii="Times New Roman" w:hAnsi="Times New Roman"/>
          <w:sz w:val="16"/>
          <w:szCs w:val="16"/>
        </w:rPr>
      </w:pPr>
    </w:p>
    <w:p w14:paraId="586D3674" w14:textId="77777777" w:rsidR="0092674C" w:rsidRPr="00D520B1" w:rsidRDefault="0092674C" w:rsidP="0092674C">
      <w:pPr>
        <w:pStyle w:val="Ttulo2"/>
        <w:spacing w:before="0" w:after="0"/>
        <w:jc w:val="both"/>
        <w:textAlignment w:val="baseline"/>
        <w:rPr>
          <w:b w:val="0"/>
          <w:bCs w:val="0"/>
          <w:sz w:val="20"/>
          <w:szCs w:val="20"/>
        </w:rPr>
      </w:pPr>
      <w:r w:rsidRPr="007803B4">
        <w:rPr>
          <w:rFonts w:ascii="Times New Roman" w:hAnsi="Times New Roman" w:cs="Times New Roman"/>
          <w:b w:val="0"/>
          <w:bCs w:val="0"/>
          <w:i w:val="0"/>
          <w:iCs w:val="0"/>
          <w:sz w:val="20"/>
          <w:szCs w:val="20"/>
          <w:bdr w:val="none" w:sz="0" w:space="0" w:color="auto" w:frame="1"/>
        </w:rPr>
        <w:t>PORTO, Manuel Lopes.</w:t>
      </w:r>
      <w:r w:rsidRPr="007803B4">
        <w:rPr>
          <w:rFonts w:ascii="Times New Roman" w:hAnsi="Times New Roman" w:cs="Times New Roman"/>
          <w:b w:val="0"/>
          <w:bCs w:val="0"/>
          <w:i w:val="0"/>
          <w:iCs w:val="0"/>
          <w:sz w:val="20"/>
          <w:szCs w:val="20"/>
        </w:rPr>
        <w:t xml:space="preserve"> </w:t>
      </w:r>
      <w:r w:rsidRPr="007803B4">
        <w:rPr>
          <w:rFonts w:ascii="Times New Roman" w:hAnsi="Times New Roman" w:cs="Times New Roman"/>
          <w:b w:val="0"/>
          <w:bCs w:val="0"/>
          <w:sz w:val="20"/>
          <w:szCs w:val="20"/>
        </w:rPr>
        <w:t>Teoria da Integração e Políticas da União Europeia - Face aos Desafios da Globalização</w:t>
      </w:r>
      <w:r w:rsidRPr="007803B4">
        <w:rPr>
          <w:rFonts w:ascii="Times New Roman" w:hAnsi="Times New Roman" w:cs="Times New Roman"/>
          <w:b w:val="0"/>
          <w:bCs w:val="0"/>
          <w:i w:val="0"/>
          <w:iCs w:val="0"/>
          <w:sz w:val="20"/>
          <w:szCs w:val="20"/>
        </w:rPr>
        <w:t xml:space="preserve">. 5.ª Edição- Reimpressão de 2019.  </w:t>
      </w:r>
      <w:r w:rsidRPr="007803B4">
        <w:rPr>
          <w:rFonts w:ascii="Times New Roman" w:hAnsi="Times New Roman" w:cs="Times New Roman"/>
          <w:b w:val="0"/>
          <w:bCs w:val="0"/>
          <w:i w:val="0"/>
          <w:iCs w:val="0"/>
          <w:sz w:val="20"/>
          <w:szCs w:val="20"/>
          <w:bdr w:val="none" w:sz="0" w:space="0" w:color="auto" w:frame="1"/>
        </w:rPr>
        <w:t xml:space="preserve">Coimbra: Almedina, </w:t>
      </w:r>
      <w:r w:rsidRPr="007803B4">
        <w:rPr>
          <w:rFonts w:ascii="Times New Roman" w:hAnsi="Times New Roman" w:cs="Times New Roman"/>
          <w:b w:val="0"/>
          <w:bCs w:val="0"/>
          <w:i w:val="0"/>
          <w:iCs w:val="0"/>
          <w:sz w:val="20"/>
          <w:szCs w:val="20"/>
        </w:rPr>
        <w:t xml:space="preserve">2016. </w:t>
      </w:r>
      <w:r w:rsidRPr="007803B4">
        <w:rPr>
          <w:rFonts w:ascii="Times New Roman" w:hAnsi="Times New Roman" w:cs="Times New Roman"/>
          <w:b w:val="0"/>
          <w:bCs w:val="0"/>
          <w:i w:val="0"/>
          <w:iCs w:val="0"/>
          <w:sz w:val="20"/>
          <w:szCs w:val="20"/>
          <w:bdr w:val="none" w:sz="0" w:space="0" w:color="auto" w:frame="1"/>
        </w:rPr>
        <w:t>ISBN:</w:t>
      </w:r>
      <w:r w:rsidRPr="007803B4">
        <w:rPr>
          <w:rFonts w:ascii="Times New Roman" w:hAnsi="Times New Roman" w:cs="Times New Roman"/>
          <w:b w:val="0"/>
          <w:bCs w:val="0"/>
          <w:i w:val="0"/>
          <w:iCs w:val="0"/>
          <w:sz w:val="20"/>
          <w:szCs w:val="20"/>
        </w:rPr>
        <w:t xml:space="preserve"> 9789724067919</w:t>
      </w:r>
      <w:r w:rsidRPr="00D520B1">
        <w:rPr>
          <w:b w:val="0"/>
          <w:bCs w:val="0"/>
          <w:sz w:val="20"/>
          <w:szCs w:val="20"/>
        </w:rPr>
        <w:t>.</w:t>
      </w:r>
    </w:p>
    <w:p w14:paraId="69C35606" w14:textId="4F43A16B" w:rsidR="005260E7" w:rsidRDefault="00DC2598" w:rsidP="007803B4">
      <w:pPr>
        <w:autoSpaceDE w:val="0"/>
        <w:autoSpaceDN w:val="0"/>
        <w:jc w:val="both"/>
        <w:rPr>
          <w:sz w:val="16"/>
          <w:szCs w:val="16"/>
        </w:rPr>
      </w:pPr>
      <w:hyperlink r:id="rId14" w:history="1">
        <w:r w:rsidR="0092674C" w:rsidRPr="00D520B1">
          <w:rPr>
            <w:rStyle w:val="Hiperligao"/>
            <w:sz w:val="16"/>
            <w:szCs w:val="16"/>
          </w:rPr>
          <w:t>https://www.almedina.net/teoria-da-integra-o-e-pol-ticas-da-uni-o-europeia-face-aos-desafios-da-globaliza-o-1563802673.html</w:t>
        </w:r>
      </w:hyperlink>
      <w:r w:rsidR="0092674C" w:rsidRPr="00D520B1">
        <w:rPr>
          <w:sz w:val="16"/>
          <w:szCs w:val="16"/>
        </w:rPr>
        <w:t xml:space="preserve"> </w:t>
      </w:r>
    </w:p>
    <w:p w14:paraId="70946A0C" w14:textId="77777777" w:rsidR="007803B4" w:rsidRPr="007803B4" w:rsidRDefault="007803B4" w:rsidP="007803B4">
      <w:pPr>
        <w:autoSpaceDE w:val="0"/>
        <w:autoSpaceDN w:val="0"/>
        <w:jc w:val="both"/>
        <w:rPr>
          <w:sz w:val="16"/>
          <w:szCs w:val="16"/>
        </w:rPr>
      </w:pPr>
    </w:p>
    <w:p w14:paraId="36B1FF9A" w14:textId="77777777" w:rsidR="005260E7" w:rsidRPr="0020258B" w:rsidRDefault="005260E7" w:rsidP="005260E7">
      <w:pPr>
        <w:jc w:val="both"/>
        <w:rPr>
          <w:sz w:val="20"/>
          <w:szCs w:val="20"/>
        </w:rPr>
      </w:pPr>
      <w:bookmarkStart w:id="4" w:name="_Hlk45625718"/>
      <w:r w:rsidRPr="0020258B">
        <w:rPr>
          <w:sz w:val="20"/>
          <w:szCs w:val="20"/>
          <w:bdr w:val="none" w:sz="0" w:space="0" w:color="auto" w:frame="1"/>
        </w:rPr>
        <w:lastRenderedPageBreak/>
        <w:t>PORTO, Manuel Lopes</w:t>
      </w:r>
      <w:r w:rsidRPr="0020258B">
        <w:rPr>
          <w:sz w:val="20"/>
          <w:szCs w:val="20"/>
          <w:shd w:val="clear" w:color="auto" w:fill="FFFFFF"/>
        </w:rPr>
        <w:t xml:space="preserve">; VILAÇA, </w:t>
      </w:r>
      <w:r w:rsidRPr="0020258B">
        <w:rPr>
          <w:sz w:val="20"/>
          <w:szCs w:val="20"/>
          <w:bdr w:val="none" w:sz="0" w:space="0" w:color="auto" w:frame="1"/>
        </w:rPr>
        <w:t>José Luís da Cruz; CUNHA, Carolina;</w:t>
      </w:r>
      <w:r w:rsidRPr="0020258B">
        <w:rPr>
          <w:sz w:val="20"/>
          <w:szCs w:val="20"/>
          <w:shd w:val="clear" w:color="auto" w:fill="FFFFFF"/>
        </w:rPr>
        <w:t xml:space="preserve"> </w:t>
      </w:r>
      <w:r w:rsidRPr="0020258B">
        <w:rPr>
          <w:sz w:val="20"/>
          <w:szCs w:val="20"/>
          <w:bdr w:val="none" w:sz="0" w:space="0" w:color="auto" w:frame="1"/>
        </w:rPr>
        <w:t>GORJÃO-HENRIQUES</w:t>
      </w:r>
      <w:r w:rsidRPr="0020258B">
        <w:rPr>
          <w:sz w:val="20"/>
          <w:szCs w:val="20"/>
          <w:shd w:val="clear" w:color="auto" w:fill="FFFFFF"/>
        </w:rPr>
        <w:t xml:space="preserve">, Miguel; </w:t>
      </w:r>
      <w:r w:rsidRPr="0020258B">
        <w:rPr>
          <w:sz w:val="20"/>
          <w:szCs w:val="20"/>
          <w:bdr w:val="none" w:sz="0" w:space="0" w:color="auto" w:frame="1"/>
        </w:rPr>
        <w:t xml:space="preserve">ANASTÁCIO, Gonçalo. </w:t>
      </w:r>
      <w:r w:rsidRPr="0020258B">
        <w:rPr>
          <w:i/>
          <w:iCs/>
          <w:sz w:val="20"/>
          <w:szCs w:val="20"/>
        </w:rPr>
        <w:t>Lei da Concorrência - Comentário Conimbricense</w:t>
      </w:r>
      <w:r w:rsidRPr="0020258B">
        <w:rPr>
          <w:sz w:val="20"/>
          <w:szCs w:val="20"/>
        </w:rPr>
        <w:t xml:space="preserve">. 2.ª ed. </w:t>
      </w:r>
      <w:r w:rsidRPr="0020258B">
        <w:rPr>
          <w:sz w:val="20"/>
          <w:szCs w:val="20"/>
          <w:bdr w:val="none" w:sz="0" w:space="0" w:color="auto" w:frame="1"/>
        </w:rPr>
        <w:t>Coimbra: Almedina, 2017. ISBN:</w:t>
      </w:r>
      <w:r w:rsidRPr="0020258B">
        <w:rPr>
          <w:sz w:val="20"/>
          <w:szCs w:val="20"/>
          <w:shd w:val="clear" w:color="auto" w:fill="F6F6F6"/>
        </w:rPr>
        <w:t xml:space="preserve"> 9789724071923</w:t>
      </w:r>
    </w:p>
    <w:p w14:paraId="65A77D3A" w14:textId="77777777" w:rsidR="005260E7" w:rsidRDefault="00DC2598" w:rsidP="005260E7">
      <w:pPr>
        <w:jc w:val="both"/>
        <w:rPr>
          <w:sz w:val="16"/>
          <w:szCs w:val="16"/>
        </w:rPr>
      </w:pPr>
      <w:hyperlink r:id="rId15" w:history="1">
        <w:r w:rsidR="005260E7" w:rsidRPr="007542EE">
          <w:rPr>
            <w:rStyle w:val="Hiperligao"/>
            <w:sz w:val="16"/>
            <w:szCs w:val="16"/>
          </w:rPr>
          <w:t>https://www.almedina.net/lei-da-concorr-ncia-coment-rio-conimbricense-1563803374.html</w:t>
        </w:r>
      </w:hyperlink>
      <w:r w:rsidR="005260E7" w:rsidRPr="007542EE">
        <w:rPr>
          <w:sz w:val="16"/>
          <w:szCs w:val="16"/>
        </w:rPr>
        <w:t xml:space="preserve"> </w:t>
      </w:r>
    </w:p>
    <w:bookmarkEnd w:id="4"/>
    <w:p w14:paraId="4514ADF6" w14:textId="77777777" w:rsidR="004166A8" w:rsidRDefault="004166A8" w:rsidP="00620898">
      <w:pPr>
        <w:spacing w:line="360" w:lineRule="auto"/>
        <w:jc w:val="both"/>
        <w:rPr>
          <w:b/>
          <w:bCs/>
        </w:rPr>
      </w:pPr>
    </w:p>
    <w:p w14:paraId="09DDAE32" w14:textId="2AB81215" w:rsidR="005260E7" w:rsidRDefault="005260E7" w:rsidP="00620898">
      <w:pPr>
        <w:spacing w:line="360" w:lineRule="auto"/>
        <w:jc w:val="both"/>
        <w:rPr>
          <w:b/>
          <w:bCs/>
        </w:rPr>
      </w:pPr>
      <w:r>
        <w:rPr>
          <w:b/>
          <w:bCs/>
        </w:rPr>
        <w:t>__________</w:t>
      </w:r>
    </w:p>
    <w:p w14:paraId="6053748A" w14:textId="5B2B8ABE" w:rsidR="00A05FB3" w:rsidRDefault="005260E7" w:rsidP="00620898">
      <w:pPr>
        <w:spacing w:line="360" w:lineRule="auto"/>
        <w:jc w:val="both"/>
        <w:rPr>
          <w:b/>
          <w:bCs/>
        </w:rPr>
      </w:pPr>
      <w:r>
        <w:rPr>
          <w:b/>
          <w:bCs/>
        </w:rPr>
        <w:t>----</w:t>
      </w:r>
    </w:p>
    <w:p w14:paraId="2D6A9456" w14:textId="77777777" w:rsidR="005260E7" w:rsidRDefault="005260E7" w:rsidP="00620898">
      <w:pPr>
        <w:spacing w:line="360" w:lineRule="auto"/>
        <w:jc w:val="both"/>
        <w:rPr>
          <w:b/>
          <w:bCs/>
        </w:rPr>
      </w:pPr>
    </w:p>
    <w:p w14:paraId="79DF59A4" w14:textId="43EAED14" w:rsidR="00A05FB3" w:rsidRDefault="00A05FB3" w:rsidP="00620898">
      <w:pPr>
        <w:spacing w:line="360" w:lineRule="auto"/>
        <w:jc w:val="both"/>
      </w:pPr>
      <w:r>
        <w:rPr>
          <w:b/>
          <w:bCs/>
        </w:rPr>
        <w:t>Documentação</w:t>
      </w:r>
    </w:p>
    <w:p w14:paraId="6EA0EAA7" w14:textId="77777777" w:rsidR="008B4D02" w:rsidRDefault="008B4D02" w:rsidP="00A05FB3">
      <w:pPr>
        <w:pStyle w:val="NormalWeb"/>
        <w:shd w:val="clear" w:color="auto" w:fill="FFFFFF"/>
        <w:spacing w:before="0" w:beforeAutospacing="0" w:after="0" w:afterAutospacing="0"/>
        <w:jc w:val="both"/>
        <w:rPr>
          <w:sz w:val="20"/>
          <w:szCs w:val="20"/>
        </w:rPr>
      </w:pPr>
    </w:p>
    <w:p w14:paraId="58F127BB" w14:textId="4E7C40B5" w:rsidR="008B4D02" w:rsidRDefault="008B4D02" w:rsidP="00A05FB3">
      <w:pPr>
        <w:pStyle w:val="NormalWeb"/>
        <w:shd w:val="clear" w:color="auto" w:fill="FFFFFF"/>
        <w:spacing w:before="0" w:beforeAutospacing="0" w:after="0" w:afterAutospacing="0"/>
        <w:jc w:val="both"/>
        <w:rPr>
          <w:rStyle w:val="Hiperligao"/>
          <w:sz w:val="20"/>
          <w:szCs w:val="20"/>
        </w:rPr>
      </w:pPr>
      <w:r w:rsidRPr="009365F5">
        <w:rPr>
          <w:bCs/>
          <w:sz w:val="20"/>
          <w:szCs w:val="20"/>
        </w:rPr>
        <w:t xml:space="preserve">Documento COM(2020) 302 final de 09.07.2020, 34 páginas. </w:t>
      </w:r>
      <w:r w:rsidRPr="009365F5">
        <w:rPr>
          <w:sz w:val="20"/>
          <w:szCs w:val="20"/>
        </w:rPr>
        <w:t xml:space="preserve">Relatório da Comissão ao Parlamento Europeu, ao Conselho, ao Comité Económico e Social Europeu e ao Comité das Regiões sobre a </w:t>
      </w:r>
      <w:r w:rsidRPr="009365F5">
        <w:rPr>
          <w:b/>
          <w:bCs/>
          <w:i/>
          <w:iCs/>
          <w:sz w:val="20"/>
          <w:szCs w:val="20"/>
        </w:rPr>
        <w:t>Política de Concorrência 2019</w:t>
      </w:r>
      <w:r w:rsidRPr="009365F5">
        <w:rPr>
          <w:sz w:val="20"/>
          <w:szCs w:val="20"/>
        </w:rPr>
        <w:t xml:space="preserve">. Em </w:t>
      </w:r>
      <w:hyperlink r:id="rId16" w:history="1">
        <w:r w:rsidRPr="00B17CA4">
          <w:rPr>
            <w:rStyle w:val="Hiperligao"/>
            <w:sz w:val="20"/>
            <w:szCs w:val="20"/>
          </w:rPr>
          <w:t>https://eur-lex.europa.eu/legal-content/PT/TXT/PDF/?uri=CELEX:52020DC0302&amp;rid=1</w:t>
        </w:r>
      </w:hyperlink>
    </w:p>
    <w:p w14:paraId="0FCB3B8B" w14:textId="02B80A88" w:rsidR="003F4FD4" w:rsidRDefault="003F4FD4" w:rsidP="00A05FB3">
      <w:pPr>
        <w:pStyle w:val="NormalWeb"/>
        <w:shd w:val="clear" w:color="auto" w:fill="FFFFFF"/>
        <w:spacing w:before="0" w:beforeAutospacing="0" w:after="0" w:afterAutospacing="0"/>
        <w:jc w:val="both"/>
        <w:rPr>
          <w:rStyle w:val="Hiperligao"/>
          <w:sz w:val="20"/>
          <w:szCs w:val="20"/>
        </w:rPr>
      </w:pPr>
    </w:p>
    <w:p w14:paraId="582C40D8" w14:textId="77777777" w:rsidR="003F4FD4" w:rsidRPr="003F4FD4" w:rsidRDefault="003F4FD4" w:rsidP="003F4FD4">
      <w:pPr>
        <w:pStyle w:val="NormalWeb"/>
        <w:shd w:val="clear" w:color="auto" w:fill="FFFFFF"/>
        <w:spacing w:before="0" w:beforeAutospacing="0" w:after="75" w:afterAutospacing="0"/>
        <w:jc w:val="both"/>
        <w:rPr>
          <w:bCs/>
          <w:sz w:val="20"/>
          <w:szCs w:val="20"/>
        </w:rPr>
      </w:pPr>
      <w:r w:rsidRPr="003F4FD4">
        <w:rPr>
          <w:bCs/>
          <w:sz w:val="20"/>
          <w:szCs w:val="20"/>
        </w:rPr>
        <w:t>European Commission. Communication from the Commission to the European Parliament, the Council, the European Economic and Social Committee and the Committee of the Regions 2030 Digital Compass: the European way for the Digital Decade. Document COM(2021)118 final of 09.03.2021</w:t>
      </w:r>
    </w:p>
    <w:p w14:paraId="34C07264" w14:textId="77777777" w:rsidR="003F4FD4" w:rsidRPr="003F4FD4" w:rsidRDefault="00DC2598" w:rsidP="003F4FD4">
      <w:pPr>
        <w:pStyle w:val="Textosimples"/>
        <w:rPr>
          <w:rFonts w:ascii="Times New Roman" w:hAnsi="Times New Roman" w:cs="Times New Roman"/>
          <w:sz w:val="20"/>
          <w:szCs w:val="20"/>
        </w:rPr>
      </w:pPr>
      <w:hyperlink r:id="rId17" w:history="1">
        <w:r w:rsidR="003F4FD4" w:rsidRPr="003F4FD4">
          <w:rPr>
            <w:rStyle w:val="Hiperligao"/>
            <w:rFonts w:ascii="Times New Roman" w:hAnsi="Times New Roman" w:cs="Times New Roman"/>
            <w:sz w:val="20"/>
            <w:szCs w:val="20"/>
          </w:rPr>
          <w:t>EUR-Lex - 52021DC0118 - PT - EUR-Lex (europa.eu)</w:t>
        </w:r>
      </w:hyperlink>
      <w:r w:rsidR="003F4FD4" w:rsidRPr="003F4FD4">
        <w:rPr>
          <w:rFonts w:ascii="Times New Roman" w:hAnsi="Times New Roman" w:cs="Times New Roman"/>
          <w:sz w:val="20"/>
          <w:szCs w:val="20"/>
        </w:rPr>
        <w:t xml:space="preserve"> </w:t>
      </w:r>
    </w:p>
    <w:p w14:paraId="6978BE5F" w14:textId="77777777" w:rsidR="003F4FD4" w:rsidRDefault="003F4FD4" w:rsidP="00A05FB3">
      <w:pPr>
        <w:pStyle w:val="NormalWeb"/>
        <w:shd w:val="clear" w:color="auto" w:fill="FFFFFF"/>
        <w:spacing w:before="0" w:beforeAutospacing="0" w:after="0" w:afterAutospacing="0"/>
        <w:jc w:val="both"/>
        <w:rPr>
          <w:sz w:val="20"/>
          <w:szCs w:val="20"/>
        </w:rPr>
      </w:pPr>
    </w:p>
    <w:p w14:paraId="02D2B903" w14:textId="0784168B" w:rsidR="008B4D02" w:rsidRDefault="008B4D02" w:rsidP="00A05FB3">
      <w:pPr>
        <w:pStyle w:val="NormalWeb"/>
        <w:shd w:val="clear" w:color="auto" w:fill="FFFFFF"/>
        <w:spacing w:before="0" w:beforeAutospacing="0" w:after="0" w:afterAutospacing="0"/>
        <w:jc w:val="both"/>
        <w:rPr>
          <w:sz w:val="20"/>
          <w:szCs w:val="20"/>
        </w:rPr>
      </w:pPr>
      <w:r>
        <w:rPr>
          <w:sz w:val="20"/>
          <w:szCs w:val="20"/>
        </w:rPr>
        <w:t>_____________</w:t>
      </w:r>
    </w:p>
    <w:p w14:paraId="47CA5732" w14:textId="77777777" w:rsidR="008B4D02" w:rsidRDefault="008B4D02" w:rsidP="00A05FB3">
      <w:pPr>
        <w:pStyle w:val="NormalWeb"/>
        <w:shd w:val="clear" w:color="auto" w:fill="FFFFFF"/>
        <w:spacing w:before="0" w:beforeAutospacing="0" w:after="0" w:afterAutospacing="0"/>
        <w:jc w:val="both"/>
        <w:rPr>
          <w:sz w:val="20"/>
          <w:szCs w:val="20"/>
        </w:rPr>
      </w:pPr>
    </w:p>
    <w:p w14:paraId="03BF1BFE" w14:textId="71619627" w:rsidR="00A05FB3" w:rsidRPr="00A05FB3" w:rsidRDefault="00A05FB3" w:rsidP="00A05FB3">
      <w:pPr>
        <w:pStyle w:val="NormalWeb"/>
        <w:shd w:val="clear" w:color="auto" w:fill="FFFFFF"/>
        <w:spacing w:before="0" w:beforeAutospacing="0" w:after="0" w:afterAutospacing="0"/>
        <w:jc w:val="both"/>
        <w:rPr>
          <w:sz w:val="20"/>
          <w:szCs w:val="20"/>
        </w:rPr>
      </w:pPr>
      <w:r w:rsidRPr="00A05FB3">
        <w:rPr>
          <w:sz w:val="20"/>
          <w:szCs w:val="20"/>
        </w:rPr>
        <w:t xml:space="preserve">Directiva 2011/83/UE do Parlamento Europeu e do Conselho, de 25 de Outubro de 2011 , relativa aos direitos dos consumidores, que altera a Directiva 93/13/CEE do Conselho e a Directiva 1999/44/CE do Parlamento Europeu e do Conselho e que revoga a Directiva 85/577/CEE do Conselho e a Directiva 97/7/CE do Parlamento Europeu e do Conselho </w:t>
      </w:r>
    </w:p>
    <w:p w14:paraId="55A1930C" w14:textId="77777777" w:rsidR="00A05FB3" w:rsidRPr="00A05FB3" w:rsidRDefault="00A05FB3" w:rsidP="00A05FB3">
      <w:pPr>
        <w:pStyle w:val="NormalWeb"/>
        <w:shd w:val="clear" w:color="auto" w:fill="FFFFFF"/>
        <w:spacing w:before="0" w:beforeAutospacing="0" w:after="0" w:afterAutospacing="0"/>
        <w:jc w:val="both"/>
        <w:rPr>
          <w:i/>
          <w:iCs/>
          <w:sz w:val="20"/>
          <w:szCs w:val="20"/>
        </w:rPr>
      </w:pPr>
      <w:r w:rsidRPr="00A05FB3">
        <w:rPr>
          <w:rStyle w:val="nfase"/>
          <w:i w:val="0"/>
          <w:iCs w:val="0"/>
          <w:sz w:val="20"/>
          <w:szCs w:val="20"/>
        </w:rPr>
        <w:t>JOUE L 304 de 22.11.2011, pp. 64–88 </w:t>
      </w:r>
    </w:p>
    <w:p w14:paraId="329320E8" w14:textId="77777777" w:rsidR="00A05FB3" w:rsidRPr="00A05FB3" w:rsidRDefault="00DC2598" w:rsidP="00A05FB3">
      <w:pPr>
        <w:jc w:val="both"/>
        <w:rPr>
          <w:sz w:val="20"/>
          <w:szCs w:val="20"/>
        </w:rPr>
      </w:pPr>
      <w:hyperlink r:id="rId18" w:history="1">
        <w:r w:rsidR="00A05FB3" w:rsidRPr="00A05FB3">
          <w:rPr>
            <w:rStyle w:val="Hiperligao"/>
            <w:sz w:val="20"/>
            <w:szCs w:val="20"/>
          </w:rPr>
          <w:t>CL2011L0083PT0010010.0001_cp 1..1 (europa.eu)</w:t>
        </w:r>
      </w:hyperlink>
    </w:p>
    <w:p w14:paraId="51622D30" w14:textId="77777777" w:rsidR="00A05FB3" w:rsidRPr="00A05FB3" w:rsidRDefault="00A05FB3" w:rsidP="00A05FB3">
      <w:pPr>
        <w:jc w:val="both"/>
        <w:rPr>
          <w:sz w:val="20"/>
          <w:szCs w:val="20"/>
        </w:rPr>
      </w:pPr>
    </w:p>
    <w:p w14:paraId="3E6C5A29" w14:textId="77777777" w:rsidR="00A05FB3" w:rsidRPr="00A05FB3" w:rsidRDefault="00A05FB3" w:rsidP="00A05FB3">
      <w:pPr>
        <w:pStyle w:val="NormalWeb"/>
        <w:shd w:val="clear" w:color="auto" w:fill="FFFFFF"/>
        <w:spacing w:before="0" w:beforeAutospacing="0" w:after="0" w:afterAutospacing="0"/>
        <w:jc w:val="both"/>
        <w:rPr>
          <w:sz w:val="20"/>
          <w:szCs w:val="20"/>
        </w:rPr>
      </w:pPr>
      <w:r w:rsidRPr="00A05FB3">
        <w:rPr>
          <w:sz w:val="20"/>
          <w:szCs w:val="20"/>
        </w:rPr>
        <w:t>Directiva 2002/65/CE do Parlamento Europeu e do Conselho, de 23 de Setembro de 2002, relativa à comercialização à distância de serviços financeiros prestados a consumidores e que altera as Directivas 90/619/CEE do Conselho, 97/7/CE e 98/27/CE</w:t>
      </w:r>
    </w:p>
    <w:p w14:paraId="5DCBBAEC" w14:textId="77777777" w:rsidR="00A05FB3" w:rsidRPr="00A05FB3" w:rsidRDefault="00A05FB3" w:rsidP="00A05FB3">
      <w:pPr>
        <w:pStyle w:val="NormalWeb"/>
        <w:shd w:val="clear" w:color="auto" w:fill="FFFFFF"/>
        <w:spacing w:before="0" w:beforeAutospacing="0" w:after="0" w:afterAutospacing="0"/>
        <w:jc w:val="both"/>
        <w:rPr>
          <w:i/>
          <w:iCs/>
          <w:sz w:val="20"/>
          <w:szCs w:val="20"/>
        </w:rPr>
      </w:pPr>
      <w:r w:rsidRPr="00A05FB3">
        <w:rPr>
          <w:rStyle w:val="nfase"/>
          <w:i w:val="0"/>
          <w:iCs w:val="0"/>
          <w:sz w:val="20"/>
          <w:szCs w:val="20"/>
        </w:rPr>
        <w:t>JOUE L 271 de 09.10.2002, pp. 16–24 </w:t>
      </w:r>
    </w:p>
    <w:p w14:paraId="6BCEDC61" w14:textId="77777777" w:rsidR="00A05FB3" w:rsidRPr="00A05FB3" w:rsidRDefault="00DC2598" w:rsidP="00A05FB3">
      <w:pPr>
        <w:jc w:val="both"/>
        <w:rPr>
          <w:sz w:val="20"/>
          <w:szCs w:val="20"/>
        </w:rPr>
      </w:pPr>
      <w:hyperlink r:id="rId19" w:history="1">
        <w:r w:rsidR="00A05FB3" w:rsidRPr="00A05FB3">
          <w:rPr>
            <w:rStyle w:val="Hiperligao"/>
            <w:sz w:val="20"/>
            <w:szCs w:val="20"/>
          </w:rPr>
          <w:t>CL2002L0065PT0030010.0001.3bi_cp 1..1 (europa.eu)</w:t>
        </w:r>
      </w:hyperlink>
    </w:p>
    <w:p w14:paraId="79E95D9C" w14:textId="77777777" w:rsidR="00A05FB3" w:rsidRPr="00A05FB3" w:rsidRDefault="00A05FB3" w:rsidP="00A05FB3">
      <w:pPr>
        <w:jc w:val="both"/>
        <w:rPr>
          <w:sz w:val="20"/>
          <w:szCs w:val="20"/>
        </w:rPr>
      </w:pPr>
    </w:p>
    <w:p w14:paraId="08B92AED" w14:textId="77777777" w:rsidR="00A05FB3" w:rsidRPr="00A05FB3" w:rsidRDefault="00A05FB3" w:rsidP="00A05FB3">
      <w:pPr>
        <w:pStyle w:val="NormalWeb"/>
        <w:shd w:val="clear" w:color="auto" w:fill="FFFFFF"/>
        <w:spacing w:before="0" w:beforeAutospacing="0" w:after="0" w:afterAutospacing="0"/>
        <w:jc w:val="both"/>
        <w:rPr>
          <w:sz w:val="20"/>
          <w:szCs w:val="20"/>
        </w:rPr>
      </w:pPr>
      <w:r w:rsidRPr="00A05FB3">
        <w:rPr>
          <w:sz w:val="20"/>
          <w:szCs w:val="20"/>
        </w:rPr>
        <w:t>Directiva 2000/31/CE do Parlamento Europeu e do Conselho de 8 de Junho de 2000 relativa a certos aspectos legais dos serviços da sociedade de informação, em especial do comércio electrónico, no mercado interno («Directiva sobre o comércio electrónico»)</w:t>
      </w:r>
    </w:p>
    <w:p w14:paraId="42B08650" w14:textId="77777777" w:rsidR="00A05FB3" w:rsidRPr="00A05FB3" w:rsidRDefault="00A05FB3" w:rsidP="00A05FB3">
      <w:pPr>
        <w:pStyle w:val="NormalWeb"/>
        <w:shd w:val="clear" w:color="auto" w:fill="FFFFFF"/>
        <w:spacing w:before="0" w:beforeAutospacing="0" w:after="0" w:afterAutospacing="0"/>
        <w:jc w:val="both"/>
        <w:rPr>
          <w:i/>
          <w:iCs/>
          <w:sz w:val="20"/>
          <w:szCs w:val="20"/>
        </w:rPr>
      </w:pPr>
      <w:r w:rsidRPr="00A05FB3">
        <w:rPr>
          <w:rStyle w:val="nfase"/>
          <w:i w:val="0"/>
          <w:iCs w:val="0"/>
          <w:sz w:val="20"/>
          <w:szCs w:val="20"/>
        </w:rPr>
        <w:t>JOCE  L 178 de 17.07.2000, pp. 1-16</w:t>
      </w:r>
    </w:p>
    <w:p w14:paraId="091D7818" w14:textId="77777777" w:rsidR="00A05FB3" w:rsidRPr="00A05FB3" w:rsidRDefault="00DC2598" w:rsidP="00A05FB3">
      <w:pPr>
        <w:jc w:val="both"/>
        <w:rPr>
          <w:sz w:val="20"/>
          <w:szCs w:val="20"/>
        </w:rPr>
      </w:pPr>
      <w:hyperlink r:id="rId20" w:history="1">
        <w:r w:rsidR="00A05FB3" w:rsidRPr="00A05FB3">
          <w:rPr>
            <w:rStyle w:val="Hiperligao"/>
            <w:sz w:val="20"/>
            <w:szCs w:val="20"/>
          </w:rPr>
          <w:t>https://eur-lex.europa.eu/legal-content/PT/TXT/PDF/?uri=CELEX:32000L0031&amp;qid=1619621844629&amp;from=PT</w:t>
        </w:r>
      </w:hyperlink>
      <w:r w:rsidR="00A05FB3" w:rsidRPr="00A05FB3">
        <w:rPr>
          <w:sz w:val="20"/>
          <w:szCs w:val="20"/>
        </w:rPr>
        <w:t xml:space="preserve"> </w:t>
      </w:r>
    </w:p>
    <w:p w14:paraId="4A94D9B4" w14:textId="77777777" w:rsidR="00A05FB3" w:rsidRPr="00A05FB3" w:rsidRDefault="00A05FB3" w:rsidP="00A05FB3">
      <w:pPr>
        <w:jc w:val="both"/>
        <w:rPr>
          <w:sz w:val="20"/>
          <w:szCs w:val="20"/>
        </w:rPr>
      </w:pPr>
      <w:r w:rsidRPr="00A05FB3">
        <w:rPr>
          <w:sz w:val="20"/>
          <w:szCs w:val="20"/>
        </w:rPr>
        <w:t>+</w:t>
      </w:r>
    </w:p>
    <w:p w14:paraId="4B70B5F1" w14:textId="77777777" w:rsidR="00A05FB3" w:rsidRPr="00A05FB3" w:rsidRDefault="00A05FB3" w:rsidP="00A05FB3">
      <w:pPr>
        <w:rPr>
          <w:sz w:val="20"/>
          <w:szCs w:val="20"/>
        </w:rPr>
      </w:pPr>
      <w:r w:rsidRPr="00A05FB3">
        <w:rPr>
          <w:sz w:val="20"/>
          <w:szCs w:val="20"/>
        </w:rPr>
        <w:t>Decreto-Lei n.º 7/2004 - Diário da República n.º 5/2004, Série I-A de 2004-01-07 No uso da autorização legislativa concedida pela Lei n.º 7/2003, de 9 de Maio, transpõe para a ordem jurídica nacional a Directiva n.º 2000/31/CE</w:t>
      </w:r>
    </w:p>
    <w:p w14:paraId="3E00B970" w14:textId="77777777" w:rsidR="00A05FB3" w:rsidRPr="00A05FB3" w:rsidRDefault="00DC2598" w:rsidP="00A05FB3">
      <w:pPr>
        <w:rPr>
          <w:sz w:val="20"/>
          <w:szCs w:val="20"/>
        </w:rPr>
      </w:pPr>
      <w:hyperlink r:id="rId21" w:history="1">
        <w:r w:rsidR="00A05FB3" w:rsidRPr="00A05FB3">
          <w:rPr>
            <w:rStyle w:val="Hiperligao"/>
            <w:sz w:val="20"/>
            <w:szCs w:val="20"/>
          </w:rPr>
          <w:t>Consolidação Decreto-Lei n.º 7/2004 - Diário da República n.º 5/2004, Série I-A de 2004-01-07 (dre.pt)</w:t>
        </w:r>
      </w:hyperlink>
    </w:p>
    <w:p w14:paraId="3CD6E431" w14:textId="77777777" w:rsidR="00A05FB3" w:rsidRPr="00A05FB3" w:rsidRDefault="00A05FB3" w:rsidP="00A05FB3">
      <w:pPr>
        <w:rPr>
          <w:sz w:val="20"/>
          <w:szCs w:val="20"/>
        </w:rPr>
      </w:pPr>
    </w:p>
    <w:p w14:paraId="1AFCF1DC" w14:textId="77777777" w:rsidR="00A05FB3" w:rsidRPr="00A05FB3" w:rsidRDefault="00A05FB3" w:rsidP="00A05FB3">
      <w:pPr>
        <w:shd w:val="clear" w:color="auto" w:fill="FFFFFF"/>
        <w:rPr>
          <w:sz w:val="20"/>
          <w:szCs w:val="20"/>
        </w:rPr>
      </w:pPr>
      <w:r w:rsidRPr="00A05FB3">
        <w:rPr>
          <w:sz w:val="20"/>
          <w:szCs w:val="20"/>
        </w:rPr>
        <w:t xml:space="preserve">Diretiva (UE) 2020/1828 do Parlamento Europeu e do Conselho de 25 de novembro de 2020 relativa a ações coletivas para proteção dos interesses coletivos dos consumidores e que revoga a Diretiva 2009/22/CE </w:t>
      </w:r>
    </w:p>
    <w:p w14:paraId="74D75864" w14:textId="77777777" w:rsidR="00A05FB3" w:rsidRPr="00A05FB3" w:rsidRDefault="00A05FB3" w:rsidP="00A05FB3">
      <w:pPr>
        <w:shd w:val="clear" w:color="auto" w:fill="FFFFFF"/>
        <w:rPr>
          <w:sz w:val="20"/>
          <w:szCs w:val="20"/>
        </w:rPr>
      </w:pPr>
      <w:r w:rsidRPr="00A05FB3">
        <w:rPr>
          <w:sz w:val="20"/>
          <w:szCs w:val="20"/>
        </w:rPr>
        <w:t>JOUE L 409 de 04.12.2020, pp. 1-27</w:t>
      </w:r>
    </w:p>
    <w:p w14:paraId="0466DB82" w14:textId="77777777" w:rsidR="00A05FB3" w:rsidRPr="00A05FB3" w:rsidRDefault="00DC2598" w:rsidP="00A05FB3">
      <w:pPr>
        <w:jc w:val="both"/>
        <w:rPr>
          <w:sz w:val="20"/>
          <w:szCs w:val="20"/>
        </w:rPr>
      </w:pPr>
      <w:hyperlink r:id="rId22" w:history="1">
        <w:r w:rsidR="00A05FB3" w:rsidRPr="00A05FB3">
          <w:rPr>
            <w:rStyle w:val="Hiperligao"/>
            <w:sz w:val="20"/>
            <w:szCs w:val="20"/>
          </w:rPr>
          <w:t>https://eur-lex.europa.eu/legal-content/PT/TXT/PDF/?uri=CELEX:32020L1828&amp;from=PT</w:t>
        </w:r>
      </w:hyperlink>
      <w:r w:rsidR="00A05FB3" w:rsidRPr="00A05FB3">
        <w:rPr>
          <w:sz w:val="20"/>
          <w:szCs w:val="20"/>
        </w:rPr>
        <w:t xml:space="preserve"> </w:t>
      </w:r>
    </w:p>
    <w:p w14:paraId="7BD4A742" w14:textId="77777777" w:rsidR="00620898" w:rsidRDefault="00620898" w:rsidP="00620898">
      <w:pPr>
        <w:spacing w:line="360" w:lineRule="auto"/>
        <w:jc w:val="both"/>
      </w:pPr>
    </w:p>
    <w:p w14:paraId="28217DB9" w14:textId="77777777" w:rsidR="00D0218D" w:rsidRDefault="00D0218D" w:rsidP="0071236B">
      <w:pPr>
        <w:spacing w:line="360" w:lineRule="auto"/>
        <w:ind w:firstLine="708"/>
        <w:jc w:val="both"/>
      </w:pPr>
    </w:p>
    <w:p w14:paraId="557B78A0" w14:textId="7CEB4481" w:rsidR="00A57A44" w:rsidRDefault="00A57A44" w:rsidP="00FE35F1">
      <w:pPr>
        <w:spacing w:line="360" w:lineRule="auto"/>
        <w:jc w:val="both"/>
      </w:pPr>
    </w:p>
    <w:p w14:paraId="511181DE" w14:textId="77777777" w:rsidR="00FE35F1" w:rsidRDefault="00FE35F1" w:rsidP="00FE35F1">
      <w:pPr>
        <w:spacing w:line="360" w:lineRule="auto"/>
        <w:jc w:val="both"/>
      </w:pPr>
    </w:p>
    <w:p w14:paraId="26CB2B03" w14:textId="77777777" w:rsidR="00B369C7" w:rsidRPr="009C57B3" w:rsidRDefault="00B369C7" w:rsidP="00FE35F1">
      <w:pPr>
        <w:spacing w:line="360" w:lineRule="auto"/>
        <w:jc w:val="both"/>
        <w:rPr>
          <w:lang w:val="es-ES"/>
        </w:rPr>
      </w:pPr>
    </w:p>
    <w:sectPr w:rsidR="00B369C7" w:rsidRPr="009C57B3" w:rsidSect="006A46B1">
      <w:footerReference w:type="default" r:id="rId23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50659AA7" w14:textId="77777777" w:rsidR="00DC2598" w:rsidRDefault="00DC2598" w:rsidP="007D4EAE">
      <w:r>
        <w:separator/>
      </w:r>
    </w:p>
  </w:endnote>
  <w:endnote w:type="continuationSeparator" w:id="0">
    <w:p w14:paraId="2371AAAC" w14:textId="77777777" w:rsidR="00DC2598" w:rsidRDefault="00DC2598" w:rsidP="007D4EA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EUAlbertina">
    <w:altName w:val="Cambria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159436031"/>
      <w:docPartObj>
        <w:docPartGallery w:val="Page Numbers (Bottom of Page)"/>
        <w:docPartUnique/>
      </w:docPartObj>
    </w:sdtPr>
    <w:sdtEndPr/>
    <w:sdtContent>
      <w:p w14:paraId="6A98C0B9" w14:textId="3B154DF0" w:rsidR="009365F5" w:rsidRDefault="009365F5">
        <w:pPr>
          <w:pStyle w:val="Rodap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161F2FAD" w14:textId="77777777" w:rsidR="009365F5" w:rsidRDefault="009365F5">
    <w:pPr>
      <w:pStyle w:val="Rodap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60BEA7C5" w14:textId="77777777" w:rsidR="00DC2598" w:rsidRDefault="00DC2598" w:rsidP="007D4EAE">
      <w:r>
        <w:separator/>
      </w:r>
    </w:p>
  </w:footnote>
  <w:footnote w:type="continuationSeparator" w:id="0">
    <w:p w14:paraId="17BE999B" w14:textId="77777777" w:rsidR="00DC2598" w:rsidRDefault="00DC2598" w:rsidP="007D4EAE">
      <w:r>
        <w:continuationSeparator/>
      </w:r>
    </w:p>
  </w:footnote>
  <w:footnote w:id="1">
    <w:p w14:paraId="5D3E86C7" w14:textId="2862F729" w:rsidR="001837FB" w:rsidRPr="00B17CA4" w:rsidRDefault="001837FB">
      <w:pPr>
        <w:pStyle w:val="Textodenotaderodap"/>
        <w:rPr>
          <w:rFonts w:ascii="Times New Roman" w:hAnsi="Times New Roman" w:cs="Times New Roman"/>
        </w:rPr>
      </w:pPr>
      <w:r w:rsidRPr="00B17CA4">
        <w:rPr>
          <w:rStyle w:val="Refdenotaderodap"/>
          <w:rFonts w:ascii="Times New Roman" w:hAnsi="Times New Roman" w:cs="Times New Roman"/>
        </w:rPr>
        <w:footnoteRef/>
      </w:r>
      <w:r w:rsidRPr="00B17CA4">
        <w:rPr>
          <w:rFonts w:ascii="Times New Roman" w:hAnsi="Times New Roman" w:cs="Times New Roman"/>
        </w:rPr>
        <w:t xml:space="preserve"> Em </w:t>
      </w:r>
      <w:hyperlink r:id="rId1" w:history="1">
        <w:r w:rsidR="00D66E60" w:rsidRPr="00B17CA4">
          <w:rPr>
            <w:rStyle w:val="Hiperligao"/>
            <w:rFonts w:ascii="Times New Roman" w:hAnsi="Times New Roman" w:cs="Times New Roman"/>
          </w:rPr>
          <w:t>Tratados em vigor - EUR-Lex (europa.eu)</w:t>
        </w:r>
      </w:hyperlink>
    </w:p>
  </w:footnote>
  <w:footnote w:id="2">
    <w:p w14:paraId="65B28FA6" w14:textId="181E02D7" w:rsidR="001837FB" w:rsidRPr="00B17CA4" w:rsidRDefault="001837FB">
      <w:pPr>
        <w:pStyle w:val="Textodenotaderodap"/>
        <w:rPr>
          <w:rFonts w:ascii="Times New Roman" w:hAnsi="Times New Roman" w:cs="Times New Roman"/>
        </w:rPr>
      </w:pPr>
      <w:r w:rsidRPr="00B17CA4">
        <w:rPr>
          <w:rStyle w:val="Refdenotaderodap"/>
          <w:rFonts w:ascii="Times New Roman" w:hAnsi="Times New Roman" w:cs="Times New Roman"/>
        </w:rPr>
        <w:footnoteRef/>
      </w:r>
      <w:r w:rsidRPr="00B17CA4">
        <w:rPr>
          <w:rFonts w:ascii="Times New Roman" w:hAnsi="Times New Roman" w:cs="Times New Roman"/>
        </w:rPr>
        <w:t xml:space="preserve"> Em </w:t>
      </w:r>
      <w:hyperlink r:id="rId2" w:history="1">
        <w:r w:rsidR="00D66E60" w:rsidRPr="00B17CA4">
          <w:rPr>
            <w:rStyle w:val="Hiperligao"/>
            <w:rFonts w:ascii="Times New Roman" w:hAnsi="Times New Roman" w:cs="Times New Roman"/>
          </w:rPr>
          <w:t>Tratados em vigor - EUR-Lex (europa.eu)</w:t>
        </w:r>
      </w:hyperlink>
    </w:p>
  </w:footnote>
  <w:footnote w:id="3">
    <w:p w14:paraId="39B89524" w14:textId="0405F986" w:rsidR="00BE1BE9" w:rsidRPr="00B17CA4" w:rsidRDefault="00BE1BE9" w:rsidP="00BE1BE9">
      <w:pPr>
        <w:jc w:val="both"/>
        <w:rPr>
          <w:sz w:val="20"/>
          <w:szCs w:val="20"/>
        </w:rPr>
      </w:pPr>
      <w:r w:rsidRPr="00B17CA4">
        <w:rPr>
          <w:rStyle w:val="Refdenotaderodap"/>
          <w:sz w:val="20"/>
          <w:szCs w:val="20"/>
        </w:rPr>
        <w:footnoteRef/>
      </w:r>
      <w:r w:rsidRPr="00B17CA4">
        <w:rPr>
          <w:sz w:val="20"/>
          <w:szCs w:val="20"/>
        </w:rPr>
        <w:t xml:space="preserve"> Veja-se a Lei n.º 19/2012, de 08 de Maio com o Novo Regime Jurídico da Concorrência. Em </w:t>
      </w:r>
      <w:hyperlink r:id="rId3" w:history="1">
        <w:r w:rsidRPr="00B17CA4">
          <w:rPr>
            <w:rStyle w:val="Hiperligao"/>
            <w:sz w:val="20"/>
            <w:szCs w:val="20"/>
          </w:rPr>
          <w:t>http://www.pgdlisboa.pt/leis/lei_mostra_articulado.php?nid=1705&amp;tabela=leis</w:t>
        </w:r>
      </w:hyperlink>
    </w:p>
  </w:footnote>
  <w:footnote w:id="4">
    <w:p w14:paraId="14378C9D" w14:textId="5E33EA8B" w:rsidR="00BE1BE9" w:rsidRPr="00B17CA4" w:rsidRDefault="00BE1BE9" w:rsidP="00BE1BE9">
      <w:pPr>
        <w:jc w:val="both"/>
        <w:rPr>
          <w:sz w:val="20"/>
          <w:szCs w:val="20"/>
        </w:rPr>
      </w:pPr>
      <w:r w:rsidRPr="00B17CA4">
        <w:rPr>
          <w:rStyle w:val="Refdenotaderodap"/>
          <w:sz w:val="20"/>
          <w:szCs w:val="20"/>
        </w:rPr>
        <w:footnoteRef/>
      </w:r>
      <w:r w:rsidRPr="00B17CA4">
        <w:rPr>
          <w:sz w:val="20"/>
          <w:szCs w:val="20"/>
        </w:rPr>
        <w:t xml:space="preserve"> Nos artigos 101.º a 109.º do TFUE e no Regulamento (CE) n.° 1/2003 do Conselho, de 16 de Dezembro de 2002, relativo à execução das regras de concorrência estabelecidas nos artigos 81.° e 82.° do Tratado, JOCE L 1 de 04.01.2003, pp. 1-25. Versão consolidada: </w:t>
      </w:r>
      <w:hyperlink r:id="rId4" w:history="1">
        <w:r w:rsidRPr="00B17CA4">
          <w:rPr>
            <w:rStyle w:val="Hiperligao"/>
            <w:sz w:val="20"/>
            <w:szCs w:val="20"/>
          </w:rPr>
          <w:t>https://eur-lex.europa.eu/legal-content/PT/TXT/PDF/?uri=CELEX:02003R0001-20090701&amp;qid=1601459046104&amp;from=PT</w:t>
        </w:r>
      </w:hyperlink>
    </w:p>
  </w:footnote>
  <w:footnote w:id="5">
    <w:p w14:paraId="55ACE03A" w14:textId="32708BE8" w:rsidR="00D66E60" w:rsidRPr="00B17CA4" w:rsidRDefault="00D66E60" w:rsidP="00D66E60">
      <w:pPr>
        <w:jc w:val="both"/>
        <w:rPr>
          <w:sz w:val="20"/>
          <w:szCs w:val="20"/>
        </w:rPr>
      </w:pPr>
      <w:r w:rsidRPr="00B17CA4">
        <w:rPr>
          <w:rStyle w:val="Refdenotaderodap"/>
          <w:sz w:val="20"/>
          <w:szCs w:val="20"/>
        </w:rPr>
        <w:footnoteRef/>
      </w:r>
      <w:r w:rsidRPr="00B17CA4">
        <w:rPr>
          <w:sz w:val="20"/>
          <w:szCs w:val="20"/>
        </w:rPr>
        <w:t xml:space="preserve"> </w:t>
      </w:r>
      <w:hyperlink r:id="rId5" w:history="1">
        <w:r w:rsidRPr="00B17CA4">
          <w:rPr>
            <w:rStyle w:val="Hiperligao"/>
            <w:sz w:val="20"/>
            <w:szCs w:val="20"/>
          </w:rPr>
          <w:t>A política de concorrência | Fichas temáticas sobre a União Europeia | Parlamento Europeu (europa.eu)</w:t>
        </w:r>
      </w:hyperlink>
    </w:p>
  </w:footnote>
  <w:footnote w:id="6">
    <w:p w14:paraId="34BE8AA0" w14:textId="28F4D02F" w:rsidR="00B17CA4" w:rsidRPr="00B17CA4" w:rsidRDefault="00B17CA4">
      <w:pPr>
        <w:pStyle w:val="Textodenotaderodap"/>
        <w:rPr>
          <w:rFonts w:ascii="Times New Roman" w:hAnsi="Times New Roman" w:cs="Times New Roman"/>
        </w:rPr>
      </w:pPr>
      <w:r w:rsidRPr="00B17CA4">
        <w:rPr>
          <w:rStyle w:val="Refdenotaderodap"/>
          <w:rFonts w:ascii="Times New Roman" w:hAnsi="Times New Roman" w:cs="Times New Roman"/>
        </w:rPr>
        <w:footnoteRef/>
      </w:r>
      <w:r w:rsidRPr="00B17CA4">
        <w:rPr>
          <w:rFonts w:ascii="Times New Roman" w:hAnsi="Times New Roman" w:cs="Times New Roman"/>
        </w:rPr>
        <w:t xml:space="preserve"> </w:t>
      </w:r>
      <w:hyperlink r:id="rId6" w:history="1">
        <w:r w:rsidRPr="00B17CA4">
          <w:rPr>
            <w:rStyle w:val="Hiperligao"/>
            <w:rFonts w:ascii="Times New Roman" w:hAnsi="Times New Roman" w:cs="Times New Roman"/>
          </w:rPr>
          <w:t>Glossário das sínteses - EUR-Lex (europa.eu)</w:t>
        </w:r>
      </w:hyperlink>
    </w:p>
  </w:footnote>
  <w:footnote w:id="7">
    <w:p w14:paraId="767552D1" w14:textId="34CBD9E3" w:rsidR="009365F5" w:rsidRPr="00B17CA4" w:rsidRDefault="009365F5">
      <w:pPr>
        <w:pStyle w:val="Textodenotaderodap"/>
        <w:rPr>
          <w:rFonts w:ascii="Times New Roman" w:hAnsi="Times New Roman" w:cs="Times New Roman"/>
        </w:rPr>
      </w:pPr>
      <w:r w:rsidRPr="00B17CA4">
        <w:rPr>
          <w:rStyle w:val="Refdenotaderodap"/>
          <w:rFonts w:ascii="Times New Roman" w:hAnsi="Times New Roman" w:cs="Times New Roman"/>
        </w:rPr>
        <w:footnoteRef/>
      </w:r>
      <w:r w:rsidRPr="00B17CA4">
        <w:rPr>
          <w:rFonts w:ascii="Times New Roman" w:hAnsi="Times New Roman" w:cs="Times New Roman"/>
        </w:rPr>
        <w:t xml:space="preserve"> </w:t>
      </w:r>
      <w:hyperlink r:id="rId7" w:history="1">
        <w:r w:rsidR="00D66E60" w:rsidRPr="00B17CA4">
          <w:rPr>
            <w:rStyle w:val="Hiperligao"/>
            <w:rFonts w:ascii="Times New Roman" w:hAnsi="Times New Roman" w:cs="Times New Roman"/>
          </w:rPr>
          <w:t>Commissão Europeia - Direcção-Geral da Concorrência (europa.eu)</w:t>
        </w:r>
      </w:hyperlink>
    </w:p>
  </w:footnote>
  <w:footnote w:id="8">
    <w:p w14:paraId="46D03777" w14:textId="67B9F0AD" w:rsidR="00D66E60" w:rsidRPr="00B17CA4" w:rsidRDefault="00D66E60">
      <w:pPr>
        <w:pStyle w:val="Textodenotaderodap"/>
        <w:rPr>
          <w:rFonts w:ascii="Times New Roman" w:hAnsi="Times New Roman" w:cs="Times New Roman"/>
        </w:rPr>
      </w:pPr>
      <w:r w:rsidRPr="00B17CA4">
        <w:rPr>
          <w:rStyle w:val="Refdenotaderodap"/>
          <w:rFonts w:ascii="Times New Roman" w:hAnsi="Times New Roman" w:cs="Times New Roman"/>
        </w:rPr>
        <w:footnoteRef/>
      </w:r>
      <w:r w:rsidRPr="00B17CA4">
        <w:rPr>
          <w:rFonts w:ascii="Times New Roman" w:hAnsi="Times New Roman" w:cs="Times New Roman"/>
        </w:rPr>
        <w:t xml:space="preserve"> </w:t>
      </w:r>
      <w:hyperlink r:id="rId8" w:history="1">
        <w:r w:rsidRPr="00B17CA4">
          <w:rPr>
            <w:rStyle w:val="Hiperligao"/>
            <w:rFonts w:ascii="Times New Roman" w:hAnsi="Times New Roman" w:cs="Times New Roman"/>
          </w:rPr>
          <w:t>Autoridade da Concorrência - HomeAdC (concorrencia.pt)</w:t>
        </w:r>
      </w:hyperlink>
    </w:p>
  </w:footnote>
  <w:footnote w:id="9">
    <w:p w14:paraId="32A7E85B" w14:textId="16832FB3" w:rsidR="00D66E60" w:rsidRDefault="00D66E60">
      <w:pPr>
        <w:pStyle w:val="Textodenotaderodap"/>
      </w:pPr>
      <w:r w:rsidRPr="00B17CA4">
        <w:rPr>
          <w:rStyle w:val="Refdenotaderodap"/>
          <w:rFonts w:ascii="Times New Roman" w:hAnsi="Times New Roman" w:cs="Times New Roman"/>
        </w:rPr>
        <w:footnoteRef/>
      </w:r>
      <w:r w:rsidRPr="00B17CA4">
        <w:rPr>
          <w:rFonts w:ascii="Times New Roman" w:hAnsi="Times New Roman" w:cs="Times New Roman"/>
        </w:rPr>
        <w:t xml:space="preserve"> </w:t>
      </w:r>
      <w:hyperlink r:id="rId9" w:history="1">
        <w:r w:rsidR="00B17CA4" w:rsidRPr="00B17CA4">
          <w:rPr>
            <w:rStyle w:val="Hiperligao"/>
            <w:rFonts w:ascii="Times New Roman" w:hAnsi="Times New Roman" w:cs="Times New Roman"/>
          </w:rPr>
          <w:t>Autoridade da Concorrência - Rede Europeia da Concorrência (concorrencia.pt)</w:t>
        </w:r>
      </w:hyperlink>
    </w:p>
  </w:footnote>
  <w:footnote w:id="10">
    <w:p w14:paraId="4980771C" w14:textId="313FE88F" w:rsidR="001837FB" w:rsidRPr="009365F5" w:rsidRDefault="001837FB">
      <w:pPr>
        <w:pStyle w:val="Textodenotaderodap"/>
        <w:rPr>
          <w:rFonts w:ascii="Times New Roman" w:hAnsi="Times New Roman" w:cs="Times New Roman"/>
        </w:rPr>
      </w:pPr>
      <w:r w:rsidRPr="00B17CA4">
        <w:rPr>
          <w:rStyle w:val="Refdenotaderodap"/>
          <w:rFonts w:ascii="Times New Roman" w:hAnsi="Times New Roman" w:cs="Times New Roman"/>
        </w:rPr>
        <w:footnoteRef/>
      </w:r>
      <w:r w:rsidRPr="00B17CA4">
        <w:rPr>
          <w:rFonts w:ascii="Times New Roman" w:hAnsi="Times New Roman" w:cs="Times New Roman"/>
        </w:rPr>
        <w:t xml:space="preserve"> Em </w:t>
      </w:r>
      <w:hyperlink r:id="rId10" w:history="1">
        <w:r w:rsidR="00B17CA4" w:rsidRPr="00B17CA4">
          <w:rPr>
            <w:rStyle w:val="Hiperligao"/>
            <w:rFonts w:ascii="Times New Roman" w:hAnsi="Times New Roman" w:cs="Times New Roman"/>
          </w:rPr>
          <w:t>Visão cronológica - EUR-Lex (europa.eu)</w:t>
        </w:r>
      </w:hyperlink>
    </w:p>
  </w:footnote>
  <w:footnote w:id="11">
    <w:p w14:paraId="7FD52FA6" w14:textId="57279AC4" w:rsidR="00B824AF" w:rsidRPr="009365F5" w:rsidRDefault="00B824AF" w:rsidP="00B824AF">
      <w:pPr>
        <w:jc w:val="both"/>
        <w:rPr>
          <w:sz w:val="20"/>
          <w:szCs w:val="20"/>
        </w:rPr>
      </w:pPr>
      <w:r w:rsidRPr="009365F5">
        <w:rPr>
          <w:rStyle w:val="Refdenotaderodap"/>
          <w:sz w:val="20"/>
          <w:szCs w:val="20"/>
        </w:rPr>
        <w:footnoteRef/>
      </w:r>
      <w:r w:rsidRPr="009365F5">
        <w:rPr>
          <w:sz w:val="20"/>
          <w:szCs w:val="20"/>
        </w:rPr>
        <w:t xml:space="preserve"> Ver em </w:t>
      </w:r>
      <w:hyperlink r:id="rId11" w:history="1">
        <w:r w:rsidRPr="009365F5">
          <w:rPr>
            <w:rStyle w:val="Hiperligao"/>
            <w:sz w:val="20"/>
            <w:szCs w:val="20"/>
          </w:rPr>
          <w:t>https://www.2021portugal.eu/en/porto-social-summit</w:t>
        </w:r>
      </w:hyperlink>
    </w:p>
  </w:footnote>
  <w:footnote w:id="12">
    <w:p w14:paraId="2DB2DEEC" w14:textId="7DEEE7A9" w:rsidR="00B824AF" w:rsidRPr="009365F5" w:rsidRDefault="00B824AF" w:rsidP="00165FE7">
      <w:pPr>
        <w:pStyle w:val="xmsonormal"/>
        <w:rPr>
          <w:rFonts w:ascii="Times New Roman" w:hAnsi="Times New Roman" w:cs="Times New Roman"/>
          <w:sz w:val="20"/>
          <w:szCs w:val="20"/>
        </w:rPr>
      </w:pPr>
      <w:r w:rsidRPr="009365F5">
        <w:rPr>
          <w:rStyle w:val="Refdenotaderodap"/>
          <w:rFonts w:ascii="Times New Roman" w:hAnsi="Times New Roman" w:cs="Times New Roman"/>
          <w:sz w:val="20"/>
          <w:szCs w:val="20"/>
        </w:rPr>
        <w:footnoteRef/>
      </w:r>
      <w:r w:rsidRPr="009365F5">
        <w:rPr>
          <w:rFonts w:ascii="Times New Roman" w:hAnsi="Times New Roman" w:cs="Times New Roman"/>
          <w:sz w:val="20"/>
          <w:szCs w:val="20"/>
        </w:rPr>
        <w:t xml:space="preserve"> A seguir em </w:t>
      </w:r>
      <w:hyperlink r:id="rId12" w:history="1">
        <w:r w:rsidR="00165FE7" w:rsidRPr="009365F5">
          <w:rPr>
            <w:rStyle w:val="Hiperligao"/>
            <w:rFonts w:ascii="Times New Roman" w:hAnsi="Times New Roman" w:cs="Times New Roman"/>
            <w:sz w:val="20"/>
            <w:szCs w:val="20"/>
          </w:rPr>
          <w:t>Dia da Europa | União Europeia</w:t>
        </w:r>
      </w:hyperlink>
    </w:p>
  </w:footnote>
  <w:footnote w:id="13">
    <w:p w14:paraId="1E20F4ED" w14:textId="7EA49641" w:rsidR="00B824AF" w:rsidRPr="009365F5" w:rsidRDefault="00B824AF" w:rsidP="00861190">
      <w:pPr>
        <w:pStyle w:val="xmsonormal"/>
        <w:rPr>
          <w:rFonts w:ascii="Times New Roman" w:hAnsi="Times New Roman" w:cs="Times New Roman"/>
          <w:sz w:val="20"/>
          <w:szCs w:val="20"/>
        </w:rPr>
      </w:pPr>
      <w:r w:rsidRPr="009365F5">
        <w:rPr>
          <w:rStyle w:val="Refdenotaderodap"/>
          <w:rFonts w:ascii="Times New Roman" w:hAnsi="Times New Roman" w:cs="Times New Roman"/>
          <w:sz w:val="20"/>
          <w:szCs w:val="20"/>
        </w:rPr>
        <w:footnoteRef/>
      </w:r>
      <w:r w:rsidRPr="009365F5">
        <w:rPr>
          <w:rFonts w:ascii="Times New Roman" w:hAnsi="Times New Roman" w:cs="Times New Roman"/>
          <w:sz w:val="20"/>
          <w:szCs w:val="20"/>
        </w:rPr>
        <w:t xml:space="preserve"> Ver </w:t>
      </w:r>
      <w:hyperlink r:id="rId13" w:history="1">
        <w:r w:rsidR="00861190" w:rsidRPr="009365F5">
          <w:rPr>
            <w:rStyle w:val="Hiperligao"/>
            <w:rFonts w:ascii="Times New Roman" w:hAnsi="Times New Roman" w:cs="Times New Roman"/>
            <w:sz w:val="20"/>
            <w:szCs w:val="20"/>
          </w:rPr>
          <w:t>Editorial of May 2021 – Official Blog of UNIO</w:t>
        </w:r>
      </w:hyperlink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B362C88"/>
    <w:multiLevelType w:val="multilevel"/>
    <w:tmpl w:val="529EFF7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defaultTabStop w:val="708"/>
  <w:hyphenationZone w:val="425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90ABB"/>
    <w:rsid w:val="00020BC2"/>
    <w:rsid w:val="00022FD6"/>
    <w:rsid w:val="000628AC"/>
    <w:rsid w:val="0009297C"/>
    <w:rsid w:val="000E352B"/>
    <w:rsid w:val="000F4FA8"/>
    <w:rsid w:val="00104FB4"/>
    <w:rsid w:val="00165FE7"/>
    <w:rsid w:val="001837FB"/>
    <w:rsid w:val="001A6057"/>
    <w:rsid w:val="001C478E"/>
    <w:rsid w:val="001E294F"/>
    <w:rsid w:val="001F1738"/>
    <w:rsid w:val="002030EE"/>
    <w:rsid w:val="002040AD"/>
    <w:rsid w:val="00247BAC"/>
    <w:rsid w:val="00253539"/>
    <w:rsid w:val="00282214"/>
    <w:rsid w:val="00284265"/>
    <w:rsid w:val="00294BB7"/>
    <w:rsid w:val="002A1132"/>
    <w:rsid w:val="002B3E3B"/>
    <w:rsid w:val="002D29DD"/>
    <w:rsid w:val="00321E76"/>
    <w:rsid w:val="00324F08"/>
    <w:rsid w:val="00337EDF"/>
    <w:rsid w:val="00361328"/>
    <w:rsid w:val="003F4FD4"/>
    <w:rsid w:val="00403253"/>
    <w:rsid w:val="004158AF"/>
    <w:rsid w:val="004166A8"/>
    <w:rsid w:val="00427449"/>
    <w:rsid w:val="004670A5"/>
    <w:rsid w:val="00493243"/>
    <w:rsid w:val="004A0489"/>
    <w:rsid w:val="004E0BFA"/>
    <w:rsid w:val="00524437"/>
    <w:rsid w:val="005260E7"/>
    <w:rsid w:val="00567E16"/>
    <w:rsid w:val="00585075"/>
    <w:rsid w:val="005A785F"/>
    <w:rsid w:val="005C7065"/>
    <w:rsid w:val="005D4574"/>
    <w:rsid w:val="00620898"/>
    <w:rsid w:val="00646BFB"/>
    <w:rsid w:val="00661049"/>
    <w:rsid w:val="006934EF"/>
    <w:rsid w:val="00695392"/>
    <w:rsid w:val="006A46B1"/>
    <w:rsid w:val="006B0A59"/>
    <w:rsid w:val="006B6D01"/>
    <w:rsid w:val="006E3FB3"/>
    <w:rsid w:val="006F1797"/>
    <w:rsid w:val="006F54D1"/>
    <w:rsid w:val="0071236B"/>
    <w:rsid w:val="00714AF3"/>
    <w:rsid w:val="00775C7C"/>
    <w:rsid w:val="007803B4"/>
    <w:rsid w:val="007843E6"/>
    <w:rsid w:val="007917B1"/>
    <w:rsid w:val="007D21D2"/>
    <w:rsid w:val="007D4009"/>
    <w:rsid w:val="007D4EAE"/>
    <w:rsid w:val="007E411B"/>
    <w:rsid w:val="007E5D69"/>
    <w:rsid w:val="00802CAC"/>
    <w:rsid w:val="00831EBC"/>
    <w:rsid w:val="00843F90"/>
    <w:rsid w:val="00844CE3"/>
    <w:rsid w:val="00861190"/>
    <w:rsid w:val="00872285"/>
    <w:rsid w:val="00896067"/>
    <w:rsid w:val="008A4811"/>
    <w:rsid w:val="008B4D02"/>
    <w:rsid w:val="008C0831"/>
    <w:rsid w:val="008D2A9C"/>
    <w:rsid w:val="008E7FFE"/>
    <w:rsid w:val="00915F4D"/>
    <w:rsid w:val="0092674C"/>
    <w:rsid w:val="009365F5"/>
    <w:rsid w:val="00966F9D"/>
    <w:rsid w:val="009911CA"/>
    <w:rsid w:val="009C57B3"/>
    <w:rsid w:val="009D49D7"/>
    <w:rsid w:val="009E4724"/>
    <w:rsid w:val="00A0251C"/>
    <w:rsid w:val="00A05FB3"/>
    <w:rsid w:val="00A228F5"/>
    <w:rsid w:val="00A57059"/>
    <w:rsid w:val="00A57A44"/>
    <w:rsid w:val="00A77398"/>
    <w:rsid w:val="00A96664"/>
    <w:rsid w:val="00AA606F"/>
    <w:rsid w:val="00AA7D83"/>
    <w:rsid w:val="00AB1B50"/>
    <w:rsid w:val="00AC5DD2"/>
    <w:rsid w:val="00AD2FF1"/>
    <w:rsid w:val="00B17CA4"/>
    <w:rsid w:val="00B35984"/>
    <w:rsid w:val="00B369C7"/>
    <w:rsid w:val="00B70323"/>
    <w:rsid w:val="00B824AF"/>
    <w:rsid w:val="00B82FEC"/>
    <w:rsid w:val="00B95D2F"/>
    <w:rsid w:val="00BC5C96"/>
    <w:rsid w:val="00BD743C"/>
    <w:rsid w:val="00BE1BE9"/>
    <w:rsid w:val="00C000BB"/>
    <w:rsid w:val="00C10E5E"/>
    <w:rsid w:val="00C232E7"/>
    <w:rsid w:val="00C568A6"/>
    <w:rsid w:val="00C608BA"/>
    <w:rsid w:val="00C90B8F"/>
    <w:rsid w:val="00CA1061"/>
    <w:rsid w:val="00CB6DF3"/>
    <w:rsid w:val="00D0218D"/>
    <w:rsid w:val="00D51F58"/>
    <w:rsid w:val="00D657AE"/>
    <w:rsid w:val="00D66E60"/>
    <w:rsid w:val="00DC2598"/>
    <w:rsid w:val="00DD40CA"/>
    <w:rsid w:val="00DE1035"/>
    <w:rsid w:val="00DF1FA9"/>
    <w:rsid w:val="00E03059"/>
    <w:rsid w:val="00E04717"/>
    <w:rsid w:val="00E93BEC"/>
    <w:rsid w:val="00ED6672"/>
    <w:rsid w:val="00EE43C0"/>
    <w:rsid w:val="00F34F7C"/>
    <w:rsid w:val="00F64129"/>
    <w:rsid w:val="00F90ABB"/>
    <w:rsid w:val="00FA3EA5"/>
    <w:rsid w:val="00FD76B8"/>
    <w:rsid w:val="00FE35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291379E4"/>
  <w15:docId w15:val="{28BE437D-2ABB-4453-B82D-A6F9BA24028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pt-PT" w:eastAsia="pt-PT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qFormat="1"/>
    <w:lsdException w:name="heading 3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/>
    <w:lsdException w:name="annotation text" w:semiHidden="1" w:unhideWhenUsed="1"/>
    <w:lsdException w:name="header" w:semiHidden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F90ABB"/>
    <w:rPr>
      <w:rFonts w:ascii="Times New Roman" w:eastAsia="Times New Roman" w:hAnsi="Times New Roman"/>
      <w:sz w:val="24"/>
      <w:szCs w:val="24"/>
    </w:rPr>
  </w:style>
  <w:style w:type="paragraph" w:styleId="Ttulo1">
    <w:name w:val="heading 1"/>
    <w:basedOn w:val="Normal"/>
    <w:next w:val="Normal"/>
    <w:link w:val="Ttulo1Carter"/>
    <w:uiPriority w:val="9"/>
    <w:qFormat/>
    <w:rsid w:val="00DD40CA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Ttulo2">
    <w:name w:val="heading 2"/>
    <w:basedOn w:val="Normal"/>
    <w:next w:val="Normal"/>
    <w:link w:val="Ttulo2Carter"/>
    <w:uiPriority w:val="99"/>
    <w:qFormat/>
    <w:rsid w:val="002040AD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Ttulo3">
    <w:name w:val="heading 3"/>
    <w:basedOn w:val="Normal"/>
    <w:next w:val="Normal"/>
    <w:link w:val="Ttulo3Carter"/>
    <w:uiPriority w:val="99"/>
    <w:qFormat/>
    <w:rsid w:val="0071236B"/>
    <w:pPr>
      <w:keepNext/>
      <w:keepLines/>
      <w:spacing w:before="40" w:line="276" w:lineRule="auto"/>
      <w:outlineLvl w:val="2"/>
    </w:pPr>
    <w:rPr>
      <w:rFonts w:ascii="Calibri Light" w:hAnsi="Calibri Light" w:cs="Calibri Light"/>
      <w:color w:val="1F4D78"/>
      <w:lang w:eastAsia="en-US"/>
    </w:rPr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2Carter">
    <w:name w:val="Título 2 Caráter"/>
    <w:link w:val="Ttulo2"/>
    <w:uiPriority w:val="9"/>
    <w:semiHidden/>
    <w:rsid w:val="002C05A3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Ttulo3Carter">
    <w:name w:val="Título 3 Caráter"/>
    <w:link w:val="Ttulo3"/>
    <w:uiPriority w:val="99"/>
    <w:semiHidden/>
    <w:rsid w:val="0071236B"/>
    <w:rPr>
      <w:rFonts w:ascii="Calibri Light" w:hAnsi="Calibri Light" w:cs="Calibri Light"/>
      <w:color w:val="1F4D78"/>
      <w:sz w:val="24"/>
      <w:szCs w:val="24"/>
    </w:rPr>
  </w:style>
  <w:style w:type="paragraph" w:customStyle="1" w:styleId="font8">
    <w:name w:val="font_8"/>
    <w:basedOn w:val="Normal"/>
    <w:uiPriority w:val="99"/>
    <w:rsid w:val="00282214"/>
    <w:pPr>
      <w:spacing w:before="100" w:beforeAutospacing="1" w:after="100" w:afterAutospacing="1"/>
    </w:pPr>
  </w:style>
  <w:style w:type="character" w:styleId="Hiperligao">
    <w:name w:val="Hyperlink"/>
    <w:rsid w:val="0071236B"/>
    <w:rPr>
      <w:color w:val="0000FF"/>
      <w:u w:val="single"/>
    </w:rPr>
  </w:style>
  <w:style w:type="paragraph" w:customStyle="1" w:styleId="Default">
    <w:name w:val="Default"/>
    <w:rsid w:val="0071236B"/>
    <w:pPr>
      <w:autoSpaceDE w:val="0"/>
      <w:autoSpaceDN w:val="0"/>
      <w:adjustRightInd w:val="0"/>
    </w:pPr>
    <w:rPr>
      <w:rFonts w:ascii="EUAlbertina" w:eastAsia="Times New Roman" w:hAnsi="EUAlbertina" w:cs="EUAlbertina"/>
      <w:color w:val="000000"/>
      <w:sz w:val="24"/>
      <w:szCs w:val="24"/>
    </w:rPr>
  </w:style>
  <w:style w:type="paragraph" w:styleId="Cabealho">
    <w:name w:val="header"/>
    <w:basedOn w:val="Normal"/>
    <w:link w:val="CabealhoCarter"/>
    <w:uiPriority w:val="99"/>
    <w:rsid w:val="0071236B"/>
    <w:pPr>
      <w:tabs>
        <w:tab w:val="center" w:pos="4252"/>
        <w:tab w:val="right" w:pos="8504"/>
      </w:tabs>
    </w:pPr>
    <w:rPr>
      <w:rFonts w:ascii="Calibri" w:eastAsia="Calibri" w:hAnsi="Calibri" w:cs="Calibri"/>
      <w:sz w:val="22"/>
      <w:szCs w:val="22"/>
      <w:lang w:eastAsia="en-US"/>
    </w:rPr>
  </w:style>
  <w:style w:type="character" w:customStyle="1" w:styleId="CabealhoCarter">
    <w:name w:val="Cabeçalho Caráter"/>
    <w:link w:val="Cabealho"/>
    <w:uiPriority w:val="99"/>
    <w:rsid w:val="0071236B"/>
    <w:rPr>
      <w:rFonts w:ascii="Calibri" w:hAnsi="Calibri" w:cs="Calibri"/>
    </w:rPr>
  </w:style>
  <w:style w:type="paragraph" w:styleId="Textodenotaderodap">
    <w:name w:val="footnote text"/>
    <w:basedOn w:val="Normal"/>
    <w:link w:val="TextodenotaderodapCarter"/>
    <w:rsid w:val="00A96664"/>
    <w:rPr>
      <w:rFonts w:ascii="Arial" w:hAnsi="Arial" w:cs="Arial"/>
      <w:sz w:val="20"/>
      <w:szCs w:val="20"/>
      <w:lang w:eastAsia="en-US"/>
    </w:rPr>
  </w:style>
  <w:style w:type="character" w:customStyle="1" w:styleId="TextodenotaderodapCarter">
    <w:name w:val="Texto de nota de rodapé Caráter"/>
    <w:link w:val="Textodenotaderodap"/>
    <w:rsid w:val="00A96664"/>
    <w:rPr>
      <w:rFonts w:ascii="Arial" w:hAnsi="Arial" w:cs="Arial"/>
      <w:sz w:val="20"/>
      <w:szCs w:val="20"/>
    </w:rPr>
  </w:style>
  <w:style w:type="character" w:styleId="Forte">
    <w:name w:val="Strong"/>
    <w:uiPriority w:val="22"/>
    <w:qFormat/>
    <w:rsid w:val="00337EDF"/>
    <w:rPr>
      <w:b/>
      <w:bCs/>
    </w:rPr>
  </w:style>
  <w:style w:type="character" w:customStyle="1" w:styleId="MenoNoResolvida1">
    <w:name w:val="Menção Não Resolvida1"/>
    <w:basedOn w:val="Tipodeletrapredefinidodopargrafo"/>
    <w:uiPriority w:val="99"/>
    <w:semiHidden/>
    <w:unhideWhenUsed/>
    <w:rsid w:val="00FE35F1"/>
    <w:rPr>
      <w:color w:val="605E5C"/>
      <w:shd w:val="clear" w:color="auto" w:fill="E1DFDD"/>
    </w:rPr>
  </w:style>
  <w:style w:type="character" w:styleId="Refdenotaderodap">
    <w:name w:val="footnote reference"/>
    <w:rsid w:val="007D4EAE"/>
    <w:rPr>
      <w:vertAlign w:val="superscript"/>
    </w:rPr>
  </w:style>
  <w:style w:type="character" w:styleId="Refdecomentrio">
    <w:name w:val="annotation reference"/>
    <w:basedOn w:val="Tipodeletrapredefinidodopargrafo"/>
    <w:uiPriority w:val="99"/>
    <w:semiHidden/>
    <w:unhideWhenUsed/>
    <w:rsid w:val="00646BFB"/>
    <w:rPr>
      <w:sz w:val="16"/>
      <w:szCs w:val="16"/>
    </w:rPr>
  </w:style>
  <w:style w:type="paragraph" w:styleId="Textodecomentrio">
    <w:name w:val="annotation text"/>
    <w:basedOn w:val="Normal"/>
    <w:link w:val="TextodecomentrioCarter"/>
    <w:uiPriority w:val="99"/>
    <w:semiHidden/>
    <w:unhideWhenUsed/>
    <w:rsid w:val="00646BFB"/>
    <w:rPr>
      <w:sz w:val="20"/>
      <w:szCs w:val="20"/>
    </w:rPr>
  </w:style>
  <w:style w:type="character" w:customStyle="1" w:styleId="TextodecomentrioCarter">
    <w:name w:val="Texto de comentário Caráter"/>
    <w:basedOn w:val="Tipodeletrapredefinidodopargrafo"/>
    <w:link w:val="Textodecomentrio"/>
    <w:uiPriority w:val="99"/>
    <w:semiHidden/>
    <w:rsid w:val="00646BFB"/>
    <w:rPr>
      <w:rFonts w:ascii="Times New Roman" w:eastAsia="Times New Roman" w:hAnsi="Times New Roman"/>
    </w:rPr>
  </w:style>
  <w:style w:type="paragraph" w:styleId="Assuntodecomentrio">
    <w:name w:val="annotation subject"/>
    <w:basedOn w:val="Textodecomentrio"/>
    <w:next w:val="Textodecomentrio"/>
    <w:link w:val="AssuntodecomentrioCarter"/>
    <w:uiPriority w:val="99"/>
    <w:semiHidden/>
    <w:unhideWhenUsed/>
    <w:rsid w:val="00646BFB"/>
    <w:rPr>
      <w:b/>
      <w:bCs/>
    </w:rPr>
  </w:style>
  <w:style w:type="character" w:customStyle="1" w:styleId="AssuntodecomentrioCarter">
    <w:name w:val="Assunto de comentário Caráter"/>
    <w:basedOn w:val="TextodecomentrioCarter"/>
    <w:link w:val="Assuntodecomentrio"/>
    <w:uiPriority w:val="99"/>
    <w:semiHidden/>
    <w:rsid w:val="00646BFB"/>
    <w:rPr>
      <w:rFonts w:ascii="Times New Roman" w:eastAsia="Times New Roman" w:hAnsi="Times New Roman"/>
      <w:b/>
      <w:bCs/>
    </w:rPr>
  </w:style>
  <w:style w:type="paragraph" w:styleId="Textodebalo">
    <w:name w:val="Balloon Text"/>
    <w:basedOn w:val="Normal"/>
    <w:link w:val="TextodebaloCarter"/>
    <w:uiPriority w:val="99"/>
    <w:semiHidden/>
    <w:unhideWhenUsed/>
    <w:rsid w:val="00646BFB"/>
    <w:rPr>
      <w:rFonts w:ascii="Segoe UI" w:hAnsi="Segoe UI" w:cs="Segoe UI"/>
      <w:sz w:val="18"/>
      <w:szCs w:val="18"/>
    </w:rPr>
  </w:style>
  <w:style w:type="character" w:customStyle="1" w:styleId="TextodebaloCarter">
    <w:name w:val="Texto de balão Caráter"/>
    <w:basedOn w:val="Tipodeletrapredefinidodopargrafo"/>
    <w:link w:val="Textodebalo"/>
    <w:uiPriority w:val="99"/>
    <w:semiHidden/>
    <w:rsid w:val="00646BFB"/>
    <w:rPr>
      <w:rFonts w:ascii="Segoe UI" w:eastAsia="Times New Roman" w:hAnsi="Segoe UI" w:cs="Segoe UI"/>
      <w:sz w:val="18"/>
      <w:szCs w:val="18"/>
    </w:rPr>
  </w:style>
  <w:style w:type="character" w:customStyle="1" w:styleId="MenoNoResolvida2">
    <w:name w:val="Menção Não Resolvida2"/>
    <w:basedOn w:val="Tipodeletrapredefinidodopargrafo"/>
    <w:uiPriority w:val="99"/>
    <w:semiHidden/>
    <w:unhideWhenUsed/>
    <w:rsid w:val="00620898"/>
    <w:rPr>
      <w:color w:val="605E5C"/>
      <w:shd w:val="clear" w:color="auto" w:fill="E1DFDD"/>
    </w:rPr>
  </w:style>
  <w:style w:type="character" w:customStyle="1" w:styleId="Ttulo1Carter">
    <w:name w:val="Título 1 Caráter"/>
    <w:basedOn w:val="Tipodeletrapredefinidodopargrafo"/>
    <w:link w:val="Ttulo1"/>
    <w:uiPriority w:val="9"/>
    <w:rsid w:val="00DD40CA"/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character" w:styleId="MenoNoResolvida">
    <w:name w:val="Unresolved Mention"/>
    <w:basedOn w:val="Tipodeletrapredefinidodopargrafo"/>
    <w:uiPriority w:val="99"/>
    <w:semiHidden/>
    <w:unhideWhenUsed/>
    <w:rsid w:val="00104FB4"/>
    <w:rPr>
      <w:color w:val="605E5C"/>
      <w:shd w:val="clear" w:color="auto" w:fill="E1DFDD"/>
    </w:rPr>
  </w:style>
  <w:style w:type="paragraph" w:customStyle="1" w:styleId="xmsonormal">
    <w:name w:val="x_msonormal"/>
    <w:basedOn w:val="Normal"/>
    <w:rsid w:val="00861190"/>
    <w:rPr>
      <w:rFonts w:ascii="Calibri" w:eastAsiaTheme="minorHAnsi" w:hAnsi="Calibri" w:cs="Calibri"/>
      <w:sz w:val="22"/>
      <w:szCs w:val="22"/>
    </w:rPr>
  </w:style>
  <w:style w:type="paragraph" w:styleId="Rodap">
    <w:name w:val="footer"/>
    <w:basedOn w:val="Normal"/>
    <w:link w:val="RodapCarter"/>
    <w:uiPriority w:val="99"/>
    <w:unhideWhenUsed/>
    <w:rsid w:val="009365F5"/>
    <w:pPr>
      <w:tabs>
        <w:tab w:val="center" w:pos="4252"/>
        <w:tab w:val="right" w:pos="8504"/>
      </w:tabs>
    </w:pPr>
  </w:style>
  <w:style w:type="character" w:customStyle="1" w:styleId="RodapCarter">
    <w:name w:val="Rodapé Caráter"/>
    <w:basedOn w:val="Tipodeletrapredefinidodopargrafo"/>
    <w:link w:val="Rodap"/>
    <w:uiPriority w:val="99"/>
    <w:rsid w:val="009365F5"/>
    <w:rPr>
      <w:rFonts w:ascii="Times New Roman" w:eastAsia="Times New Roman" w:hAnsi="Times New Roman"/>
      <w:sz w:val="24"/>
      <w:szCs w:val="24"/>
    </w:rPr>
  </w:style>
  <w:style w:type="paragraph" w:customStyle="1" w:styleId="doc-ti">
    <w:name w:val="doc-ti"/>
    <w:basedOn w:val="Normal"/>
    <w:rsid w:val="009365F5"/>
    <w:pPr>
      <w:spacing w:before="100" w:beforeAutospacing="1" w:after="100" w:afterAutospacing="1"/>
    </w:pPr>
  </w:style>
  <w:style w:type="paragraph" w:styleId="NormalWeb">
    <w:name w:val="Normal (Web)"/>
    <w:basedOn w:val="Normal"/>
    <w:uiPriority w:val="99"/>
    <w:unhideWhenUsed/>
    <w:rsid w:val="00A05FB3"/>
    <w:pPr>
      <w:spacing w:before="100" w:beforeAutospacing="1" w:after="100" w:afterAutospacing="1"/>
    </w:pPr>
  </w:style>
  <w:style w:type="character" w:styleId="nfase">
    <w:name w:val="Emphasis"/>
    <w:basedOn w:val="Tipodeletrapredefinidodopargrafo"/>
    <w:uiPriority w:val="20"/>
    <w:qFormat/>
    <w:rsid w:val="00A05FB3"/>
    <w:rPr>
      <w:i/>
      <w:iCs/>
    </w:rPr>
  </w:style>
  <w:style w:type="paragraph" w:styleId="Textosimples">
    <w:name w:val="Plain Text"/>
    <w:basedOn w:val="Normal"/>
    <w:link w:val="TextosimplesCarter"/>
    <w:uiPriority w:val="99"/>
    <w:unhideWhenUsed/>
    <w:rsid w:val="003F4FD4"/>
    <w:rPr>
      <w:rFonts w:ascii="Calibri" w:eastAsiaTheme="minorHAnsi" w:hAnsi="Calibri" w:cstheme="minorBidi"/>
      <w:sz w:val="22"/>
      <w:szCs w:val="21"/>
      <w:lang w:eastAsia="en-US"/>
    </w:rPr>
  </w:style>
  <w:style w:type="character" w:customStyle="1" w:styleId="TextosimplesCarter">
    <w:name w:val="Texto simples Caráter"/>
    <w:basedOn w:val="Tipodeletrapredefinidodopargrafo"/>
    <w:link w:val="Textosimples"/>
    <w:uiPriority w:val="99"/>
    <w:rsid w:val="003F4FD4"/>
    <w:rPr>
      <w:rFonts w:eastAsiaTheme="minorHAnsi" w:cstheme="minorBidi"/>
      <w:sz w:val="22"/>
      <w:szCs w:val="21"/>
      <w:lang w:eastAsia="en-US"/>
    </w:rPr>
  </w:style>
  <w:style w:type="paragraph" w:styleId="Ttulo">
    <w:name w:val="Title"/>
    <w:basedOn w:val="Normal"/>
    <w:link w:val="TtuloCarter"/>
    <w:uiPriority w:val="10"/>
    <w:qFormat/>
    <w:rsid w:val="005260E7"/>
    <w:pPr>
      <w:jc w:val="center"/>
    </w:pPr>
    <w:rPr>
      <w:b/>
      <w:sz w:val="28"/>
    </w:rPr>
  </w:style>
  <w:style w:type="character" w:customStyle="1" w:styleId="TtuloCarter">
    <w:name w:val="Título Caráter"/>
    <w:basedOn w:val="Tipodeletrapredefinidodopargrafo"/>
    <w:link w:val="Ttulo"/>
    <w:uiPriority w:val="10"/>
    <w:rsid w:val="005260E7"/>
    <w:rPr>
      <w:rFonts w:ascii="Times New Roman" w:eastAsia="Times New Roman" w:hAnsi="Times New Roman"/>
      <w:b/>
      <w:sz w:val="28"/>
      <w:szCs w:val="24"/>
    </w:rPr>
  </w:style>
  <w:style w:type="paragraph" w:styleId="Corpodetexto">
    <w:name w:val="Body Text"/>
    <w:basedOn w:val="Normal"/>
    <w:link w:val="CorpodetextoCarter"/>
    <w:uiPriority w:val="99"/>
    <w:rsid w:val="007803B4"/>
    <w:pPr>
      <w:spacing w:after="120" w:line="276" w:lineRule="auto"/>
    </w:pPr>
    <w:rPr>
      <w:rFonts w:ascii="Calibri" w:eastAsia="Calibri" w:hAnsi="Calibri"/>
      <w:sz w:val="22"/>
      <w:szCs w:val="22"/>
      <w:lang w:eastAsia="en-US"/>
    </w:rPr>
  </w:style>
  <w:style w:type="character" w:customStyle="1" w:styleId="CorpodetextoCarter">
    <w:name w:val="Corpo de texto Caráter"/>
    <w:basedOn w:val="Tipodeletrapredefinidodopargrafo"/>
    <w:link w:val="Corpodetexto"/>
    <w:uiPriority w:val="99"/>
    <w:rsid w:val="007803B4"/>
    <w:rPr>
      <w:sz w:val="22"/>
      <w:szCs w:val="22"/>
      <w:lang w:eastAsia="en-US"/>
    </w:rPr>
  </w:style>
  <w:style w:type="character" w:customStyle="1" w:styleId="dados1">
    <w:name w:val="dados1"/>
    <w:uiPriority w:val="99"/>
    <w:rsid w:val="007803B4"/>
    <w:rPr>
      <w:rFonts w:ascii="Verdana" w:hAnsi="Verdana" w:hint="default"/>
      <w:color w:val="000000"/>
    </w:rPr>
  </w:style>
  <w:style w:type="character" w:customStyle="1" w:styleId="text">
    <w:name w:val="text"/>
    <w:basedOn w:val="Tipodeletrapredefinidodopargrafo"/>
    <w:rsid w:val="004166A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35925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09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97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617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784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238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227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7134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877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yperlink" Target="https://www.almedina.net/li-es-de-direito-da-concorr-ncia-1563799109.html" TargetMode="External"/><Relationship Id="rId18" Type="http://schemas.openxmlformats.org/officeDocument/2006/relationships/hyperlink" Target="https://eur-lex.europa.eu/legal-content/PT/TXT/PDF/?uri=CELEX:02011L0083-20180701&amp;from=EN" TargetMode="External"/><Relationship Id="rId3" Type="http://schemas.openxmlformats.org/officeDocument/2006/relationships/styles" Target="styles.xml"/><Relationship Id="rId21" Type="http://schemas.openxmlformats.org/officeDocument/2006/relationships/hyperlink" Target="https://dre.pt/web/guest/legislacao-consolidada/-/lc/73177387/201710130343/exportPdf/normal/1/cacheLevelPage?_LegislacaoConsolidada_WAR_drefrontofficeportlet_rp=indice" TargetMode="External"/><Relationship Id="rId7" Type="http://schemas.openxmlformats.org/officeDocument/2006/relationships/endnotes" Target="endnotes.xml"/><Relationship Id="rId12" Type="http://schemas.openxmlformats.org/officeDocument/2006/relationships/hyperlink" Target="https://www.almedina.net/direito-da-uni-o-europeia-1563802002.html" TargetMode="External"/><Relationship Id="rId17" Type="http://schemas.openxmlformats.org/officeDocument/2006/relationships/hyperlink" Target="https://eur-lex.europa.eu/legal-content/EN/TXT/PDF/?uri=CELEX:52021DC0118&amp;from=en" TargetMode="External"/><Relationship Id="rId25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hyperlink" Target="https://eur-lex.europa.eu/legal-content/PT/TXT/PDF/?uri=CELEX:52020DC0302&amp;rid=1" TargetMode="External"/><Relationship Id="rId20" Type="http://schemas.openxmlformats.org/officeDocument/2006/relationships/hyperlink" Target="https://eur-lex.europa.eu/legal-content/PT/TXT/PDF/?uri=CELEX:32000L0031&amp;qid=1619621844629&amp;from=PT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silabas-e-desafios.pt/produto/direito-da-concorrencia-os-poderes-de-investigacao-e-sancao-da-comissao-europeia/" TargetMode="External"/><Relationship Id="rId24" Type="http://schemas.openxmlformats.org/officeDocument/2006/relationships/fontTable" Target="fontTable.xml"/><Relationship Id="rId5" Type="http://schemas.openxmlformats.org/officeDocument/2006/relationships/webSettings" Target="webSettings.xml"/><Relationship Id="rId15" Type="http://schemas.openxmlformats.org/officeDocument/2006/relationships/hyperlink" Target="https://www.almedina.net/lei-da-concorr-ncia-coment-rio-conimbricense-1563803374.html" TargetMode="External"/><Relationship Id="rId23" Type="http://schemas.openxmlformats.org/officeDocument/2006/relationships/footer" Target="footer1.xml"/><Relationship Id="rId10" Type="http://schemas.openxmlformats.org/officeDocument/2006/relationships/hyperlink" Target="mailto:fmnr@upt.pt" TargetMode="External"/><Relationship Id="rId19" Type="http://schemas.openxmlformats.org/officeDocument/2006/relationships/hyperlink" Target="https://eur-lex.europa.eu/legal-content/PT/TXT/PDF/?uri=CELEX:02002L0065-20180113&amp;from=EN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dra@upt.pt" TargetMode="External"/><Relationship Id="rId14" Type="http://schemas.openxmlformats.org/officeDocument/2006/relationships/hyperlink" Target="https://www.almedina.net/teoria-da-integra-o-e-pol-ticas-da-uni-o-europeia-face-aos-desafios-da-globaliza-o-1563802673.html" TargetMode="External"/><Relationship Id="rId22" Type="http://schemas.openxmlformats.org/officeDocument/2006/relationships/hyperlink" Target="https://eur-lex.europa.eu/legal-content/PT/TXT/PDF/?uri=CELEX:32020L1828&amp;from=PT" TargetMode="External"/></Relationships>
</file>

<file path=word/_rels/footnotes.xml.rels><?xml version="1.0" encoding="UTF-8" standalone="yes"?>
<Relationships xmlns="http://schemas.openxmlformats.org/package/2006/relationships"><Relationship Id="rId8" Type="http://schemas.openxmlformats.org/officeDocument/2006/relationships/hyperlink" Target="http://www.concorrencia.pt/vPT/Paginas/HomeAdC.aspx" TargetMode="External"/><Relationship Id="rId13" Type="http://schemas.openxmlformats.org/officeDocument/2006/relationships/hyperlink" Target="https://officialblogofunio.com/2021/05/06/editorial-of-may-2021/" TargetMode="External"/><Relationship Id="rId3" Type="http://schemas.openxmlformats.org/officeDocument/2006/relationships/hyperlink" Target="http://www.pgdlisboa.pt/leis/lei_mostra_articulado.php?nid=1705&amp;tabela=leis" TargetMode="External"/><Relationship Id="rId7" Type="http://schemas.openxmlformats.org/officeDocument/2006/relationships/hyperlink" Target="https://ec.europa.eu/dgs/competition/index_pt.htm" TargetMode="External"/><Relationship Id="rId12" Type="http://schemas.openxmlformats.org/officeDocument/2006/relationships/hyperlink" Target="https://europa.eu/european-union/about-eu/symbols/europe-day_pt" TargetMode="External"/><Relationship Id="rId2" Type="http://schemas.openxmlformats.org/officeDocument/2006/relationships/hyperlink" Target="https://eur-lex.europa.eu/collection/eu-law/treaties/treaties-force.html" TargetMode="External"/><Relationship Id="rId1" Type="http://schemas.openxmlformats.org/officeDocument/2006/relationships/hyperlink" Target="https://eur-lex.europa.eu/collection/eu-law/treaties/treaties-force.html" TargetMode="External"/><Relationship Id="rId6" Type="http://schemas.openxmlformats.org/officeDocument/2006/relationships/hyperlink" Target="https://eur-lex.europa.eu/summary/glossary/treaties_revision.html" TargetMode="External"/><Relationship Id="rId11" Type="http://schemas.openxmlformats.org/officeDocument/2006/relationships/hyperlink" Target="https://www.2021portugal.eu/en/porto-social-summit" TargetMode="External"/><Relationship Id="rId5" Type="http://schemas.openxmlformats.org/officeDocument/2006/relationships/hyperlink" Target="https://www.europarl.europa.eu/factsheets/pt/sheet/82/a-politica-de-concorrencia" TargetMode="External"/><Relationship Id="rId10" Type="http://schemas.openxmlformats.org/officeDocument/2006/relationships/hyperlink" Target="https://eur-lex.europa.eu/collection/eu-law/treaties/treaties-overview.html" TargetMode="External"/><Relationship Id="rId4" Type="http://schemas.openxmlformats.org/officeDocument/2006/relationships/hyperlink" Target="https://eur-lex.europa.eu/legal-content/PT/TXT/PDF/?uri=CELEX:02003R0001-20090701&amp;qid=1601459046104&amp;from=PT" TargetMode="External"/><Relationship Id="rId9" Type="http://schemas.openxmlformats.org/officeDocument/2006/relationships/hyperlink" Target="http://www.concorrencia.pt/vPT/Sistemas_da_Concorrencia/Sistema_Europeu_da_Concorrencia/Rede_Europeia_da_Concorrencia_ECN/Paginas/Rede-Europeia-da-Concorrencia-ECN.asp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F242A90-48E7-4E65-B9ED-260906744CA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1385</Words>
  <Characters>7481</Characters>
  <Application>Microsoft Office Word</Application>
  <DocSecurity>0</DocSecurity>
  <Lines>62</Lines>
  <Paragraphs>17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II Congreso Internacional Comunicación y Pensamiento</vt:lpstr>
    </vt:vector>
  </TitlesOfParts>
  <Company/>
  <LinksUpToDate>false</LinksUpToDate>
  <CharactersWithSpaces>8849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II Congreso Internacional Comunicación y Pensamiento</dc:title>
  <dc:subject/>
  <dc:creator>Maria Manuela Dias Marques Magalhaes Silva</dc:creator>
  <cp:keywords/>
  <dc:description/>
  <cp:lastModifiedBy>Filipa FM. Marinho</cp:lastModifiedBy>
  <cp:revision>2</cp:revision>
  <dcterms:created xsi:type="dcterms:W3CDTF">2022-02-21T09:36:00Z</dcterms:created>
  <dcterms:modified xsi:type="dcterms:W3CDTF">2022-02-21T09:36:00Z</dcterms:modified>
</cp:coreProperties>
</file>