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7C286E" w14:textId="170FF954" w:rsidR="006E3ADD" w:rsidRPr="00EB04E2" w:rsidRDefault="00786BB0" w:rsidP="00786BB0">
      <w:pPr>
        <w:spacing w:line="240" w:lineRule="auto"/>
        <w:ind w:left="-1418" w:firstLine="0"/>
        <w:jc w:val="center"/>
        <w:rPr>
          <w:b/>
          <w:bCs/>
          <w:sz w:val="24"/>
        </w:rPr>
      </w:pPr>
      <w:r>
        <w:rPr>
          <w:noProof/>
          <w14:ligatures w14:val="standardContextual"/>
        </w:rPr>
        <w:drawing>
          <wp:inline distT="0" distB="0" distL="0" distR="0" wp14:anchorId="5ADCC044" wp14:editId="4CC6B929">
            <wp:extent cx="7248567" cy="2990850"/>
            <wp:effectExtent l="0" t="0" r="9525" b="0"/>
            <wp:docPr id="1588516516" name="Imagem 1" descr="Uma imagem com texto, captura de ecrã, software, Ícone de computador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8516516" name="Imagem 1" descr="Uma imagem com texto, captura de ecrã, software, Ícone de computador&#10;&#10;Descrição gerada automaticamente"/>
                    <pic:cNvPicPr/>
                  </pic:nvPicPr>
                  <pic:blipFill rotWithShape="1">
                    <a:blip r:embed="rId8"/>
                    <a:srcRect t="21608" r="2105" b="27900"/>
                    <a:stretch/>
                  </pic:blipFill>
                  <pic:spPr bwMode="auto">
                    <a:xfrm>
                      <a:off x="0" y="0"/>
                      <a:ext cx="7252657" cy="29925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BEFADF" w14:textId="77777777" w:rsidR="00AF6F0C" w:rsidRDefault="00AF6F0C" w:rsidP="006E3ADD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</w:p>
    <w:p w14:paraId="16FF0339" w14:textId="77777777" w:rsidR="00AB790C" w:rsidRPr="00AB790C" w:rsidRDefault="00AB790C" w:rsidP="00AB790C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  <w:r w:rsidRPr="00AB790C">
        <w:rPr>
          <w:rFonts w:cs="Arial"/>
          <w:b/>
          <w:bCs/>
          <w:color w:val="000000" w:themeColor="text1"/>
          <w:shd w:val="clear" w:color="auto" w:fill="FFFFFF"/>
        </w:rPr>
        <w:t>CONVENÇÃO DE ISTAMBUL</w:t>
      </w:r>
    </w:p>
    <w:p w14:paraId="502B6ED9" w14:textId="77777777" w:rsidR="00AB790C" w:rsidRPr="00AB790C" w:rsidRDefault="00AB790C" w:rsidP="00AB790C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  <w:r w:rsidRPr="00AB790C">
        <w:rPr>
          <w:rFonts w:cs="Arial"/>
          <w:b/>
          <w:bCs/>
          <w:color w:val="000000" w:themeColor="text1"/>
          <w:shd w:val="clear" w:color="auto" w:fill="FFFFFF"/>
        </w:rPr>
        <w:t>10 ANOS FORTALECENDO COMPROMISSOS</w:t>
      </w:r>
    </w:p>
    <w:p w14:paraId="301ECAB1" w14:textId="76D2D110" w:rsidR="00AB790C" w:rsidRPr="00AB790C" w:rsidRDefault="00AB790C" w:rsidP="00AB790C">
      <w:pPr>
        <w:spacing w:line="240" w:lineRule="auto"/>
        <w:ind w:firstLine="0"/>
        <w:jc w:val="center"/>
        <w:rPr>
          <w:rFonts w:cs="Arial"/>
          <w:color w:val="000000" w:themeColor="text1"/>
          <w:sz w:val="20"/>
          <w:szCs w:val="20"/>
          <w:shd w:val="clear" w:color="auto" w:fill="FFFFFF"/>
        </w:rPr>
      </w:pPr>
      <w:hyperlink r:id="rId9" w:history="1">
        <w:r w:rsidRPr="00AB790C">
          <w:rPr>
            <w:rStyle w:val="Hiperligao"/>
            <w:rFonts w:cs="Arial"/>
            <w:sz w:val="20"/>
            <w:szCs w:val="20"/>
            <w:shd w:val="clear" w:color="auto" w:fill="FFFFFF"/>
          </w:rPr>
          <w:t>https://apmj.pt/ci10anos</w:t>
        </w:r>
      </w:hyperlink>
      <w:r w:rsidRPr="00AB790C">
        <w:rPr>
          <w:rFonts w:cs="Arial"/>
          <w:color w:val="000000" w:themeColor="text1"/>
          <w:sz w:val="20"/>
          <w:szCs w:val="20"/>
          <w:shd w:val="clear" w:color="auto" w:fill="FFFFFF"/>
        </w:rPr>
        <w:t xml:space="preserve"> </w:t>
      </w:r>
    </w:p>
    <w:p w14:paraId="4B3441DA" w14:textId="5ED1C27B" w:rsidR="00AB790C" w:rsidRPr="00AB790C" w:rsidRDefault="00AB790C" w:rsidP="00AB790C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  <w:r w:rsidRPr="00AB790C">
        <w:rPr>
          <w:rFonts w:cs="Arial"/>
          <w:b/>
          <w:bCs/>
          <w:color w:val="000000" w:themeColor="text1"/>
          <w:shd w:val="clear" w:color="auto" w:fill="FFFFFF"/>
        </w:rPr>
        <w:t>Faculdade de Direito da Universidade de Lisboa</w:t>
      </w:r>
    </w:p>
    <w:p w14:paraId="2ECF3212" w14:textId="77777777" w:rsidR="00AB790C" w:rsidRPr="00AB790C" w:rsidRDefault="00AB790C" w:rsidP="00AB790C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  <w:r w:rsidRPr="00AB790C">
        <w:rPr>
          <w:rFonts w:cs="Arial"/>
          <w:b/>
          <w:bCs/>
          <w:color w:val="000000" w:themeColor="text1"/>
          <w:shd w:val="clear" w:color="auto" w:fill="FFFFFF"/>
        </w:rPr>
        <w:t>21 e 22 de novembro de 2024</w:t>
      </w:r>
    </w:p>
    <w:p w14:paraId="3A7E6C90" w14:textId="77777777" w:rsidR="00EB04E2" w:rsidRDefault="00EB04E2" w:rsidP="00D42CB8">
      <w:pPr>
        <w:spacing w:line="240" w:lineRule="auto"/>
        <w:ind w:firstLine="0"/>
        <w:rPr>
          <w:rFonts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1B8F6893" w14:textId="77777777" w:rsidR="00AB790C" w:rsidRPr="00EB04E2" w:rsidRDefault="00AB790C" w:rsidP="00D42CB8">
      <w:pPr>
        <w:spacing w:line="240" w:lineRule="auto"/>
        <w:ind w:firstLine="0"/>
        <w:rPr>
          <w:rFonts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1E42BD0B" w14:textId="37388FFC" w:rsidR="00970D4A" w:rsidRPr="00767385" w:rsidRDefault="00E20CE0" w:rsidP="00AB790C">
      <w:pPr>
        <w:ind w:firstLine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bookmarkStart w:id="0" w:name="_Hlk176556395"/>
      <w:r w:rsidRPr="00FB7DF0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A </w:t>
      </w:r>
      <w:bookmarkStart w:id="1" w:name="_Hlk132748477"/>
      <w:r w:rsidR="006E3ADD" w:rsidRPr="00767385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Convenção de Istambul </w:t>
      </w:r>
      <w:bookmarkEnd w:id="0"/>
      <w:bookmarkEnd w:id="1"/>
      <w:r w:rsidR="00AB790C" w:rsidRPr="00767385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e </w:t>
      </w:r>
      <w:r w:rsidR="0093637A" w:rsidRPr="00767385">
        <w:rPr>
          <w:rFonts w:ascii="Times New Roman" w:hAnsi="Times New Roman" w:cs="Times New Roman"/>
          <w:b/>
          <w:bCs/>
          <w:sz w:val="32"/>
          <w:szCs w:val="32"/>
          <w:u w:val="single"/>
        </w:rPr>
        <w:t>su</w:t>
      </w:r>
      <w:r w:rsidR="00AB790C" w:rsidRPr="00767385">
        <w:rPr>
          <w:rFonts w:ascii="Times New Roman" w:hAnsi="Times New Roman" w:cs="Times New Roman"/>
          <w:b/>
          <w:bCs/>
          <w:sz w:val="32"/>
          <w:szCs w:val="32"/>
          <w:u w:val="single"/>
        </w:rPr>
        <w:t>a ligação com o TEDH</w:t>
      </w:r>
    </w:p>
    <w:p w14:paraId="69176A6A" w14:textId="77777777" w:rsidR="00AB790C" w:rsidRPr="00EB04E2" w:rsidRDefault="00AB790C" w:rsidP="00AB790C">
      <w:pPr>
        <w:ind w:firstLine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</w:p>
    <w:p w14:paraId="66BF67AE" w14:textId="292FE152" w:rsidR="00750A32" w:rsidRPr="00985A15" w:rsidRDefault="00970D4A" w:rsidP="00EB04E2">
      <w:pPr>
        <w:spacing w:after="0" w:line="240" w:lineRule="auto"/>
        <w:ind w:firstLine="0"/>
        <w:jc w:val="right"/>
        <w:rPr>
          <w:rFonts w:ascii="Times New Roman" w:hAnsi="Times New Roman" w:cs="Times New Roman"/>
          <w:sz w:val="24"/>
        </w:rPr>
      </w:pPr>
      <w:r w:rsidRPr="00985A15">
        <w:rPr>
          <w:rFonts w:ascii="Times New Roman" w:hAnsi="Times New Roman" w:cs="Times New Roman"/>
          <w:i/>
          <w:iCs/>
          <w:sz w:val="24"/>
        </w:rPr>
        <w:t>Dora Resende Alves</w:t>
      </w:r>
      <w:r w:rsidR="007D5429" w:rsidRPr="007D5429">
        <w:rPr>
          <w:rStyle w:val="Hiperligao"/>
          <w:rFonts w:ascii="Times New Roman" w:hAnsi="Times New Roman" w:cs="Times New Roman"/>
          <w:color w:val="auto"/>
          <w:sz w:val="24"/>
          <w:u w:val="none"/>
        </w:rPr>
        <w:t xml:space="preserve"> </w:t>
      </w:r>
      <w:r w:rsidR="007D5429" w:rsidRPr="007D5429">
        <w:rPr>
          <w:rStyle w:val="Refdenotaderodap"/>
          <w:rFonts w:ascii="Times New Roman" w:hAnsi="Times New Roman" w:cs="Times New Roman"/>
          <w:sz w:val="24"/>
        </w:rPr>
        <w:footnoteReference w:id="1"/>
      </w:r>
    </w:p>
    <w:p w14:paraId="170AE4CA" w14:textId="4D113BCC" w:rsidR="00970D4A" w:rsidRPr="00985A15" w:rsidRDefault="00695095" w:rsidP="00EB04E2">
      <w:pPr>
        <w:spacing w:after="0" w:line="240" w:lineRule="auto"/>
        <w:ind w:firstLine="0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iCs/>
          <w:sz w:val="24"/>
        </w:rPr>
        <w:t>Angélica Lima</w:t>
      </w:r>
      <w:r w:rsidR="007D5429" w:rsidRPr="007D5429">
        <w:rPr>
          <w:rStyle w:val="Refdenotaderodap"/>
          <w:rFonts w:ascii="Times New Roman" w:hAnsi="Times New Roman" w:cs="Times New Roman"/>
          <w:sz w:val="24"/>
        </w:rPr>
        <w:footnoteReference w:id="2"/>
      </w:r>
    </w:p>
    <w:p w14:paraId="7DE36B90" w14:textId="77777777" w:rsidR="00114F3B" w:rsidRPr="00985A15" w:rsidRDefault="00114F3B" w:rsidP="00750A32">
      <w:pPr>
        <w:spacing w:line="240" w:lineRule="auto"/>
        <w:ind w:firstLine="0"/>
        <w:rPr>
          <w:rFonts w:ascii="Times New Roman" w:hAnsi="Times New Roman" w:cs="Times New Roman"/>
          <w:sz w:val="24"/>
        </w:rPr>
      </w:pPr>
    </w:p>
    <w:p w14:paraId="6A7CAABD" w14:textId="41F63F44" w:rsidR="000D11E8" w:rsidRPr="00EB04E2" w:rsidRDefault="000D11E8" w:rsidP="000D11E8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985A15">
        <w:rPr>
          <w:rFonts w:ascii="Times New Roman" w:hAnsi="Times New Roman" w:cs="Times New Roman"/>
          <w:b/>
          <w:bCs/>
        </w:rPr>
        <w:t>FILIAÇÃO</w:t>
      </w:r>
      <w:r w:rsidRPr="00985A15">
        <w:rPr>
          <w:rFonts w:ascii="Times New Roman" w:hAnsi="Times New Roman" w:cs="Times New Roman"/>
          <w:b/>
          <w:bCs/>
          <w:color w:val="auto"/>
        </w:rPr>
        <w:t>:</w:t>
      </w:r>
      <w:r w:rsidRPr="00985A15">
        <w:rPr>
          <w:rFonts w:ascii="Times New Roman" w:hAnsi="Times New Roman" w:cs="Times New Roman"/>
          <w:color w:val="auto"/>
        </w:rPr>
        <w:t xml:space="preserve"> </w:t>
      </w:r>
    </w:p>
    <w:p w14:paraId="7E1069CE" w14:textId="504CB56A" w:rsidR="004D682E" w:rsidRPr="00985A15" w:rsidRDefault="000D11E8" w:rsidP="00FB7DF0">
      <w:pPr>
        <w:pStyle w:val="Default"/>
        <w:jc w:val="both"/>
        <w:rPr>
          <w:rFonts w:ascii="Times New Roman" w:hAnsi="Times New Roman" w:cs="Times New Roman"/>
        </w:rPr>
      </w:pPr>
      <w:r w:rsidRPr="00985A15">
        <w:rPr>
          <w:rFonts w:ascii="Times New Roman" w:hAnsi="Times New Roman" w:cs="Times New Roman"/>
        </w:rPr>
        <w:t>Instituto Jurídico Portucalense, Universidade Portucalense Infante D. Henrique, Porto, Portugal</w:t>
      </w:r>
      <w:bookmarkStart w:id="4" w:name="_Toc67839871"/>
      <w:bookmarkStart w:id="5" w:name="_Toc67840703"/>
      <w:bookmarkStart w:id="6" w:name="_Toc68280127"/>
      <w:bookmarkStart w:id="7" w:name="_Toc71743446"/>
      <w:bookmarkStart w:id="8" w:name="_Toc71812157"/>
      <w:bookmarkStart w:id="9" w:name="_Toc72426142"/>
    </w:p>
    <w:p w14:paraId="66A2B6FC" w14:textId="7104A611" w:rsidR="00706042" w:rsidRPr="00706042" w:rsidRDefault="00287AC4" w:rsidP="00706042">
      <w:pPr>
        <w:pStyle w:val="Ttulo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EIXO:</w:t>
      </w:r>
      <w:r w:rsidR="00706042">
        <w:rPr>
          <w:rFonts w:ascii="Times New Roman" w:hAnsi="Times New Roman" w:cs="Times New Roman"/>
          <w:sz w:val="24"/>
          <w:szCs w:val="24"/>
        </w:rPr>
        <w:t xml:space="preserve"> </w:t>
      </w:r>
      <w:r w:rsidR="00706042" w:rsidRPr="00706042">
        <w:rPr>
          <w:rFonts w:ascii="Times New Roman" w:hAnsi="Times New Roman" w:cs="Times New Roman"/>
          <w:b w:val="0"/>
          <w:bCs w:val="0"/>
          <w:caps w:val="0"/>
          <w:sz w:val="24"/>
        </w:rPr>
        <w:t xml:space="preserve">Migrações </w:t>
      </w:r>
      <w:r w:rsidR="00706042">
        <w:rPr>
          <w:rFonts w:ascii="Times New Roman" w:hAnsi="Times New Roman" w:cs="Times New Roman"/>
          <w:b w:val="0"/>
          <w:bCs w:val="0"/>
          <w:caps w:val="0"/>
          <w:sz w:val="24"/>
        </w:rPr>
        <w:t>e</w:t>
      </w:r>
      <w:r w:rsidR="00706042" w:rsidRPr="00706042">
        <w:rPr>
          <w:rFonts w:ascii="Times New Roman" w:hAnsi="Times New Roman" w:cs="Times New Roman"/>
          <w:b w:val="0"/>
          <w:bCs w:val="0"/>
          <w:caps w:val="0"/>
          <w:sz w:val="24"/>
        </w:rPr>
        <w:t xml:space="preserve"> Asilo</w:t>
      </w:r>
    </w:p>
    <w:p w14:paraId="48A8FFA8" w14:textId="05E263A5" w:rsidR="00114F3B" w:rsidRPr="00EB04E2" w:rsidRDefault="00970D4A" w:rsidP="00EB04E2">
      <w:pPr>
        <w:pStyle w:val="Ttulo1"/>
        <w:rPr>
          <w:rFonts w:ascii="Times New Roman" w:hAnsi="Times New Roman" w:cs="Times New Roman"/>
          <w:sz w:val="24"/>
          <w:szCs w:val="24"/>
        </w:rPr>
      </w:pPr>
      <w:r w:rsidRPr="00985A15">
        <w:rPr>
          <w:rFonts w:ascii="Times New Roman" w:hAnsi="Times New Roman" w:cs="Times New Roman"/>
          <w:sz w:val="24"/>
          <w:szCs w:val="24"/>
        </w:rPr>
        <w:t>Resumo</w:t>
      </w:r>
      <w:bookmarkEnd w:id="4"/>
      <w:bookmarkEnd w:id="5"/>
      <w:bookmarkEnd w:id="6"/>
      <w:bookmarkEnd w:id="7"/>
      <w:bookmarkEnd w:id="8"/>
      <w:bookmarkEnd w:id="9"/>
      <w:r w:rsidR="00DA60CB" w:rsidRPr="00985A15">
        <w:rPr>
          <w:rFonts w:ascii="Times New Roman" w:hAnsi="Times New Roman" w:cs="Times New Roman"/>
          <w:sz w:val="24"/>
          <w:szCs w:val="24"/>
        </w:rPr>
        <w:t>:</w:t>
      </w:r>
      <w:r w:rsidR="00AB790C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2CFA46A" w14:textId="4EB11279" w:rsidR="00A27866" w:rsidRPr="00767385" w:rsidRDefault="00FF7E86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bookmarkStart w:id="10" w:name="_Hlk136280528"/>
      <w:r>
        <w:rPr>
          <w:rFonts w:ascii="Times New Roman" w:hAnsi="Times New Roman" w:cs="Times New Roman"/>
          <w:sz w:val="24"/>
        </w:rPr>
        <w:t>A</w:t>
      </w:r>
      <w:r w:rsidR="006734C2">
        <w:rPr>
          <w:rFonts w:ascii="Times New Roman" w:hAnsi="Times New Roman" w:cs="Times New Roman"/>
          <w:sz w:val="24"/>
        </w:rPr>
        <w:t xml:space="preserve"> sempre necessária celebração da </w:t>
      </w:r>
      <w:r w:rsidR="00D84307">
        <w:rPr>
          <w:rFonts w:ascii="Times New Roman" w:hAnsi="Times New Roman" w:cs="Times New Roman"/>
          <w:sz w:val="24"/>
        </w:rPr>
        <w:t>chamada</w:t>
      </w:r>
      <w:r w:rsidR="00CC2B51" w:rsidRPr="00CC2B51">
        <w:rPr>
          <w:rFonts w:ascii="Times New Roman" w:hAnsi="Times New Roman" w:cs="Times New Roman"/>
          <w:sz w:val="24"/>
        </w:rPr>
        <w:t xml:space="preserve"> </w:t>
      </w:r>
      <w:r w:rsidR="00CC2B51" w:rsidRPr="00767385">
        <w:rPr>
          <w:rFonts w:ascii="Times New Roman" w:hAnsi="Times New Roman" w:cs="Times New Roman"/>
          <w:sz w:val="24"/>
        </w:rPr>
        <w:t xml:space="preserve">Convenção de Istambul </w:t>
      </w:r>
      <w:r w:rsidR="00D84307" w:rsidRPr="00767385">
        <w:rPr>
          <w:rFonts w:ascii="Times New Roman" w:hAnsi="Times New Roman" w:cs="Times New Roman"/>
          <w:sz w:val="24"/>
        </w:rPr>
        <w:t xml:space="preserve">– a </w:t>
      </w:r>
      <w:r w:rsidR="00D84307" w:rsidRPr="00BE2381">
        <w:rPr>
          <w:rFonts w:ascii="Times New Roman" w:hAnsi="Times New Roman" w:cs="Times New Roman"/>
          <w:sz w:val="24"/>
        </w:rPr>
        <w:t xml:space="preserve">Convenção do Conselho da Europa para a Prevenção e o Combate à Violência Contra as Mulheres e a Violência Doméstica </w:t>
      </w:r>
      <w:r w:rsidR="00531E72">
        <w:rPr>
          <w:rFonts w:ascii="Times New Roman" w:hAnsi="Times New Roman" w:cs="Times New Roman"/>
          <w:sz w:val="24"/>
        </w:rPr>
        <w:t>assinada</w:t>
      </w:r>
      <w:r w:rsidR="0088590A">
        <w:rPr>
          <w:rFonts w:ascii="Times New Roman" w:hAnsi="Times New Roman" w:cs="Times New Roman"/>
          <w:sz w:val="24"/>
        </w:rPr>
        <w:t xml:space="preserve"> em </w:t>
      </w:r>
      <w:r w:rsidR="0088590A" w:rsidRPr="0088590A">
        <w:rPr>
          <w:rFonts w:ascii="Times New Roman" w:hAnsi="Times New Roman" w:cs="Times New Roman"/>
          <w:sz w:val="24"/>
        </w:rPr>
        <w:t>Istambul</w:t>
      </w:r>
      <w:r w:rsidR="0088590A">
        <w:rPr>
          <w:rFonts w:ascii="Times New Roman" w:hAnsi="Times New Roman" w:cs="Times New Roman"/>
          <w:sz w:val="24"/>
        </w:rPr>
        <w:t xml:space="preserve"> em</w:t>
      </w:r>
      <w:r w:rsidR="0088590A" w:rsidRPr="0088590A">
        <w:rPr>
          <w:rFonts w:ascii="Times New Roman" w:hAnsi="Times New Roman" w:cs="Times New Roman"/>
          <w:sz w:val="24"/>
        </w:rPr>
        <w:t xml:space="preserve"> </w:t>
      </w:r>
      <w:r w:rsidR="0088590A" w:rsidRPr="00C84D45">
        <w:rPr>
          <w:rFonts w:ascii="Times New Roman" w:hAnsi="Times New Roman" w:cs="Times New Roman"/>
          <w:sz w:val="24"/>
        </w:rPr>
        <w:t>11.05</w:t>
      </w:r>
      <w:r w:rsidR="0088590A" w:rsidRPr="0088590A">
        <w:rPr>
          <w:rFonts w:ascii="Times New Roman" w:hAnsi="Times New Roman" w:cs="Times New Roman"/>
          <w:sz w:val="24"/>
        </w:rPr>
        <w:t>.2011</w:t>
      </w:r>
      <w:r w:rsidR="00BE2381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</w:rPr>
        <w:t>é o mote para</w:t>
      </w:r>
      <w:r w:rsidR="00BE2381" w:rsidRPr="00767385">
        <w:rPr>
          <w:rFonts w:ascii="Times New Roman" w:hAnsi="Times New Roman" w:cs="Times New Roman"/>
          <w:sz w:val="24"/>
        </w:rPr>
        <w:t xml:space="preserve"> as autoras </w:t>
      </w:r>
      <w:r w:rsidR="00CC2B51" w:rsidRPr="00767385">
        <w:rPr>
          <w:rFonts w:ascii="Times New Roman" w:hAnsi="Times New Roman" w:cs="Times New Roman"/>
          <w:sz w:val="24"/>
        </w:rPr>
        <w:lastRenderedPageBreak/>
        <w:t>revisita</w:t>
      </w:r>
      <w:r w:rsidR="00BE2381" w:rsidRPr="00767385">
        <w:rPr>
          <w:rFonts w:ascii="Times New Roman" w:hAnsi="Times New Roman" w:cs="Times New Roman"/>
          <w:sz w:val="24"/>
        </w:rPr>
        <w:t>r</w:t>
      </w:r>
      <w:r w:rsidRPr="00767385">
        <w:rPr>
          <w:rFonts w:ascii="Times New Roman" w:hAnsi="Times New Roman" w:cs="Times New Roman"/>
          <w:sz w:val="24"/>
        </w:rPr>
        <w:t>em</w:t>
      </w:r>
      <w:r w:rsidR="00BE2381" w:rsidRPr="00767385">
        <w:rPr>
          <w:rFonts w:ascii="Times New Roman" w:hAnsi="Times New Roman" w:cs="Times New Roman"/>
          <w:sz w:val="24"/>
        </w:rPr>
        <w:t xml:space="preserve"> a </w:t>
      </w:r>
      <w:r w:rsidR="0088590A" w:rsidRPr="00767385">
        <w:rPr>
          <w:rFonts w:ascii="Times New Roman" w:hAnsi="Times New Roman" w:cs="Times New Roman"/>
          <w:sz w:val="24"/>
        </w:rPr>
        <w:t xml:space="preserve">sua </w:t>
      </w:r>
      <w:r w:rsidR="00BE2381" w:rsidRPr="00767385">
        <w:rPr>
          <w:rFonts w:ascii="Times New Roman" w:hAnsi="Times New Roman" w:cs="Times New Roman"/>
          <w:sz w:val="24"/>
        </w:rPr>
        <w:t>adoção e salientar o relevo do documento</w:t>
      </w:r>
      <w:r w:rsidR="00EB04E2" w:rsidRPr="00767385">
        <w:rPr>
          <w:rFonts w:ascii="Times New Roman" w:hAnsi="Times New Roman" w:cs="Times New Roman"/>
          <w:sz w:val="24"/>
        </w:rPr>
        <w:t xml:space="preserve"> no quadro </w:t>
      </w:r>
      <w:r w:rsidR="00DB73F9" w:rsidRPr="00767385">
        <w:rPr>
          <w:rFonts w:ascii="Times New Roman" w:hAnsi="Times New Roman" w:cs="Times New Roman"/>
          <w:sz w:val="24"/>
        </w:rPr>
        <w:t>do Tribunal Europeu dos Direitos Humanos (TEDH)</w:t>
      </w:r>
      <w:r w:rsidR="00BE2381" w:rsidRPr="00767385">
        <w:rPr>
          <w:rFonts w:ascii="Times New Roman" w:hAnsi="Times New Roman" w:cs="Times New Roman"/>
          <w:sz w:val="24"/>
        </w:rPr>
        <w:t>.</w:t>
      </w:r>
      <w:r w:rsidR="006734C2">
        <w:rPr>
          <w:rFonts w:ascii="Times New Roman" w:hAnsi="Times New Roman" w:cs="Times New Roman"/>
          <w:sz w:val="24"/>
        </w:rPr>
        <w:t xml:space="preserve"> Também para mencionar a recente</w:t>
      </w:r>
      <w:r w:rsidR="009550A3">
        <w:rPr>
          <w:rFonts w:ascii="Times New Roman" w:hAnsi="Times New Roman" w:cs="Times New Roman"/>
          <w:sz w:val="24"/>
        </w:rPr>
        <w:t xml:space="preserve"> e relevante</w:t>
      </w:r>
      <w:r w:rsidR="006734C2">
        <w:rPr>
          <w:rFonts w:ascii="Times New Roman" w:hAnsi="Times New Roman" w:cs="Times New Roman"/>
          <w:sz w:val="24"/>
        </w:rPr>
        <w:t xml:space="preserve"> adesão pela União Europeia.</w:t>
      </w:r>
    </w:p>
    <w:p w14:paraId="7AD8089E" w14:textId="08F9DC92" w:rsidR="0088590A" w:rsidRPr="00767385" w:rsidRDefault="0088590A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Esta Convenção </w:t>
      </w:r>
      <w:r w:rsidRPr="0088590A">
        <w:rPr>
          <w:rFonts w:ascii="Times New Roman" w:hAnsi="Times New Roman" w:cs="Times New Roman"/>
          <w:sz w:val="24"/>
        </w:rPr>
        <w:t>visa criar um quadro jurídico de proteção das mulheres contra todas as formas de violência, visto que a violência contra as mulheres é entendida como uma violação dos direitos humanos</w:t>
      </w:r>
      <w:r>
        <w:rPr>
          <w:rFonts w:ascii="Times New Roman" w:hAnsi="Times New Roman" w:cs="Times New Roman"/>
          <w:sz w:val="24"/>
        </w:rPr>
        <w:t>.</w:t>
      </w:r>
      <w:r w:rsidR="00DB73F9">
        <w:rPr>
          <w:rFonts w:ascii="Times New Roman" w:hAnsi="Times New Roman" w:cs="Times New Roman"/>
          <w:sz w:val="24"/>
        </w:rPr>
        <w:t xml:space="preserve"> Para além de Estados, membros e não membros do Conselho da Europa, até mesmo </w:t>
      </w:r>
      <w:r w:rsidR="006734C2">
        <w:rPr>
          <w:rFonts w:ascii="Times New Roman" w:hAnsi="Times New Roman" w:cs="Times New Roman"/>
          <w:sz w:val="24"/>
        </w:rPr>
        <w:t xml:space="preserve">uma </w:t>
      </w:r>
      <w:r w:rsidR="00DB73F9">
        <w:rPr>
          <w:rFonts w:ascii="Times New Roman" w:hAnsi="Times New Roman" w:cs="Times New Roman"/>
          <w:sz w:val="24"/>
        </w:rPr>
        <w:t>organização internacional -</w:t>
      </w:r>
      <w:r>
        <w:rPr>
          <w:rFonts w:ascii="Times New Roman" w:hAnsi="Times New Roman" w:cs="Times New Roman"/>
          <w:sz w:val="24"/>
        </w:rPr>
        <w:t xml:space="preserve"> </w:t>
      </w:r>
      <w:r w:rsidR="00DB73F9">
        <w:rPr>
          <w:rFonts w:ascii="Times New Roman" w:hAnsi="Times New Roman" w:cs="Times New Roman"/>
          <w:sz w:val="24"/>
        </w:rPr>
        <w:t>a</w:t>
      </w:r>
      <w:r>
        <w:rPr>
          <w:rFonts w:ascii="Times New Roman" w:hAnsi="Times New Roman" w:cs="Times New Roman"/>
          <w:sz w:val="24"/>
        </w:rPr>
        <w:t xml:space="preserve"> União Europeia</w:t>
      </w:r>
      <w:r w:rsidR="00DB73F9">
        <w:rPr>
          <w:rFonts w:ascii="Times New Roman" w:hAnsi="Times New Roman" w:cs="Times New Roman"/>
          <w:sz w:val="24"/>
        </w:rPr>
        <w:t xml:space="preserve"> - a ela aderi</w:t>
      </w:r>
      <w:r w:rsidR="006734C2">
        <w:rPr>
          <w:rFonts w:ascii="Times New Roman" w:hAnsi="Times New Roman" w:cs="Times New Roman"/>
          <w:sz w:val="24"/>
        </w:rPr>
        <w:t>u</w:t>
      </w:r>
      <w:r w:rsidR="009550A3">
        <w:rPr>
          <w:rFonts w:ascii="Times New Roman" w:hAnsi="Times New Roman" w:cs="Times New Roman"/>
          <w:sz w:val="24"/>
        </w:rPr>
        <w:t xml:space="preserve"> após um necessário processo que passou pelo parecer do Tribunal de Justiça da União Europeia</w:t>
      </w:r>
      <w:r w:rsidR="00E752F5" w:rsidRPr="00767385">
        <w:rPr>
          <w:rFonts w:ascii="Times New Roman" w:hAnsi="Times New Roman" w:cs="Times New Roman"/>
          <w:sz w:val="24"/>
        </w:rPr>
        <w:t>.</w:t>
      </w:r>
    </w:p>
    <w:p w14:paraId="2524B5F5" w14:textId="52E85721" w:rsidR="00BE2381" w:rsidRDefault="009550A3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Nesta apresentação, o</w:t>
      </w:r>
      <w:r w:rsidR="00DB73F9" w:rsidRPr="00767385">
        <w:rPr>
          <w:rFonts w:ascii="Times New Roman" w:hAnsi="Times New Roman" w:cs="Times New Roman"/>
          <w:sz w:val="24"/>
        </w:rPr>
        <w:t xml:space="preserve"> comentar</w:t>
      </w:r>
      <w:r w:rsidR="00EB04E2" w:rsidRPr="00767385">
        <w:rPr>
          <w:rFonts w:ascii="Times New Roman" w:hAnsi="Times New Roman" w:cs="Times New Roman"/>
          <w:sz w:val="24"/>
        </w:rPr>
        <w:t xml:space="preserve"> da jurisprudência</w:t>
      </w:r>
      <w:r w:rsidR="00DB73F9" w:rsidRPr="00767385">
        <w:rPr>
          <w:rFonts w:ascii="Times New Roman" w:hAnsi="Times New Roman" w:cs="Times New Roman"/>
          <w:sz w:val="24"/>
        </w:rPr>
        <w:t xml:space="preserve"> escolhida</w:t>
      </w:r>
      <w:r w:rsidR="00EB04E2" w:rsidRPr="00767385">
        <w:rPr>
          <w:rFonts w:ascii="Times New Roman" w:hAnsi="Times New Roman" w:cs="Times New Roman"/>
          <w:sz w:val="24"/>
        </w:rPr>
        <w:t xml:space="preserve"> conexa</w:t>
      </w:r>
      <w:r w:rsidR="00BE2381" w:rsidRPr="00767385">
        <w:rPr>
          <w:rFonts w:ascii="Times New Roman" w:hAnsi="Times New Roman" w:cs="Times New Roman"/>
          <w:sz w:val="24"/>
        </w:rPr>
        <w:t xml:space="preserve"> </w:t>
      </w:r>
      <w:r w:rsidR="00DB73F9" w:rsidRPr="00767385">
        <w:rPr>
          <w:rFonts w:ascii="Times New Roman" w:hAnsi="Times New Roman" w:cs="Times New Roman"/>
          <w:sz w:val="24"/>
        </w:rPr>
        <w:t>pel</w:t>
      </w:r>
      <w:r w:rsidR="00BE2381" w:rsidRPr="00767385">
        <w:rPr>
          <w:rFonts w:ascii="Times New Roman" w:hAnsi="Times New Roman" w:cs="Times New Roman"/>
          <w:sz w:val="24"/>
        </w:rPr>
        <w:t xml:space="preserve">as decisões do </w:t>
      </w:r>
      <w:r w:rsidR="0088590A" w:rsidRPr="00767385">
        <w:rPr>
          <w:rFonts w:ascii="Times New Roman" w:hAnsi="Times New Roman" w:cs="Times New Roman"/>
          <w:sz w:val="24"/>
        </w:rPr>
        <w:t>TEDH</w:t>
      </w:r>
      <w:r w:rsidR="00664C5C" w:rsidRPr="00767385">
        <w:rPr>
          <w:rFonts w:ascii="Times New Roman" w:hAnsi="Times New Roman" w:cs="Times New Roman"/>
          <w:sz w:val="24"/>
        </w:rPr>
        <w:t xml:space="preserve"> </w:t>
      </w:r>
      <w:r w:rsidR="00DB73F9" w:rsidRPr="00767385">
        <w:rPr>
          <w:rFonts w:ascii="Times New Roman" w:hAnsi="Times New Roman" w:cs="Times New Roman"/>
          <w:sz w:val="24"/>
        </w:rPr>
        <w:t>permit</w:t>
      </w:r>
      <w:r w:rsidR="00B434B2">
        <w:rPr>
          <w:rFonts w:ascii="Times New Roman" w:hAnsi="Times New Roman" w:cs="Times New Roman"/>
          <w:sz w:val="24"/>
        </w:rPr>
        <w:t>irá</w:t>
      </w:r>
      <w:r w:rsidR="00DB73F9" w:rsidRPr="00767385">
        <w:rPr>
          <w:rFonts w:ascii="Times New Roman" w:hAnsi="Times New Roman" w:cs="Times New Roman"/>
          <w:sz w:val="24"/>
        </w:rPr>
        <w:t xml:space="preserve"> entender o percurso da Convenção na defesa dos direitos humanos</w:t>
      </w:r>
      <w:r w:rsidR="00E752F5" w:rsidRPr="00767385">
        <w:rPr>
          <w:rFonts w:ascii="Times New Roman" w:hAnsi="Times New Roman" w:cs="Times New Roman"/>
          <w:sz w:val="24"/>
        </w:rPr>
        <w:t>.</w:t>
      </w:r>
    </w:p>
    <w:p w14:paraId="69E7A67D" w14:textId="53295F5D" w:rsidR="00767385" w:rsidRPr="00BB21D5" w:rsidRDefault="009550A3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Em ligação</w:t>
      </w:r>
      <w:r w:rsidR="006734C2" w:rsidRPr="00BB21D5">
        <w:rPr>
          <w:rFonts w:ascii="Times New Roman" w:hAnsi="Times New Roman" w:cs="Times New Roman"/>
          <w:sz w:val="24"/>
        </w:rPr>
        <w:t xml:space="preserve"> c</w:t>
      </w:r>
      <w:r w:rsidR="00767385" w:rsidRPr="00BB21D5">
        <w:rPr>
          <w:rFonts w:ascii="Times New Roman" w:hAnsi="Times New Roman" w:cs="Times New Roman"/>
          <w:sz w:val="24"/>
        </w:rPr>
        <w:t>om o aumento dos fluxos migratórios na Europa</w:t>
      </w:r>
      <w:r w:rsidR="00D72BA1" w:rsidRPr="00BB21D5">
        <w:rPr>
          <w:rFonts w:ascii="Times New Roman" w:hAnsi="Times New Roman" w:cs="Times New Roman"/>
          <w:sz w:val="24"/>
        </w:rPr>
        <w:t>,</w:t>
      </w:r>
      <w:r w:rsidR="00767385" w:rsidRPr="00BB21D5">
        <w:rPr>
          <w:rFonts w:ascii="Times New Roman" w:hAnsi="Times New Roman" w:cs="Times New Roman"/>
          <w:sz w:val="24"/>
        </w:rPr>
        <w:t xml:space="preserve"> a intersecção entre a Convenção de Istambul e o regime de proteção dos direitos humanos</w:t>
      </w:r>
      <w:r w:rsidR="00B434B2">
        <w:rPr>
          <w:rFonts w:ascii="Times New Roman" w:hAnsi="Times New Roman" w:cs="Times New Roman"/>
          <w:sz w:val="24"/>
        </w:rPr>
        <w:t xml:space="preserve"> é uma vertente que</w:t>
      </w:r>
      <w:r w:rsidR="00767385" w:rsidRPr="00BB21D5">
        <w:rPr>
          <w:rFonts w:ascii="Times New Roman" w:hAnsi="Times New Roman" w:cs="Times New Roman"/>
          <w:sz w:val="24"/>
        </w:rPr>
        <w:t xml:space="preserve"> </w:t>
      </w:r>
      <w:r w:rsidR="00B434B2">
        <w:rPr>
          <w:rFonts w:ascii="Times New Roman" w:hAnsi="Times New Roman" w:cs="Times New Roman"/>
          <w:sz w:val="24"/>
        </w:rPr>
        <w:t>adquire</w:t>
      </w:r>
      <w:r w:rsidR="00767385" w:rsidRPr="00BB21D5">
        <w:rPr>
          <w:rFonts w:ascii="Times New Roman" w:hAnsi="Times New Roman" w:cs="Times New Roman"/>
          <w:sz w:val="24"/>
        </w:rPr>
        <w:t xml:space="preserve"> especial relevância.</w:t>
      </w:r>
    </w:p>
    <w:p w14:paraId="6764DDAF" w14:textId="78A567A6" w:rsidR="00E92CE6" w:rsidRPr="00BB21D5" w:rsidRDefault="00E92CE6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r w:rsidRPr="00BB21D5">
        <w:rPr>
          <w:rFonts w:ascii="Times New Roman" w:hAnsi="Times New Roman" w:cs="Times New Roman"/>
          <w:sz w:val="24"/>
        </w:rPr>
        <w:t xml:space="preserve">A </w:t>
      </w:r>
      <w:r w:rsidR="006734C2" w:rsidRPr="00BB21D5">
        <w:rPr>
          <w:rFonts w:ascii="Times New Roman" w:hAnsi="Times New Roman" w:cs="Times New Roman"/>
          <w:sz w:val="24"/>
        </w:rPr>
        <w:t>C</w:t>
      </w:r>
      <w:r w:rsidRPr="00BB21D5">
        <w:rPr>
          <w:rFonts w:ascii="Times New Roman" w:hAnsi="Times New Roman" w:cs="Times New Roman"/>
          <w:sz w:val="24"/>
        </w:rPr>
        <w:t>onvenção de Istambul impõe obrigações claras aos Estados signatários, quando estabelece que a violência de género é uma violação dos direitos humanos, sendo que tal obrigação deve ser alargada e incluir na mesma a salvaguarda dos direitos das mulheres refugiadas e migrantes.</w:t>
      </w:r>
    </w:p>
    <w:p w14:paraId="78B76C65" w14:textId="26E3F5D3" w:rsidR="00767385" w:rsidRDefault="005B2EEA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r w:rsidRPr="00BB21D5">
        <w:rPr>
          <w:rFonts w:ascii="Times New Roman" w:hAnsi="Times New Roman" w:cs="Times New Roman"/>
          <w:sz w:val="24"/>
        </w:rPr>
        <w:t>Sendo que as mulheres migrantes têm sido v</w:t>
      </w:r>
      <w:r w:rsidR="00422D7C" w:rsidRPr="00BB21D5">
        <w:rPr>
          <w:rFonts w:ascii="Times New Roman" w:hAnsi="Times New Roman" w:cs="Times New Roman"/>
          <w:sz w:val="24"/>
        </w:rPr>
        <w:t>í</w:t>
      </w:r>
      <w:r w:rsidRPr="00BB21D5">
        <w:rPr>
          <w:rFonts w:ascii="Times New Roman" w:hAnsi="Times New Roman" w:cs="Times New Roman"/>
          <w:sz w:val="24"/>
        </w:rPr>
        <w:t>timas de violência de género e situações de vulnerabilidade agravada devido à sua condição de deslocadas, o TEDH tem sido chamado a pronunciar-se sobre ess</w:t>
      </w:r>
      <w:r w:rsidR="004E6E26" w:rsidRPr="00BB21D5">
        <w:rPr>
          <w:rFonts w:ascii="Times New Roman" w:hAnsi="Times New Roman" w:cs="Times New Roman"/>
          <w:sz w:val="24"/>
        </w:rPr>
        <w:t xml:space="preserve">a categoria </w:t>
      </w:r>
      <w:r w:rsidRPr="00BB21D5">
        <w:rPr>
          <w:rFonts w:ascii="Times New Roman" w:hAnsi="Times New Roman" w:cs="Times New Roman"/>
          <w:sz w:val="24"/>
        </w:rPr>
        <w:t>de casos, traduzindo-se, assim, numa interligação entre a jurisprudência do TEDH e as obrigações previstas na Convenção evidenciando, desta forma, como este instrumento tem um papel central no fortalecimento da proteção internacional dos direitos das mulheres em contextos de migração.</w:t>
      </w:r>
    </w:p>
    <w:p w14:paraId="4E0425B5" w14:textId="219C1241" w:rsidR="00434C32" w:rsidRPr="00A34A84" w:rsidRDefault="00434C32" w:rsidP="00434C32">
      <w:pPr>
        <w:spacing w:after="0" w:line="360" w:lineRule="auto"/>
        <w:rPr>
          <w:rFonts w:ascii="Times New Roman" w:hAnsi="Times New Roman" w:cs="Times New Roman"/>
          <w:sz w:val="24"/>
        </w:rPr>
      </w:pPr>
      <w:r w:rsidRPr="00A34A84">
        <w:rPr>
          <w:rFonts w:ascii="Times New Roman" w:hAnsi="Times New Roman" w:cs="Times New Roman"/>
          <w:sz w:val="24"/>
        </w:rPr>
        <w:t>O TEDH tem sido decisivo na aplicação da Convenção, ao consolidar a sua relevância jurídica nas suas decisões, impondo aos Estados signatários a responsabilidade de prevenir, investigar e sancionar a violência de género, assegurando a proteção efetiva das vítimas.</w:t>
      </w:r>
    </w:p>
    <w:p w14:paraId="4FEB70B8" w14:textId="28CC72E6" w:rsidR="00434C32" w:rsidRPr="00A34A84" w:rsidRDefault="00434C32" w:rsidP="00434C32">
      <w:pPr>
        <w:spacing w:after="0" w:line="360" w:lineRule="auto"/>
        <w:rPr>
          <w:rFonts w:ascii="Times New Roman" w:hAnsi="Times New Roman" w:cs="Times New Roman"/>
          <w:sz w:val="24"/>
        </w:rPr>
      </w:pPr>
      <w:r w:rsidRPr="00A34A84">
        <w:rPr>
          <w:rFonts w:ascii="Times New Roman" w:hAnsi="Times New Roman" w:cs="Times New Roman"/>
          <w:sz w:val="24"/>
        </w:rPr>
        <w:t xml:space="preserve">Em casos envolvendo mulheres refugiadas e migrantes, </w:t>
      </w:r>
      <w:r w:rsidR="00A34A84" w:rsidRPr="00A34A84">
        <w:rPr>
          <w:rFonts w:ascii="Times New Roman" w:hAnsi="Times New Roman" w:cs="Times New Roman"/>
          <w:sz w:val="24"/>
        </w:rPr>
        <w:t>surge</w:t>
      </w:r>
      <w:r w:rsidRPr="00A34A84">
        <w:rPr>
          <w:rFonts w:ascii="Times New Roman" w:hAnsi="Times New Roman" w:cs="Times New Roman"/>
          <w:sz w:val="24"/>
        </w:rPr>
        <w:t xml:space="preserve"> como uma ferramenta central para garantir que os Estados cumpram as suas obrigações internacionais, reforçando a proteção dos direitos humanos em contextos de vulnerabilidade extrema.</w:t>
      </w:r>
    </w:p>
    <w:p w14:paraId="20B2BE0D" w14:textId="1E9E0A90" w:rsidR="00BB21D5" w:rsidRPr="00B434B2" w:rsidRDefault="009D7EA6" w:rsidP="00BE2381">
      <w:pPr>
        <w:spacing w:after="0" w:line="360" w:lineRule="auto"/>
        <w:rPr>
          <w:rFonts w:ascii="Times New Roman" w:hAnsi="Times New Roman" w:cs="Times New Roman"/>
          <w:sz w:val="24"/>
        </w:rPr>
      </w:pPr>
      <w:r w:rsidRPr="00B434B2">
        <w:rPr>
          <w:rFonts w:ascii="Times New Roman" w:hAnsi="Times New Roman" w:cs="Times New Roman"/>
          <w:sz w:val="24"/>
        </w:rPr>
        <w:t>Selecionados alguns casos resolvidos pelo TEDH, que abrangem decisões mais recentes, como Tunikova e outros v. Rússia (2021) e M.M. e Z.M. v. Ucrânia (2022), e outros precedentes que foram determinantes para a adoção da Convenção de Istambul, como Opuz v. Turquia (2009) e T.M. e C.M. v. Moldávia (2014), será feita uma análise dos aspetos jurídicos relevantes, destacando-se a sua pertinência no contexto da violência de género e dos direitos das mulheres refugiadas e migrantes. Entre os acórdãos mencionados, sublinha-se o caso N.A. v. Reino Unido (20</w:t>
      </w:r>
      <w:r w:rsidR="00CA74AF">
        <w:rPr>
          <w:rFonts w:ascii="Times New Roman" w:hAnsi="Times New Roman" w:cs="Times New Roman"/>
          <w:sz w:val="24"/>
        </w:rPr>
        <w:t>0</w:t>
      </w:r>
      <w:r w:rsidRPr="00B434B2">
        <w:rPr>
          <w:rFonts w:ascii="Times New Roman" w:hAnsi="Times New Roman" w:cs="Times New Roman"/>
          <w:sz w:val="24"/>
        </w:rPr>
        <w:t>8), que envolveu uma mulher requerente de asilo, vítima de violência de género no seu país de origem, reforçando a interligação entre a Convenção e a jurisprudência do TEDH no fortalecimento da proteção internacional dos direitos humanos.</w:t>
      </w:r>
    </w:p>
    <w:p w14:paraId="64E06F37" w14:textId="77777777" w:rsidR="00767385" w:rsidRDefault="00767385" w:rsidP="00BE2381">
      <w:pPr>
        <w:spacing w:after="0" w:line="360" w:lineRule="auto"/>
        <w:rPr>
          <w:rFonts w:ascii="Times New Roman" w:hAnsi="Times New Roman" w:cs="Times New Roman"/>
          <w:sz w:val="24"/>
        </w:rPr>
      </w:pPr>
    </w:p>
    <w:p w14:paraId="4FF8ABF2" w14:textId="77777777" w:rsidR="00767385" w:rsidRPr="00767385" w:rsidRDefault="00767385" w:rsidP="00BE2381">
      <w:pPr>
        <w:spacing w:after="0" w:line="360" w:lineRule="auto"/>
        <w:rPr>
          <w:rFonts w:ascii="Times New Roman" w:hAnsi="Times New Roman" w:cs="Times New Roman"/>
          <w:sz w:val="24"/>
        </w:rPr>
      </w:pPr>
    </w:p>
    <w:bookmarkEnd w:id="10"/>
    <w:p w14:paraId="128EC6B0" w14:textId="77777777" w:rsidR="00A342DF" w:rsidRPr="00985A15" w:rsidRDefault="00A342DF" w:rsidP="00FB7DF0">
      <w:pPr>
        <w:spacing w:after="0" w:line="360" w:lineRule="auto"/>
        <w:ind w:firstLine="0"/>
        <w:rPr>
          <w:rFonts w:ascii="Times New Roman" w:hAnsi="Times New Roman" w:cs="Times New Roman"/>
          <w:sz w:val="24"/>
        </w:rPr>
      </w:pPr>
    </w:p>
    <w:p w14:paraId="6EBCEF84" w14:textId="3AE3B7C9" w:rsidR="00750A32" w:rsidRPr="00985A15" w:rsidRDefault="00750A32" w:rsidP="00FB7DF0">
      <w:pPr>
        <w:spacing w:after="0" w:line="360" w:lineRule="auto"/>
        <w:ind w:firstLine="0"/>
        <w:rPr>
          <w:rFonts w:ascii="Times New Roman" w:hAnsi="Times New Roman" w:cs="Times New Roman"/>
          <w:sz w:val="24"/>
        </w:rPr>
      </w:pPr>
      <w:r w:rsidRPr="00985A15"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 xml:space="preserve">Palavras-chaves: </w:t>
      </w:r>
      <w:r w:rsidR="00695095">
        <w:rPr>
          <w:rFonts w:ascii="Times New Roman" w:hAnsi="Times New Roman" w:cs="Times New Roman"/>
          <w:color w:val="000000" w:themeColor="text1"/>
          <w:sz w:val="24"/>
          <w:lang w:val="pt-BR"/>
        </w:rPr>
        <w:t>Convenção de Istambul</w:t>
      </w:r>
      <w:r w:rsidR="0088590A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; Tribunal </w:t>
      </w:r>
      <w:r w:rsidR="00AB790C">
        <w:rPr>
          <w:rFonts w:ascii="Times New Roman" w:hAnsi="Times New Roman" w:cs="Times New Roman"/>
          <w:color w:val="000000" w:themeColor="text1"/>
          <w:sz w:val="24"/>
          <w:lang w:val="pt-BR"/>
        </w:rPr>
        <w:t>Europeu dos Direitos Humanos</w:t>
      </w:r>
      <w:r w:rsidR="0088590A">
        <w:rPr>
          <w:rFonts w:ascii="Times New Roman" w:hAnsi="Times New Roman" w:cs="Times New Roman"/>
          <w:color w:val="000000" w:themeColor="text1"/>
          <w:sz w:val="24"/>
          <w:lang w:val="pt-BR"/>
        </w:rPr>
        <w:t>;</w:t>
      </w:r>
      <w:r w:rsidRPr="00985A15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 União Europeia.</w:t>
      </w:r>
      <w:r w:rsidR="00695095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  </w:t>
      </w:r>
    </w:p>
    <w:p w14:paraId="094855A2" w14:textId="77777777" w:rsidR="00695095" w:rsidRDefault="00695095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</w:p>
    <w:p w14:paraId="3C0FCCA8" w14:textId="77777777" w:rsidR="00AB790C" w:rsidRDefault="00AB790C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</w:p>
    <w:p w14:paraId="21B874BE" w14:textId="4093806F" w:rsidR="00EB04E2" w:rsidRDefault="00EB04E2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>Referências breve</w:t>
      </w:r>
      <w:r w:rsidRPr="00985A15"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>s</w:t>
      </w:r>
    </w:p>
    <w:p w14:paraId="3699A5B2" w14:textId="3C8606A4" w:rsidR="0062248B" w:rsidRPr="00AF6F0C" w:rsidRDefault="0062248B" w:rsidP="0062248B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bookmarkStart w:id="11" w:name="_Hlk176605103"/>
      <w:bookmarkStart w:id="12" w:name="_Hlk176603971"/>
      <w:bookmarkStart w:id="13" w:name="_Hlk181001989"/>
      <w:bookmarkStart w:id="14" w:name="_Hlk176606025"/>
      <w:r w:rsidRPr="00AF6F0C">
        <w:rPr>
          <w:rFonts w:ascii="Times New Roman" w:hAnsi="Times New Roman" w:cs="Times New Roman"/>
          <w:szCs w:val="22"/>
        </w:rPr>
        <w:t xml:space="preserve">Albuquerque, P. P. (Org.) (2023). </w:t>
      </w:r>
      <w:r w:rsidRPr="00AF6F0C">
        <w:rPr>
          <w:rFonts w:ascii="Times New Roman" w:hAnsi="Times New Roman" w:cs="Times New Roman"/>
          <w:i/>
          <w:iCs/>
          <w:szCs w:val="22"/>
        </w:rPr>
        <w:t>Comentário do Código de Processo Penal à luz da Constituição da República e da Convenção Europeia dos Direitos Humanos</w:t>
      </w:r>
      <w:r w:rsidRPr="00AF6F0C">
        <w:rPr>
          <w:rFonts w:ascii="Times New Roman" w:hAnsi="Times New Roman" w:cs="Times New Roman"/>
          <w:szCs w:val="22"/>
        </w:rPr>
        <w:t>. Universidade Católica Editora.</w:t>
      </w:r>
      <w:bookmarkEnd w:id="11"/>
    </w:p>
    <w:p w14:paraId="114B7D38" w14:textId="6B363E30" w:rsidR="007C458A" w:rsidRDefault="007C458A" w:rsidP="009F09D3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bookmarkStart w:id="15" w:name="_Hlk176603923"/>
      <w:bookmarkEnd w:id="12"/>
      <w:r w:rsidRPr="007C458A">
        <w:rPr>
          <w:rFonts w:ascii="Times New Roman" w:hAnsi="Times New Roman" w:cs="Times New Roman"/>
          <w:szCs w:val="22"/>
        </w:rPr>
        <w:t xml:space="preserve">Campina, A., &amp; Tomás, S. (2016). A Convenção de Istambul: A violência de género ou género de violência? In </w:t>
      </w:r>
      <w:r w:rsidRPr="007C458A">
        <w:rPr>
          <w:rFonts w:ascii="Times New Roman" w:hAnsi="Times New Roman" w:cs="Times New Roman"/>
          <w:i/>
          <w:iCs/>
          <w:szCs w:val="22"/>
        </w:rPr>
        <w:t xml:space="preserve">Combate à violência de género: Da Convenção de Istambul à nova legislação penal </w:t>
      </w:r>
      <w:r w:rsidRPr="007C458A">
        <w:rPr>
          <w:rFonts w:ascii="Times New Roman" w:hAnsi="Times New Roman" w:cs="Times New Roman"/>
          <w:szCs w:val="22"/>
        </w:rPr>
        <w:t xml:space="preserve">(pp. 314-319). Porto: Universidade Católica. Disponível no Repositório UPT, </w:t>
      </w:r>
      <w:hyperlink r:id="rId10" w:history="1">
        <w:r w:rsidRPr="00C10660">
          <w:rPr>
            <w:rStyle w:val="Hiperligao"/>
            <w:rFonts w:ascii="Times New Roman" w:hAnsi="Times New Roman" w:cs="Times New Roman"/>
            <w:szCs w:val="22"/>
          </w:rPr>
          <w:t>http://hdl.handle.net/11328/1812</w:t>
        </w:r>
      </w:hyperlink>
      <w:r>
        <w:rPr>
          <w:rFonts w:ascii="Times New Roman" w:hAnsi="Times New Roman" w:cs="Times New Roman"/>
          <w:szCs w:val="22"/>
        </w:rPr>
        <w:t xml:space="preserve"> </w:t>
      </w:r>
    </w:p>
    <w:p w14:paraId="0690DEFF" w14:textId="2B8D1BCD" w:rsidR="00932678" w:rsidRDefault="00932678" w:rsidP="009F09D3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r w:rsidRPr="00932678">
        <w:rPr>
          <w:rFonts w:ascii="Times New Roman" w:hAnsi="Times New Roman" w:cs="Times New Roman"/>
          <w:szCs w:val="22"/>
        </w:rPr>
        <w:t xml:space="preserve">Campina, A. (2016). Violência(s) de género em Portugal e a Convenção de Istambul: (i)realidades. Revista Jurídica Portucalense, 20, 252-253. Disponível no Repositório UPT, </w:t>
      </w:r>
      <w:hyperlink r:id="rId11" w:history="1">
        <w:r w:rsidRPr="00C10660">
          <w:rPr>
            <w:rStyle w:val="Hiperligao"/>
            <w:rFonts w:ascii="Times New Roman" w:hAnsi="Times New Roman" w:cs="Times New Roman"/>
            <w:szCs w:val="22"/>
          </w:rPr>
          <w:t>http://hdl.handle.net/11328/1862</w:t>
        </w:r>
      </w:hyperlink>
      <w:r>
        <w:rPr>
          <w:rFonts w:ascii="Times New Roman" w:hAnsi="Times New Roman" w:cs="Times New Roman"/>
          <w:szCs w:val="22"/>
        </w:rPr>
        <w:t xml:space="preserve"> </w:t>
      </w:r>
    </w:p>
    <w:p w14:paraId="690826BA" w14:textId="33A30D8C" w:rsidR="009F09D3" w:rsidRPr="00AF6F0C" w:rsidRDefault="00C84D45" w:rsidP="009F09D3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r w:rsidRPr="00AF6F0C">
        <w:rPr>
          <w:rFonts w:ascii="Times New Roman" w:hAnsi="Times New Roman" w:cs="Times New Roman"/>
          <w:szCs w:val="22"/>
        </w:rPr>
        <w:t xml:space="preserve">Cunha, M. C. F. (2016). </w:t>
      </w:r>
      <w:r w:rsidR="009F09D3" w:rsidRPr="00AF6F0C">
        <w:rPr>
          <w:rFonts w:ascii="Times New Roman" w:hAnsi="Times New Roman" w:cs="Times New Roman"/>
          <w:i/>
          <w:iCs/>
          <w:szCs w:val="22"/>
        </w:rPr>
        <w:t>Combate à Violência de Género- Da Convenção de Istambul à nova Legislação Penal</w:t>
      </w:r>
      <w:r w:rsidR="009F09D3" w:rsidRPr="00AF6F0C">
        <w:rPr>
          <w:rFonts w:ascii="Times New Roman" w:hAnsi="Times New Roman" w:cs="Times New Roman"/>
          <w:szCs w:val="22"/>
        </w:rPr>
        <w:t>. Almedina.</w:t>
      </w:r>
    </w:p>
    <w:p w14:paraId="2F89A423" w14:textId="6D6C171B" w:rsidR="0062248B" w:rsidRPr="00AF6F0C" w:rsidRDefault="00144B50" w:rsidP="0062248B">
      <w:pPr>
        <w:shd w:val="clear" w:color="auto" w:fill="FFFFFF"/>
        <w:spacing w:line="240" w:lineRule="auto"/>
        <w:ind w:firstLine="0"/>
        <w:rPr>
          <w:rFonts w:ascii="Times New Roman" w:hAnsi="Times New Roman" w:cs="Times New Roman"/>
          <w:szCs w:val="22"/>
        </w:rPr>
      </w:pPr>
      <w:r w:rsidRPr="00AF6F0C">
        <w:rPr>
          <w:rFonts w:ascii="Times New Roman" w:hAnsi="Times New Roman" w:cs="Times New Roman"/>
          <w:color w:val="000000"/>
          <w:szCs w:val="22"/>
        </w:rPr>
        <w:t xml:space="preserve">Tribunal de Justiça da União Europeia </w:t>
      </w:r>
      <w:r w:rsidR="0062248B" w:rsidRPr="00AF6F0C">
        <w:rPr>
          <w:rFonts w:ascii="Times New Roman" w:hAnsi="Times New Roman" w:cs="Times New Roman"/>
          <w:color w:val="000000"/>
          <w:szCs w:val="22"/>
        </w:rPr>
        <w:t xml:space="preserve">(2021). Parecer do Tribunal de Justiça 1/19 de 6 de outubro de 2021, </w:t>
      </w:r>
      <w:r w:rsidR="0062248B" w:rsidRPr="00AF6F0C">
        <w:rPr>
          <w:rFonts w:ascii="Times New Roman" w:hAnsi="Times New Roman" w:cs="Times New Roman"/>
          <w:i/>
          <w:iCs/>
          <w:color w:val="000000"/>
          <w:szCs w:val="22"/>
        </w:rPr>
        <w:t>Jornal Oficial da União Europeia C 481/2</w:t>
      </w:r>
      <w:r w:rsidR="0062248B" w:rsidRPr="00AF6F0C">
        <w:rPr>
          <w:rFonts w:ascii="Times New Roman" w:hAnsi="Times New Roman" w:cs="Times New Roman"/>
          <w:color w:val="000000"/>
          <w:szCs w:val="22"/>
        </w:rPr>
        <w:t xml:space="preserve">, de 29.11.2021, p. 2. </w:t>
      </w:r>
      <w:r w:rsidR="0062248B" w:rsidRPr="00AF6F0C">
        <w:rPr>
          <w:rFonts w:ascii="Times New Roman" w:hAnsi="Times New Roman" w:cs="Times New Roman"/>
          <w:szCs w:val="22"/>
        </w:rPr>
        <w:t xml:space="preserve">Em </w:t>
      </w:r>
      <w:hyperlink r:id="rId12" w:history="1">
        <w:r w:rsidR="0062248B" w:rsidRPr="00AF6F0C">
          <w:rPr>
            <w:rStyle w:val="Hiperligao"/>
            <w:rFonts w:ascii="Times New Roman" w:hAnsi="Times New Roman" w:cs="Times New Roman"/>
            <w:szCs w:val="22"/>
          </w:rPr>
          <w:t>https://eur-lex.europa.eu/legal-content/PT/TXT/PDF/?uri=CELEX:62019CG0001&amp;from=PT</w:t>
        </w:r>
      </w:hyperlink>
      <w:r w:rsidR="0062248B" w:rsidRPr="00AF6F0C">
        <w:rPr>
          <w:rFonts w:ascii="Times New Roman" w:hAnsi="Times New Roman" w:cs="Times New Roman"/>
          <w:szCs w:val="22"/>
        </w:rPr>
        <w:t xml:space="preserve"> </w:t>
      </w:r>
    </w:p>
    <w:p w14:paraId="7BA18BA0" w14:textId="0A4717DF" w:rsidR="0062248B" w:rsidRPr="00AF6F0C" w:rsidRDefault="0062248B" w:rsidP="0062248B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bookmarkStart w:id="16" w:name="_Hlk176605284"/>
      <w:r w:rsidRPr="00AF6F0C">
        <w:rPr>
          <w:rFonts w:ascii="Times New Roman" w:hAnsi="Times New Roman" w:cs="Times New Roman"/>
          <w:szCs w:val="22"/>
        </w:rPr>
        <w:t xml:space="preserve">Martins, M.; Cunha, M. &amp; Albuquerque, P. P. (Org.) (2022). </w:t>
      </w:r>
      <w:r w:rsidRPr="00AF6F0C">
        <w:rPr>
          <w:rFonts w:ascii="Times New Roman" w:hAnsi="Times New Roman" w:cs="Times New Roman"/>
          <w:i/>
          <w:iCs/>
          <w:szCs w:val="22"/>
        </w:rPr>
        <w:t>Direitos Humanos das Mulheres.</w:t>
      </w:r>
      <w:r w:rsidRPr="00AF6F0C">
        <w:rPr>
          <w:rFonts w:ascii="Times New Roman" w:hAnsi="Times New Roman" w:cs="Times New Roman"/>
          <w:b/>
          <w:bCs/>
          <w:szCs w:val="22"/>
        </w:rPr>
        <w:t xml:space="preserve"> </w:t>
      </w:r>
      <w:r w:rsidRPr="00AF6F0C">
        <w:rPr>
          <w:rFonts w:ascii="Times New Roman" w:hAnsi="Times New Roman" w:cs="Times New Roman"/>
          <w:szCs w:val="22"/>
        </w:rPr>
        <w:t>Universidade Católica Editora.</w:t>
      </w:r>
    </w:p>
    <w:p w14:paraId="5F6C413B" w14:textId="407B4EB7" w:rsidR="008B2EBD" w:rsidRPr="00AF6F0C" w:rsidRDefault="009E281D" w:rsidP="0062248B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r w:rsidRPr="00AF6F0C">
        <w:rPr>
          <w:rFonts w:ascii="Times New Roman" w:hAnsi="Times New Roman" w:cs="Times New Roman"/>
          <w:szCs w:val="22"/>
        </w:rPr>
        <w:t>Santos</w:t>
      </w:r>
      <w:r w:rsidR="008B2EBD" w:rsidRPr="00AF6F0C">
        <w:rPr>
          <w:rFonts w:ascii="Times New Roman" w:hAnsi="Times New Roman" w:cs="Times New Roman"/>
          <w:szCs w:val="22"/>
        </w:rPr>
        <w:t xml:space="preserve">, M. M. O. </w:t>
      </w:r>
      <w:r w:rsidRPr="00AF6F0C">
        <w:rPr>
          <w:rFonts w:ascii="Times New Roman" w:hAnsi="Times New Roman" w:cs="Times New Roman"/>
          <w:szCs w:val="22"/>
        </w:rPr>
        <w:t>A Convenção de Istambul e a “violência de gênero”: breves apontamentos à luz do ordenamento jurídico-penal português</w:t>
      </w:r>
      <w:r w:rsidR="008B2EBD" w:rsidRPr="00AF6F0C">
        <w:rPr>
          <w:rFonts w:ascii="Times New Roman" w:hAnsi="Times New Roman" w:cs="Times New Roman"/>
          <w:szCs w:val="22"/>
        </w:rPr>
        <w:t>. </w:t>
      </w:r>
      <w:r w:rsidR="008B2EBD" w:rsidRPr="00AF6F0C">
        <w:rPr>
          <w:rFonts w:ascii="Times New Roman" w:hAnsi="Times New Roman" w:cs="Times New Roman"/>
          <w:i/>
          <w:iCs/>
          <w:szCs w:val="22"/>
        </w:rPr>
        <w:t>Revista FIDES</w:t>
      </w:r>
      <w:r w:rsidR="008B2EBD" w:rsidRPr="00AF6F0C">
        <w:rPr>
          <w:rFonts w:ascii="Times New Roman" w:hAnsi="Times New Roman" w:cs="Times New Roman"/>
          <w:szCs w:val="22"/>
        </w:rPr>
        <w:t xml:space="preserve">, v. 8, n. 2, 30 dez. 2017. </w:t>
      </w:r>
      <w:hyperlink r:id="rId13" w:history="1">
        <w:r w:rsidR="008B2EBD" w:rsidRPr="00AF6F0C">
          <w:rPr>
            <w:rStyle w:val="Hiperligao"/>
            <w:rFonts w:ascii="Times New Roman" w:hAnsi="Times New Roman" w:cs="Times New Roman"/>
            <w:szCs w:val="22"/>
          </w:rPr>
          <w:t>http://revistafides.ufrn.br/index.php/br/article/view/317</w:t>
        </w:r>
      </w:hyperlink>
      <w:r w:rsidR="008B2EBD" w:rsidRPr="00AF6F0C">
        <w:rPr>
          <w:rFonts w:ascii="Times New Roman" w:hAnsi="Times New Roman" w:cs="Times New Roman"/>
          <w:szCs w:val="22"/>
        </w:rPr>
        <w:t xml:space="preserve"> </w:t>
      </w:r>
    </w:p>
    <w:p w14:paraId="0C7D3B7F" w14:textId="5C80F233" w:rsidR="008B2EBD" w:rsidRPr="0062248B" w:rsidRDefault="008B2EBD" w:rsidP="0062248B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  <w:r w:rsidRPr="00AF6F0C">
        <w:rPr>
          <w:rFonts w:ascii="Times New Roman" w:hAnsi="Times New Roman" w:cs="Times New Roman"/>
          <w:szCs w:val="22"/>
        </w:rPr>
        <w:t>Sottomayor, M</w:t>
      </w:r>
      <w:r w:rsidR="009E281D" w:rsidRPr="00AF6F0C">
        <w:rPr>
          <w:rFonts w:ascii="Times New Roman" w:hAnsi="Times New Roman" w:cs="Times New Roman"/>
          <w:szCs w:val="22"/>
        </w:rPr>
        <w:t>.</w:t>
      </w:r>
      <w:r w:rsidRPr="00AF6F0C">
        <w:rPr>
          <w:rFonts w:ascii="Times New Roman" w:hAnsi="Times New Roman" w:cs="Times New Roman"/>
          <w:szCs w:val="22"/>
        </w:rPr>
        <w:t xml:space="preserve"> C. (2015). A convenção de Istambul e o novo paradigma da violência de género. </w:t>
      </w:r>
      <w:r w:rsidRPr="00AF6F0C">
        <w:rPr>
          <w:rFonts w:ascii="Times New Roman" w:hAnsi="Times New Roman" w:cs="Times New Roman"/>
          <w:i/>
          <w:iCs/>
          <w:szCs w:val="22"/>
        </w:rPr>
        <w:t>ex æquo</w:t>
      </w:r>
      <w:r w:rsidRPr="00AF6F0C">
        <w:rPr>
          <w:rFonts w:ascii="Times New Roman" w:hAnsi="Times New Roman" w:cs="Times New Roman"/>
          <w:szCs w:val="22"/>
        </w:rPr>
        <w:t xml:space="preserve">, n.º 31, 2015, pp. 105-121. Em </w:t>
      </w:r>
      <w:hyperlink r:id="rId14" w:history="1">
        <w:r w:rsidRPr="00AF6F0C">
          <w:rPr>
            <w:rStyle w:val="Hiperligao"/>
            <w:rFonts w:ascii="Times New Roman" w:hAnsi="Times New Roman" w:cs="Times New Roman"/>
            <w:szCs w:val="22"/>
          </w:rPr>
          <w:t>https://exaequo.apem-estudos.org/artigo/31-a-convencao-de-istambul-e-o-novo-paradigma-da-violencia-de-ge</w:t>
        </w:r>
      </w:hyperlink>
      <w:bookmarkEnd w:id="13"/>
      <w:r>
        <w:rPr>
          <w:rFonts w:ascii="Times New Roman" w:hAnsi="Times New Roman" w:cs="Times New Roman"/>
          <w:sz w:val="24"/>
        </w:rPr>
        <w:t xml:space="preserve"> </w:t>
      </w:r>
    </w:p>
    <w:bookmarkEnd w:id="14"/>
    <w:bookmarkEnd w:id="15"/>
    <w:bookmarkEnd w:id="16"/>
    <w:p w14:paraId="7A3CDD0D" w14:textId="77777777" w:rsidR="007F761A" w:rsidRPr="00767385" w:rsidRDefault="007F761A" w:rsidP="002B2F25">
      <w:pPr>
        <w:spacing w:after="0" w:line="240" w:lineRule="auto"/>
        <w:ind w:firstLine="0"/>
        <w:jc w:val="right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</w:rPr>
      </w:pPr>
    </w:p>
    <w:p w14:paraId="678CAAC2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> </w:t>
      </w:r>
    </w:p>
    <w:p w14:paraId="1A7FCA7E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 xml:space="preserve">Até </w:t>
      </w:r>
      <w:r w:rsidRPr="005A5334">
        <w:rPr>
          <w:rFonts w:cs="Arial"/>
          <w:sz w:val="18"/>
          <w:szCs w:val="18"/>
          <w:highlight w:val="yellow"/>
        </w:rPr>
        <w:t>30</w:t>
      </w:r>
      <w:r w:rsidRPr="005A5334">
        <w:rPr>
          <w:rFonts w:cs="Arial"/>
          <w:sz w:val="18"/>
          <w:szCs w:val="18"/>
        </w:rPr>
        <w:t xml:space="preserve"> de setembro de 2024 - Envio do resumo das Comunicações</w:t>
      </w:r>
    </w:p>
    <w:p w14:paraId="3387FA79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>Até 14 de outubro de 2024 - Notificação da aceitação</w:t>
      </w:r>
    </w:p>
    <w:p w14:paraId="02A0BE5D" w14:textId="523DA160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 xml:space="preserve">Até </w:t>
      </w:r>
      <w:r w:rsidR="00987512">
        <w:rPr>
          <w:rFonts w:cs="Arial"/>
          <w:sz w:val="18"/>
          <w:szCs w:val="18"/>
          <w:highlight w:val="yellow"/>
        </w:rPr>
        <w:t>13</w:t>
      </w:r>
      <w:r w:rsidRPr="005A5334">
        <w:rPr>
          <w:rFonts w:cs="Arial"/>
          <w:sz w:val="18"/>
          <w:szCs w:val="18"/>
          <w:highlight w:val="yellow"/>
        </w:rPr>
        <w:t xml:space="preserve"> de novembro</w:t>
      </w:r>
      <w:r w:rsidRPr="005A5334">
        <w:rPr>
          <w:rFonts w:cs="Arial"/>
          <w:sz w:val="18"/>
          <w:szCs w:val="18"/>
        </w:rPr>
        <w:t xml:space="preserve"> de 2024 - Envio do texto das Comunicações</w:t>
      </w:r>
    </w:p>
    <w:p w14:paraId="6BB3B76C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b/>
          <w:bCs/>
          <w:sz w:val="18"/>
          <w:szCs w:val="18"/>
        </w:rPr>
      </w:pPr>
      <w:r w:rsidRPr="005A5334">
        <w:rPr>
          <w:rFonts w:cs="Arial"/>
          <w:b/>
          <w:bCs/>
          <w:sz w:val="18"/>
          <w:szCs w:val="18"/>
        </w:rPr>
        <w:t>As comunicações e o respetivo resumo serão apreciadas pela Comissão Científica da Conferência</w:t>
      </w:r>
    </w:p>
    <w:p w14:paraId="0C2B7093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>Estudantes e Profs outras Faculdades - </w:t>
      </w:r>
      <w:r w:rsidRPr="005A5334">
        <w:rPr>
          <w:rFonts w:cs="Arial"/>
          <w:b/>
          <w:bCs/>
          <w:sz w:val="18"/>
          <w:szCs w:val="18"/>
        </w:rPr>
        <w:t>30€</w:t>
      </w:r>
    </w:p>
    <w:p w14:paraId="798A6F98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>Apresentação de Comunicações - </w:t>
      </w:r>
      <w:r w:rsidRPr="005A5334">
        <w:rPr>
          <w:rFonts w:cs="Arial"/>
          <w:b/>
          <w:bCs/>
          <w:sz w:val="18"/>
          <w:szCs w:val="18"/>
        </w:rPr>
        <w:t>25€</w:t>
      </w:r>
    </w:p>
    <w:p w14:paraId="4EE82343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>Certificado de Participação - </w:t>
      </w:r>
      <w:r w:rsidRPr="005A5334">
        <w:rPr>
          <w:rFonts w:cs="Arial"/>
          <w:b/>
          <w:bCs/>
          <w:sz w:val="18"/>
          <w:szCs w:val="18"/>
        </w:rPr>
        <w:t>20€</w:t>
      </w:r>
    </w:p>
    <w:p w14:paraId="3A9DA3B9" w14:textId="77777777" w:rsidR="005A5334" w:rsidRPr="005A5334" w:rsidRDefault="005A5334" w:rsidP="005A5334">
      <w:pPr>
        <w:spacing w:after="0" w:line="240" w:lineRule="auto"/>
        <w:ind w:firstLine="0"/>
        <w:jc w:val="left"/>
        <w:rPr>
          <w:rFonts w:cs="Arial"/>
          <w:sz w:val="18"/>
          <w:szCs w:val="18"/>
        </w:rPr>
      </w:pPr>
      <w:r w:rsidRPr="005A5334">
        <w:rPr>
          <w:rFonts w:cs="Arial"/>
          <w:sz w:val="18"/>
          <w:szCs w:val="18"/>
        </w:rPr>
        <w:t>Jantar de Convívio - </w:t>
      </w:r>
      <w:r w:rsidRPr="005A5334">
        <w:rPr>
          <w:rFonts w:cs="Arial"/>
          <w:b/>
          <w:bCs/>
          <w:sz w:val="18"/>
          <w:szCs w:val="18"/>
        </w:rPr>
        <w:t>40€</w:t>
      </w:r>
    </w:p>
    <w:p w14:paraId="211E76BF" w14:textId="77777777" w:rsidR="005A4C53" w:rsidRDefault="005A4C53">
      <w:pPr>
        <w:spacing w:after="160" w:line="259" w:lineRule="auto"/>
        <w:ind w:firstLine="0"/>
        <w:jc w:val="left"/>
        <w:rPr>
          <w:rFonts w:cs="Arial"/>
          <w:sz w:val="20"/>
          <w:szCs w:val="20"/>
          <w:lang w:val="pt-BR"/>
        </w:rPr>
      </w:pPr>
    </w:p>
    <w:p w14:paraId="28BE43F9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b/>
          <w:bCs/>
          <w:sz w:val="16"/>
          <w:szCs w:val="16"/>
          <w:lang w:eastAsia="pt-PT"/>
        </w:rPr>
      </w:pPr>
      <w:r w:rsidRPr="00580856">
        <w:rPr>
          <w:rFonts w:ascii="Verdana" w:hAnsi="Verdana" w:cs="Times New Roman"/>
          <w:sz w:val="16"/>
          <w:szCs w:val="16"/>
          <w:lang w:eastAsia="pt-PT"/>
        </w:rPr>
        <w:t>Conferência Internacional | - 21 e 22 de novembro</w:t>
      </w:r>
    </w:p>
    <w:p w14:paraId="26425EFB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sz w:val="16"/>
          <w:szCs w:val="16"/>
          <w:lang w:eastAsia="pt-PT"/>
        </w:rPr>
      </w:pPr>
      <w:r w:rsidRPr="00580856">
        <w:rPr>
          <w:rFonts w:ascii="Verdana" w:hAnsi="Verdana" w:cs="Times New Roman"/>
          <w:sz w:val="16"/>
          <w:szCs w:val="16"/>
          <w:lang w:eastAsia="pt-PT"/>
        </w:rPr>
        <w:t>25 de julho, 2024</w:t>
      </w:r>
      <w:r w:rsidRPr="00580856">
        <w:rPr>
          <w:rFonts w:ascii="Verdana" w:hAnsi="Verdana" w:cs="Times New Roman"/>
          <w:noProof/>
          <w:sz w:val="16"/>
          <w:szCs w:val="16"/>
          <w:lang w:eastAsia="pt-PT"/>
        </w:rPr>
        <w:drawing>
          <wp:inline distT="0" distB="0" distL="0" distR="0" wp14:anchorId="7ABBA1EC" wp14:editId="0B3FDDDD">
            <wp:extent cx="304800" cy="304800"/>
            <wp:effectExtent l="0" t="0" r="0" b="0"/>
            <wp:docPr id="533218570" name="Imagem 2" descr="Conferência Internacional | Convenção de Istambul - 21 e 22 de novemb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Conferência Internacional | Convenção de Istambul - 21 e 22 de novembro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428D83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sz w:val="16"/>
          <w:szCs w:val="16"/>
          <w:lang w:eastAsia="pt-PT"/>
        </w:rPr>
      </w:pPr>
      <w:r w:rsidRPr="00580856">
        <w:rPr>
          <w:rFonts w:ascii="Verdana" w:hAnsi="Verdana" w:cs="Times New Roman"/>
          <w:sz w:val="16"/>
          <w:szCs w:val="16"/>
          <w:lang w:eastAsia="pt-PT"/>
        </w:rPr>
        <w:t>A Associação Portuguesa de Mulheres Juristas e o Centro de Investigação de Direito Público – Lisbon Public Law – da Faculdade de Direito da Universidade de Lisboa (F.D.U.L.) vão realizar a Conferência Internacional </w:t>
      </w:r>
      <w:bookmarkStart w:id="17" w:name="_Hlk181001854"/>
      <w:r w:rsidRPr="00580856">
        <w:rPr>
          <w:rFonts w:ascii="Verdana" w:hAnsi="Verdana" w:cs="Times New Roman"/>
          <w:b/>
          <w:bCs/>
          <w:sz w:val="16"/>
          <w:szCs w:val="16"/>
          <w:lang w:eastAsia="pt-PT"/>
        </w:rPr>
        <w:t>“Convenção de Istambul – 10 anos fortalecendo compromissos”</w:t>
      </w:r>
      <w:r w:rsidRPr="00580856">
        <w:rPr>
          <w:rFonts w:ascii="Verdana" w:hAnsi="Verdana" w:cs="Times New Roman"/>
          <w:sz w:val="16"/>
          <w:szCs w:val="16"/>
          <w:lang w:eastAsia="pt-PT"/>
        </w:rPr>
        <w:t>, nos dias </w:t>
      </w:r>
      <w:r w:rsidRPr="00580856">
        <w:rPr>
          <w:rFonts w:ascii="Verdana" w:hAnsi="Verdana" w:cs="Times New Roman"/>
          <w:b/>
          <w:bCs/>
          <w:sz w:val="16"/>
          <w:szCs w:val="16"/>
          <w:lang w:eastAsia="pt-PT"/>
        </w:rPr>
        <w:t>21 e 22 de novembro</w:t>
      </w:r>
      <w:r w:rsidRPr="00580856">
        <w:rPr>
          <w:rFonts w:ascii="Verdana" w:hAnsi="Verdana" w:cs="Times New Roman"/>
          <w:sz w:val="16"/>
          <w:szCs w:val="16"/>
          <w:lang w:eastAsia="pt-PT"/>
        </w:rPr>
        <w:t>.</w:t>
      </w:r>
    </w:p>
    <w:p w14:paraId="233BBBA0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sz w:val="16"/>
          <w:szCs w:val="16"/>
          <w:lang w:eastAsia="pt-PT"/>
        </w:rPr>
      </w:pPr>
      <w:r w:rsidRPr="00580856">
        <w:rPr>
          <w:rFonts w:ascii="Verdana" w:hAnsi="Verdana" w:cs="Times New Roman"/>
          <w:sz w:val="16"/>
          <w:szCs w:val="16"/>
          <w:lang w:eastAsia="pt-PT"/>
        </w:rPr>
        <w:t>Esta Conferência visa debater os temas em discussão – a Violência Sexual, a Violência Digital, a Violência Obstétrica e as Migrações e Asilo - sob uma perspetiva jurídica feminista e elaborar propostas e recomendações para a defesa e promoção dos Direitos Humanos das Mulheres.</w:t>
      </w:r>
    </w:p>
    <w:bookmarkEnd w:id="17"/>
    <w:p w14:paraId="4599A538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sz w:val="16"/>
          <w:szCs w:val="16"/>
          <w:lang w:eastAsia="pt-PT"/>
        </w:rPr>
      </w:pPr>
      <w:r w:rsidRPr="00580856">
        <w:rPr>
          <w:rFonts w:ascii="Verdana" w:hAnsi="Verdana" w:cs="Times New Roman"/>
          <w:sz w:val="16"/>
          <w:szCs w:val="16"/>
          <w:lang w:eastAsia="pt-PT"/>
        </w:rPr>
        <w:t>Aceita-se o envio de comunicações até ao próximo dia </w:t>
      </w:r>
      <w:r w:rsidRPr="00580856">
        <w:rPr>
          <w:rFonts w:ascii="Verdana" w:hAnsi="Verdana" w:cs="Times New Roman"/>
          <w:b/>
          <w:bCs/>
          <w:sz w:val="16"/>
          <w:szCs w:val="16"/>
          <w:lang w:eastAsia="pt-PT"/>
        </w:rPr>
        <w:t>16 de setembro</w:t>
      </w:r>
      <w:r w:rsidRPr="00580856">
        <w:rPr>
          <w:rFonts w:ascii="Verdana" w:hAnsi="Verdana" w:cs="Times New Roman"/>
          <w:sz w:val="16"/>
          <w:szCs w:val="16"/>
          <w:lang w:eastAsia="pt-PT"/>
        </w:rPr>
        <w:t>. As/os autoras/es das comunicações selecionadas serão convidadas/os a fazer uma apresentação das mesmas durante o evento.</w:t>
      </w:r>
    </w:p>
    <w:p w14:paraId="326422BF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sz w:val="16"/>
          <w:szCs w:val="16"/>
          <w:lang w:eastAsia="pt-PT"/>
        </w:rPr>
      </w:pPr>
      <w:r w:rsidRPr="00580856">
        <w:rPr>
          <w:rFonts w:ascii="Verdana" w:hAnsi="Verdana" w:cs="Times New Roman"/>
          <w:sz w:val="16"/>
          <w:szCs w:val="16"/>
          <w:lang w:eastAsia="pt-PT"/>
        </w:rPr>
        <w:t> </w:t>
      </w:r>
    </w:p>
    <w:p w14:paraId="4695C537" w14:textId="77777777" w:rsidR="005A4C53" w:rsidRPr="00580856" w:rsidRDefault="005A4C53" w:rsidP="005A4C53">
      <w:pPr>
        <w:spacing w:after="0" w:line="240" w:lineRule="auto"/>
        <w:rPr>
          <w:rFonts w:ascii="Verdana" w:hAnsi="Verdana" w:cs="Times New Roman"/>
          <w:sz w:val="16"/>
          <w:szCs w:val="16"/>
          <w:lang w:eastAsia="pt-PT"/>
        </w:rPr>
      </w:pPr>
      <w:r w:rsidRPr="00580856">
        <w:rPr>
          <w:rFonts w:ascii="Verdana" w:hAnsi="Verdana" w:cs="Times New Roman"/>
          <w:b/>
          <w:bCs/>
          <w:sz w:val="16"/>
          <w:szCs w:val="16"/>
          <w:lang w:eastAsia="pt-PT"/>
        </w:rPr>
        <w:t>&gt;&gt; </w:t>
      </w:r>
      <w:hyperlink r:id="rId17" w:tgtFrame="_blank" w:history="1">
        <w:r w:rsidRPr="00580856">
          <w:rPr>
            <w:rStyle w:val="Hiperligao"/>
            <w:rFonts w:ascii="Verdana" w:hAnsi="Verdana" w:cs="Times New Roman"/>
            <w:b/>
            <w:bCs/>
            <w:sz w:val="16"/>
            <w:szCs w:val="16"/>
            <w:lang w:eastAsia="pt-PT"/>
          </w:rPr>
          <w:t>Mais informações</w:t>
        </w:r>
      </w:hyperlink>
      <w:r w:rsidRPr="00580856">
        <w:rPr>
          <w:rFonts w:ascii="Verdana" w:hAnsi="Verdana" w:cs="Times New Roman"/>
          <w:b/>
          <w:bCs/>
          <w:sz w:val="16"/>
          <w:szCs w:val="16"/>
          <w:lang w:eastAsia="pt-PT"/>
        </w:rPr>
        <w:t>;</w:t>
      </w:r>
    </w:p>
    <w:p w14:paraId="1BBBFC3A" w14:textId="4EF827DF" w:rsidR="002C1229" w:rsidRDefault="002C1229">
      <w:pPr>
        <w:spacing w:after="160" w:line="259" w:lineRule="auto"/>
        <w:ind w:firstLine="0"/>
        <w:jc w:val="left"/>
        <w:rPr>
          <w:rFonts w:cs="Arial"/>
          <w:sz w:val="20"/>
          <w:szCs w:val="20"/>
          <w:lang w:val="pt-BR"/>
        </w:rPr>
      </w:pPr>
      <w:r>
        <w:rPr>
          <w:rFonts w:cs="Arial"/>
          <w:sz w:val="20"/>
          <w:szCs w:val="20"/>
          <w:lang w:val="pt-BR"/>
        </w:rPr>
        <w:br w:type="page"/>
      </w:r>
    </w:p>
    <w:p w14:paraId="1EA07AF6" w14:textId="3BFB0410" w:rsidR="000F4B59" w:rsidRPr="002B2F25" w:rsidRDefault="002C1229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  <w:r>
        <w:rPr>
          <w:noProof/>
        </w:rPr>
        <w:drawing>
          <wp:inline distT="0" distB="0" distL="0" distR="0" wp14:anchorId="4A86D885" wp14:editId="51BD8AE5">
            <wp:extent cx="5400040" cy="7635875"/>
            <wp:effectExtent l="0" t="0" r="0" b="3175"/>
            <wp:docPr id="757038701" name="Imagem 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63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F4B59" w:rsidRPr="002B2F25" w:rsidSect="00AF6F0C">
      <w:pgSz w:w="11906" w:h="16838"/>
      <w:pgMar w:top="1276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C57B06" w14:textId="77777777" w:rsidR="003D6F77" w:rsidRDefault="003D6F77" w:rsidP="00970D4A">
      <w:pPr>
        <w:spacing w:after="0" w:line="240" w:lineRule="auto"/>
      </w:pPr>
      <w:r>
        <w:separator/>
      </w:r>
    </w:p>
  </w:endnote>
  <w:endnote w:type="continuationSeparator" w:id="0">
    <w:p w14:paraId="552495A2" w14:textId="77777777" w:rsidR="003D6F77" w:rsidRDefault="003D6F77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1BE2CA" w14:textId="77777777" w:rsidR="003D6F77" w:rsidRDefault="003D6F77" w:rsidP="00970D4A">
      <w:pPr>
        <w:spacing w:after="0" w:line="240" w:lineRule="auto"/>
      </w:pPr>
      <w:r>
        <w:separator/>
      </w:r>
    </w:p>
  </w:footnote>
  <w:footnote w:type="continuationSeparator" w:id="0">
    <w:p w14:paraId="25C8430B" w14:textId="77777777" w:rsidR="003D6F77" w:rsidRDefault="003D6F77" w:rsidP="00970D4A">
      <w:pPr>
        <w:spacing w:after="0" w:line="240" w:lineRule="auto"/>
      </w:pPr>
      <w:r>
        <w:continuationSeparator/>
      </w:r>
    </w:p>
  </w:footnote>
  <w:footnote w:id="1">
    <w:p w14:paraId="7B0C343B" w14:textId="6F50D0A0" w:rsidR="007D5429" w:rsidRPr="00767385" w:rsidRDefault="007D5429" w:rsidP="006943B8">
      <w:pPr>
        <w:adjustRightInd w:val="0"/>
        <w:spacing w:after="0" w:line="240" w:lineRule="auto"/>
        <w:ind w:firstLine="0"/>
        <w:rPr>
          <w:rFonts w:ascii="Times New Roman" w:hAnsi="Times New Roman" w:cs="Times New Roman"/>
          <w:color w:val="0563C1" w:themeColor="hyperlink"/>
          <w:sz w:val="20"/>
          <w:szCs w:val="20"/>
          <w:u w:val="single"/>
        </w:rPr>
      </w:pPr>
      <w:r w:rsidRPr="006943B8">
        <w:rPr>
          <w:rStyle w:val="Refdenotaderodap"/>
          <w:sz w:val="20"/>
          <w:szCs w:val="20"/>
        </w:rPr>
        <w:footnoteRef/>
      </w:r>
      <w:r w:rsidRPr="006943B8">
        <w:rPr>
          <w:sz w:val="20"/>
          <w:szCs w:val="20"/>
        </w:rPr>
        <w:t xml:space="preserve"> </w:t>
      </w:r>
      <w:r w:rsidR="00786BB0">
        <w:rPr>
          <w:rFonts w:ascii="Garamond" w:hAnsi="Garamond"/>
          <w:sz w:val="20"/>
          <w:szCs w:val="20"/>
        </w:rPr>
        <w:t>Professora Associada</w:t>
      </w:r>
      <w:r w:rsidR="006943B8" w:rsidRPr="006943B8">
        <w:rPr>
          <w:rFonts w:ascii="Garamond" w:hAnsi="Garamond"/>
          <w:sz w:val="20"/>
          <w:szCs w:val="20"/>
        </w:rPr>
        <w:t xml:space="preserve"> da Universidade Portucalense Infante D. Henrique. Investigadora integrada do Instituto Jurídico Portucalense. E-mail: </w:t>
      </w:r>
      <w:hyperlink r:id="rId1" w:history="1">
        <w:r w:rsidR="006943B8" w:rsidRPr="006943B8">
          <w:rPr>
            <w:rStyle w:val="Hiperligao"/>
            <w:rFonts w:ascii="Garamond" w:hAnsi="Garamond"/>
            <w:sz w:val="20"/>
            <w:szCs w:val="20"/>
          </w:rPr>
          <w:t>dra@upt.pt</w:t>
        </w:r>
      </w:hyperlink>
      <w:r w:rsidR="006943B8" w:rsidRPr="006943B8">
        <w:rPr>
          <w:rStyle w:val="Hiperligao"/>
          <w:rFonts w:ascii="Garamond" w:hAnsi="Garamond"/>
          <w:sz w:val="20"/>
          <w:szCs w:val="20"/>
        </w:rPr>
        <w:t xml:space="preserve"> </w:t>
      </w:r>
      <w:bookmarkStart w:id="2" w:name="_Hlk181001768"/>
      <w:r w:rsidR="006943B8" w:rsidRPr="00767385">
        <w:rPr>
          <w:rFonts w:ascii="Times New Roman" w:hAnsi="Times New Roman" w:cs="Times New Roman"/>
          <w:sz w:val="20"/>
          <w:szCs w:val="20"/>
        </w:rPr>
        <w:t xml:space="preserve">ORCID – </w:t>
      </w:r>
      <w:r w:rsidR="006943B8" w:rsidRPr="00767385">
        <w:rPr>
          <w:rFonts w:ascii="Times New Roman" w:hAnsi="Times New Roman" w:cs="Times New Roman"/>
          <w:color w:val="1F497D"/>
          <w:sz w:val="20"/>
          <w:szCs w:val="20"/>
        </w:rPr>
        <w:t xml:space="preserve">0000-0003-4720-1400 </w:t>
      </w:r>
      <w:r w:rsidR="006943B8" w:rsidRPr="00767385">
        <w:rPr>
          <w:rFonts w:ascii="Times New Roman" w:hAnsi="Times New Roman" w:cs="Times New Roman"/>
          <w:sz w:val="20"/>
          <w:szCs w:val="20"/>
        </w:rPr>
        <w:t xml:space="preserve"> </w:t>
      </w:r>
      <w:bookmarkEnd w:id="2"/>
    </w:p>
  </w:footnote>
  <w:footnote w:id="2">
    <w:p w14:paraId="4EBF82A4" w14:textId="0A60731A" w:rsidR="007D5429" w:rsidRPr="006943B8" w:rsidRDefault="007D5429" w:rsidP="006943B8">
      <w:pPr>
        <w:pStyle w:val="Textodenotaderodap"/>
        <w:ind w:firstLine="0"/>
      </w:pPr>
      <w:r w:rsidRPr="006943B8">
        <w:rPr>
          <w:rStyle w:val="Refdenotaderodap"/>
        </w:rPr>
        <w:footnoteRef/>
      </w:r>
      <w:r w:rsidRPr="006943B8">
        <w:t xml:space="preserve"> </w:t>
      </w:r>
      <w:r w:rsidR="004C6A64" w:rsidRPr="006943B8">
        <w:rPr>
          <w:rFonts w:ascii="Garamond" w:hAnsi="Garamond"/>
        </w:rPr>
        <w:t xml:space="preserve">Discente da Universidade Portucalense Infante D. Henrique. </w:t>
      </w:r>
      <w:bookmarkStart w:id="3" w:name="_Hlk181001754"/>
      <w:r w:rsidR="004C6A64" w:rsidRPr="006943B8">
        <w:rPr>
          <w:rFonts w:ascii="Garamond" w:hAnsi="Garamond"/>
        </w:rPr>
        <w:t>Investigadora</w:t>
      </w:r>
      <w:r w:rsidR="004C6A64">
        <w:rPr>
          <w:rFonts w:ascii="Garamond" w:hAnsi="Garamond"/>
        </w:rPr>
        <w:t xml:space="preserve"> </w:t>
      </w:r>
      <w:r w:rsidR="002B718F">
        <w:rPr>
          <w:rFonts w:ascii="Garamond" w:hAnsi="Garamond"/>
        </w:rPr>
        <w:t xml:space="preserve">a colaborar com </w:t>
      </w:r>
      <w:r w:rsidR="004C6A64" w:rsidRPr="006943B8">
        <w:rPr>
          <w:rFonts w:ascii="Garamond" w:hAnsi="Garamond"/>
        </w:rPr>
        <w:t xml:space="preserve">o Instituto Jurídico Portucalense. E-mail: </w:t>
      </w:r>
      <w:hyperlink r:id="rId2" w:history="1">
        <w:r w:rsidR="004C6A64" w:rsidRPr="00682B1B">
          <w:rPr>
            <w:rStyle w:val="Hiperligao"/>
            <w:rFonts w:ascii="Garamond" w:hAnsi="Garamond"/>
          </w:rPr>
          <w:t>angelikalima@</w:t>
        </w:r>
      </w:hyperlink>
      <w:r w:rsidR="004C6A64">
        <w:rPr>
          <w:rStyle w:val="Hiperligao"/>
          <w:rFonts w:ascii="Garamond" w:hAnsi="Garamond"/>
        </w:rPr>
        <w:t>gmail.com</w:t>
      </w:r>
      <w:r w:rsidR="004C6A64" w:rsidRPr="006943B8">
        <w:rPr>
          <w:rFonts w:ascii="Garamond" w:hAnsi="Garamond"/>
        </w:rPr>
        <w:t xml:space="preserve"> ORCID:</w:t>
      </w:r>
      <w:r w:rsidR="004C6A64" w:rsidRPr="006D5DF8">
        <w:t xml:space="preserve"> </w:t>
      </w:r>
      <w:r w:rsidR="004C6A64" w:rsidRPr="006D5DF8">
        <w:rPr>
          <w:rFonts w:ascii="Times New Roman" w:hAnsi="Times New Roman" w:cs="Times New Roman"/>
          <w:color w:val="1F497D"/>
        </w:rPr>
        <w:t>0009-0001-7781-2846</w:t>
      </w:r>
      <w:r w:rsidR="004C6A64">
        <w:rPr>
          <w:rFonts w:ascii="Garamond" w:hAnsi="Garamond"/>
        </w:rPr>
        <w:t xml:space="preserve"> </w:t>
      </w:r>
      <w:r w:rsidR="004C6A64" w:rsidRPr="006943B8">
        <w:rPr>
          <w:rFonts w:ascii="Garamond" w:hAnsi="Garamond"/>
        </w:rPr>
        <w:t xml:space="preserve"> </w:t>
      </w:r>
      <w:bookmarkEnd w:id="3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DA5D7E"/>
    <w:multiLevelType w:val="multilevel"/>
    <w:tmpl w:val="EC66C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76451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0136C"/>
    <w:rsid w:val="00003958"/>
    <w:rsid w:val="0003296E"/>
    <w:rsid w:val="00061463"/>
    <w:rsid w:val="00075179"/>
    <w:rsid w:val="000C229D"/>
    <w:rsid w:val="000C5F2A"/>
    <w:rsid w:val="000D0F55"/>
    <w:rsid w:val="000D11E8"/>
    <w:rsid w:val="000E676F"/>
    <w:rsid w:val="000F4B59"/>
    <w:rsid w:val="000F52C7"/>
    <w:rsid w:val="00105F1C"/>
    <w:rsid w:val="00111D5A"/>
    <w:rsid w:val="0011319E"/>
    <w:rsid w:val="00114F3B"/>
    <w:rsid w:val="001168F0"/>
    <w:rsid w:val="00133E76"/>
    <w:rsid w:val="00144B50"/>
    <w:rsid w:val="001453ED"/>
    <w:rsid w:val="001507A5"/>
    <w:rsid w:val="00155B83"/>
    <w:rsid w:val="00161E9F"/>
    <w:rsid w:val="001620BD"/>
    <w:rsid w:val="00170EE3"/>
    <w:rsid w:val="001A7D17"/>
    <w:rsid w:val="001C43CE"/>
    <w:rsid w:val="001D33FD"/>
    <w:rsid w:val="002057CF"/>
    <w:rsid w:val="002155F7"/>
    <w:rsid w:val="002238AB"/>
    <w:rsid w:val="002522F2"/>
    <w:rsid w:val="00256574"/>
    <w:rsid w:val="00267CE2"/>
    <w:rsid w:val="00287AC4"/>
    <w:rsid w:val="002954C7"/>
    <w:rsid w:val="002A7414"/>
    <w:rsid w:val="002B2F25"/>
    <w:rsid w:val="002B718F"/>
    <w:rsid w:val="002C1229"/>
    <w:rsid w:val="002C133B"/>
    <w:rsid w:val="002D5BF0"/>
    <w:rsid w:val="00316FBA"/>
    <w:rsid w:val="00324E6E"/>
    <w:rsid w:val="00335627"/>
    <w:rsid w:val="00346155"/>
    <w:rsid w:val="00350651"/>
    <w:rsid w:val="0035339A"/>
    <w:rsid w:val="003A1022"/>
    <w:rsid w:val="003B2CB1"/>
    <w:rsid w:val="003B56F5"/>
    <w:rsid w:val="003C44B0"/>
    <w:rsid w:val="003D495B"/>
    <w:rsid w:val="003D6F77"/>
    <w:rsid w:val="003E3B37"/>
    <w:rsid w:val="004167EC"/>
    <w:rsid w:val="00422D7C"/>
    <w:rsid w:val="00434C32"/>
    <w:rsid w:val="00441942"/>
    <w:rsid w:val="00474150"/>
    <w:rsid w:val="00484186"/>
    <w:rsid w:val="004878D1"/>
    <w:rsid w:val="004975F8"/>
    <w:rsid w:val="004A629B"/>
    <w:rsid w:val="004B3358"/>
    <w:rsid w:val="004C1F98"/>
    <w:rsid w:val="004C5564"/>
    <w:rsid w:val="004C64C7"/>
    <w:rsid w:val="004C6A64"/>
    <w:rsid w:val="004D60C0"/>
    <w:rsid w:val="004D682E"/>
    <w:rsid w:val="004E6E26"/>
    <w:rsid w:val="004F3559"/>
    <w:rsid w:val="004F37A3"/>
    <w:rsid w:val="0050006D"/>
    <w:rsid w:val="0050171F"/>
    <w:rsid w:val="00512CC0"/>
    <w:rsid w:val="00531E72"/>
    <w:rsid w:val="00567AE7"/>
    <w:rsid w:val="005710E8"/>
    <w:rsid w:val="00583B6A"/>
    <w:rsid w:val="00585A42"/>
    <w:rsid w:val="005A4C53"/>
    <w:rsid w:val="005A5334"/>
    <w:rsid w:val="005A7B5E"/>
    <w:rsid w:val="005B2EEA"/>
    <w:rsid w:val="005D7DFD"/>
    <w:rsid w:val="005F17FB"/>
    <w:rsid w:val="00601812"/>
    <w:rsid w:val="006039EC"/>
    <w:rsid w:val="00611E1B"/>
    <w:rsid w:val="0061566A"/>
    <w:rsid w:val="0062248B"/>
    <w:rsid w:val="00625F57"/>
    <w:rsid w:val="006607CF"/>
    <w:rsid w:val="00664C5C"/>
    <w:rsid w:val="006669FD"/>
    <w:rsid w:val="006734C2"/>
    <w:rsid w:val="00677C16"/>
    <w:rsid w:val="006943B8"/>
    <w:rsid w:val="00695095"/>
    <w:rsid w:val="006A4F36"/>
    <w:rsid w:val="006A684B"/>
    <w:rsid w:val="006B710C"/>
    <w:rsid w:val="006C19BE"/>
    <w:rsid w:val="006E21F7"/>
    <w:rsid w:val="006E3ADD"/>
    <w:rsid w:val="006F109A"/>
    <w:rsid w:val="00702E97"/>
    <w:rsid w:val="007053F9"/>
    <w:rsid w:val="00705D1E"/>
    <w:rsid w:val="00706042"/>
    <w:rsid w:val="00716438"/>
    <w:rsid w:val="0071706D"/>
    <w:rsid w:val="0073214E"/>
    <w:rsid w:val="00750A32"/>
    <w:rsid w:val="00763611"/>
    <w:rsid w:val="00767385"/>
    <w:rsid w:val="00777204"/>
    <w:rsid w:val="00780069"/>
    <w:rsid w:val="00786BB0"/>
    <w:rsid w:val="0079382E"/>
    <w:rsid w:val="00794089"/>
    <w:rsid w:val="00797507"/>
    <w:rsid w:val="007B289B"/>
    <w:rsid w:val="007B359F"/>
    <w:rsid w:val="007B4ED8"/>
    <w:rsid w:val="007C076E"/>
    <w:rsid w:val="007C2577"/>
    <w:rsid w:val="007C458A"/>
    <w:rsid w:val="007D5429"/>
    <w:rsid w:val="007D675F"/>
    <w:rsid w:val="007E3842"/>
    <w:rsid w:val="007F2652"/>
    <w:rsid w:val="007F761A"/>
    <w:rsid w:val="00802E65"/>
    <w:rsid w:val="00805539"/>
    <w:rsid w:val="00806319"/>
    <w:rsid w:val="00812163"/>
    <w:rsid w:val="00831106"/>
    <w:rsid w:val="008322D5"/>
    <w:rsid w:val="00841160"/>
    <w:rsid w:val="00846FFE"/>
    <w:rsid w:val="00861D05"/>
    <w:rsid w:val="00881D1B"/>
    <w:rsid w:val="0088590A"/>
    <w:rsid w:val="00897100"/>
    <w:rsid w:val="008A4C93"/>
    <w:rsid w:val="008A52BA"/>
    <w:rsid w:val="008A6017"/>
    <w:rsid w:val="008B1CB0"/>
    <w:rsid w:val="008B2EBD"/>
    <w:rsid w:val="008B5D15"/>
    <w:rsid w:val="008C1EED"/>
    <w:rsid w:val="008C5149"/>
    <w:rsid w:val="008C5747"/>
    <w:rsid w:val="008E6149"/>
    <w:rsid w:val="008E75F2"/>
    <w:rsid w:val="00932678"/>
    <w:rsid w:val="0093637A"/>
    <w:rsid w:val="00946A51"/>
    <w:rsid w:val="0095336E"/>
    <w:rsid w:val="00953545"/>
    <w:rsid w:val="009550A3"/>
    <w:rsid w:val="00970D4A"/>
    <w:rsid w:val="00985A15"/>
    <w:rsid w:val="00987512"/>
    <w:rsid w:val="009A1043"/>
    <w:rsid w:val="009B4EEB"/>
    <w:rsid w:val="009D7A2A"/>
    <w:rsid w:val="009D7EA6"/>
    <w:rsid w:val="009E281D"/>
    <w:rsid w:val="009F089A"/>
    <w:rsid w:val="009F09D3"/>
    <w:rsid w:val="009F1B99"/>
    <w:rsid w:val="009F3232"/>
    <w:rsid w:val="009F76AE"/>
    <w:rsid w:val="009F76F8"/>
    <w:rsid w:val="00A27866"/>
    <w:rsid w:val="00A342DF"/>
    <w:rsid w:val="00A34A84"/>
    <w:rsid w:val="00A350F5"/>
    <w:rsid w:val="00A41DE6"/>
    <w:rsid w:val="00A50BF9"/>
    <w:rsid w:val="00A52132"/>
    <w:rsid w:val="00A52DDB"/>
    <w:rsid w:val="00A63F41"/>
    <w:rsid w:val="00A743D1"/>
    <w:rsid w:val="00A7632F"/>
    <w:rsid w:val="00A919C7"/>
    <w:rsid w:val="00AA05DC"/>
    <w:rsid w:val="00AB4F74"/>
    <w:rsid w:val="00AB790C"/>
    <w:rsid w:val="00AD72AE"/>
    <w:rsid w:val="00AF6F0C"/>
    <w:rsid w:val="00B041E7"/>
    <w:rsid w:val="00B04FB7"/>
    <w:rsid w:val="00B10E8A"/>
    <w:rsid w:val="00B11077"/>
    <w:rsid w:val="00B434B2"/>
    <w:rsid w:val="00B70453"/>
    <w:rsid w:val="00B8531D"/>
    <w:rsid w:val="00B931C8"/>
    <w:rsid w:val="00B954A9"/>
    <w:rsid w:val="00B964EE"/>
    <w:rsid w:val="00BA5402"/>
    <w:rsid w:val="00BB21D5"/>
    <w:rsid w:val="00BB41ED"/>
    <w:rsid w:val="00BC19BA"/>
    <w:rsid w:val="00BC4645"/>
    <w:rsid w:val="00BC6356"/>
    <w:rsid w:val="00BD391C"/>
    <w:rsid w:val="00BE2381"/>
    <w:rsid w:val="00BE55C9"/>
    <w:rsid w:val="00BE5B0B"/>
    <w:rsid w:val="00C00BF7"/>
    <w:rsid w:val="00C00CD0"/>
    <w:rsid w:val="00C04F6E"/>
    <w:rsid w:val="00C2549F"/>
    <w:rsid w:val="00C4183D"/>
    <w:rsid w:val="00C42A96"/>
    <w:rsid w:val="00C43F1F"/>
    <w:rsid w:val="00C5119A"/>
    <w:rsid w:val="00C535CF"/>
    <w:rsid w:val="00C5622C"/>
    <w:rsid w:val="00C84D45"/>
    <w:rsid w:val="00C904E0"/>
    <w:rsid w:val="00C93D7B"/>
    <w:rsid w:val="00CA0263"/>
    <w:rsid w:val="00CA74AF"/>
    <w:rsid w:val="00CC2B51"/>
    <w:rsid w:val="00CC52B3"/>
    <w:rsid w:val="00CD69A1"/>
    <w:rsid w:val="00CE7320"/>
    <w:rsid w:val="00D05841"/>
    <w:rsid w:val="00D1780A"/>
    <w:rsid w:val="00D247F5"/>
    <w:rsid w:val="00D349FC"/>
    <w:rsid w:val="00D40C94"/>
    <w:rsid w:val="00D42CB8"/>
    <w:rsid w:val="00D46C0B"/>
    <w:rsid w:val="00D513AC"/>
    <w:rsid w:val="00D65393"/>
    <w:rsid w:val="00D72BA1"/>
    <w:rsid w:val="00D74049"/>
    <w:rsid w:val="00D84307"/>
    <w:rsid w:val="00DA44BD"/>
    <w:rsid w:val="00DA60CB"/>
    <w:rsid w:val="00DB58A8"/>
    <w:rsid w:val="00DB73F9"/>
    <w:rsid w:val="00DD3721"/>
    <w:rsid w:val="00DD5199"/>
    <w:rsid w:val="00DE69F4"/>
    <w:rsid w:val="00DE71A8"/>
    <w:rsid w:val="00E01713"/>
    <w:rsid w:val="00E20CE0"/>
    <w:rsid w:val="00E36F8E"/>
    <w:rsid w:val="00E42755"/>
    <w:rsid w:val="00E71407"/>
    <w:rsid w:val="00E735F7"/>
    <w:rsid w:val="00E752F5"/>
    <w:rsid w:val="00E834EC"/>
    <w:rsid w:val="00E86345"/>
    <w:rsid w:val="00E92CE6"/>
    <w:rsid w:val="00E96FE1"/>
    <w:rsid w:val="00EA7ACC"/>
    <w:rsid w:val="00EB04E2"/>
    <w:rsid w:val="00ED11B6"/>
    <w:rsid w:val="00ED67B3"/>
    <w:rsid w:val="00EE328E"/>
    <w:rsid w:val="00EF1C41"/>
    <w:rsid w:val="00F10FD9"/>
    <w:rsid w:val="00F52084"/>
    <w:rsid w:val="00F6593B"/>
    <w:rsid w:val="00F80A9A"/>
    <w:rsid w:val="00FB7DF0"/>
    <w:rsid w:val="00FF24A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9F3232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32"/>
      <w:szCs w:val="32"/>
      <w:lang w:val="pt-BR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F09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9F3232"/>
    <w:rPr>
      <w:rFonts w:ascii="Arial" w:eastAsia="Times New Roman" w:hAnsi="Arial" w:cs="Arial"/>
      <w:b/>
      <w:bCs/>
      <w:caps/>
      <w:color w:val="000000" w:themeColor="text1"/>
      <w:kern w:val="0"/>
      <w:sz w:val="32"/>
      <w:szCs w:val="32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qFormat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0F4B59"/>
    <w:rPr>
      <w:b/>
      <w:bCs/>
    </w:rPr>
  </w:style>
  <w:style w:type="character" w:customStyle="1" w:styleId="article-title">
    <w:name w:val="article-title"/>
    <w:basedOn w:val="Tipodeletrapredefinidodopargrafo"/>
    <w:rsid w:val="00DD3721"/>
  </w:style>
  <w:style w:type="paragraph" w:styleId="Ttulo">
    <w:name w:val="Title"/>
    <w:basedOn w:val="Normal"/>
    <w:next w:val="Normal"/>
    <w:link w:val="TtuloCarter"/>
    <w:uiPriority w:val="10"/>
    <w:qFormat/>
    <w:rsid w:val="006E3AD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6E3ADD"/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  <w14:ligatures w14:val="non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A05DC"/>
    <w:rPr>
      <w:color w:val="954F72" w:themeColor="followedHyperlink"/>
      <w:u w:val="single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F09D3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1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83524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05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09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750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59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55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7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82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6103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480462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9924196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44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36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8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511542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6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26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47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1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4723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946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602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170016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2979156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61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344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02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81245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11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408654">
          <w:marLeft w:val="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2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09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7773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12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688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50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493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0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5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9450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36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874607">
          <w:marLeft w:val="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95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59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3173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21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304595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5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revistafides.ufrn.br/index.php/br/article/view/317" TargetMode="External"/><Relationship Id="rId1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ur-lex.europa.eu/legal-content/PT/TXT/PDF/?uri=CELEX:62019CG0001&amp;from=PT" TargetMode="External"/><Relationship Id="rId17" Type="http://schemas.openxmlformats.org/officeDocument/2006/relationships/hyperlink" Target="https://apmj.pt/ci10anos" TargetMode="External"/><Relationship Id="rId2" Type="http://schemas.openxmlformats.org/officeDocument/2006/relationships/numbering" Target="numbering.xml"/><Relationship Id="rId16" Type="http://schemas.openxmlformats.org/officeDocument/2006/relationships/image" Target="cid:image001.png@01DAFEEC.E67C3E5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hdl.handle.net/11328/1862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gif"/><Relationship Id="rId10" Type="http://schemas.openxmlformats.org/officeDocument/2006/relationships/hyperlink" Target="http://hdl.handle.net/11328/181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apmj.pt/ci10anos" TargetMode="External"/><Relationship Id="rId14" Type="http://schemas.openxmlformats.org/officeDocument/2006/relationships/hyperlink" Target="https://exaequo.apem-estudos.org/artigo/31-a-convencao-de-istambul-e-o-novo-paradigma-da-violencia-de-ge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angelikalima@" TargetMode="External"/><Relationship Id="rId1" Type="http://schemas.openxmlformats.org/officeDocument/2006/relationships/hyperlink" Target="mailto:DRA@UPT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1129</Words>
  <Characters>6102</Characters>
  <Application>Microsoft Office Word</Application>
  <DocSecurity>0</DocSecurity>
  <Lines>50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2</vt:i4>
      </vt:variant>
    </vt:vector>
  </HeadingPairs>
  <TitlesOfParts>
    <vt:vector size="3" baseType="lpstr">
      <vt:lpstr/>
      <vt:lpstr>EIXO: Migrações e Asilo</vt:lpstr>
      <vt:lpstr>Resumo:   </vt:lpstr>
    </vt:vector>
  </TitlesOfParts>
  <Company/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Dora Resende Alves</cp:lastModifiedBy>
  <cp:revision>8</cp:revision>
  <dcterms:created xsi:type="dcterms:W3CDTF">2024-09-28T16:01:00Z</dcterms:created>
  <dcterms:modified xsi:type="dcterms:W3CDTF">2024-11-10T00:26:00Z</dcterms:modified>
</cp:coreProperties>
</file>