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FB9D9" w14:textId="77777777" w:rsidR="00E638C5" w:rsidRDefault="00E638C5" w:rsidP="00F27F5F">
      <w:pPr>
        <w:pStyle w:val="Ttulo1"/>
        <w:rPr>
          <w:rFonts w:ascii="Times New Roman" w:hAnsi="Times New Roman" w:cs="Times New Roman"/>
          <w:color w:val="A5A5A5" w:themeColor="accent3"/>
          <w:sz w:val="28"/>
          <w:szCs w:val="28"/>
        </w:rPr>
      </w:pPr>
    </w:p>
    <w:p w14:paraId="06ED2F27" w14:textId="52358F26" w:rsidR="006916B6" w:rsidRDefault="008B60B9" w:rsidP="00BF1D5B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  <w:r>
        <w:rPr>
          <w:noProof/>
        </w:rPr>
        <w:drawing>
          <wp:inline distT="0" distB="0" distL="0" distR="0" wp14:anchorId="61AA75F8" wp14:editId="2941891B">
            <wp:extent cx="5143500" cy="1333500"/>
            <wp:effectExtent l="0" t="0" r="0" b="0"/>
            <wp:docPr id="308372923" name="Imagem 1" descr="Gestión Campañas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stión Campañas 8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DC4955" w14:textId="77777777" w:rsidR="008B60B9" w:rsidRDefault="008B60B9" w:rsidP="00BF1D5B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2EF5BA6E" w14:textId="524F0CA5" w:rsidR="001D7BB0" w:rsidRPr="001D7BB0" w:rsidRDefault="001D7BB0" w:rsidP="001D7BB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>I</w:t>
      </w:r>
      <w:r w:rsidR="00532D6E">
        <w:rPr>
          <w:rFonts w:ascii="Times New Roman" w:hAnsi="Times New Roman" w:cs="Times New Roman"/>
          <w:b/>
          <w:bCs/>
          <w:sz w:val="28"/>
          <w:szCs w:val="28"/>
          <w:lang w:val="pt-PT"/>
        </w:rPr>
        <w:t>I</w:t>
      </w:r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>I Congreso Internacional de Comunicación Europea (CICOMEU)</w:t>
      </w:r>
    </w:p>
    <w:p w14:paraId="23FDE062" w14:textId="2091680D" w:rsidR="001D7BB0" w:rsidRPr="001D7BB0" w:rsidRDefault="00A54620" w:rsidP="001D7BB0">
      <w:pPr>
        <w:jc w:val="center"/>
        <w:rPr>
          <w:rFonts w:ascii="Times New Roman" w:hAnsi="Times New Roman" w:cs="Times New Roman"/>
          <w:sz w:val="28"/>
          <w:szCs w:val="28"/>
          <w:lang w:val="pt-PT"/>
        </w:rPr>
      </w:pPr>
      <w:r w:rsidRPr="00A54620">
        <w:rPr>
          <w:rFonts w:ascii="Times New Roman" w:hAnsi="Times New Roman" w:cs="Times New Roman"/>
          <w:sz w:val="28"/>
          <w:szCs w:val="28"/>
        </w:rPr>
        <w:t>La Europa de proximidad en el contexto de los nuevos formatos comunicativos y la inteligencia artificial</w:t>
      </w:r>
    </w:p>
    <w:p w14:paraId="4917A7F5" w14:textId="77777777" w:rsidR="006916B6" w:rsidRDefault="006916B6" w:rsidP="001D7BB0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746695B4" w14:textId="28AAC9CE" w:rsidR="00A164BE" w:rsidRDefault="00524E80" w:rsidP="00A164BE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  <w:hyperlink r:id="rId9" w:history="1">
        <w:r w:rsidR="001D7BB0" w:rsidRPr="000F2A4B">
          <w:rPr>
            <w:rStyle w:val="Hiperligao"/>
          </w:rPr>
          <w:t>https://cicomeu.org/presentacion/</w:t>
        </w:r>
      </w:hyperlink>
      <w:r w:rsidR="001D7BB0">
        <w:t xml:space="preserve"> </w:t>
      </w:r>
      <w:r w:rsidR="006916B6"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  <w:t xml:space="preserve"> </w:t>
      </w:r>
    </w:p>
    <w:p w14:paraId="2EF51B64" w14:textId="77777777" w:rsidR="00A164BE" w:rsidRDefault="00A164BE" w:rsidP="00A164BE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2C4231CF" w14:textId="77777777" w:rsidR="00A164BE" w:rsidRDefault="00A164BE" w:rsidP="001D7BB0">
      <w:pPr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3F7E08AF" w14:textId="13F1B324" w:rsidR="000D6DE6" w:rsidRPr="00207166" w:rsidRDefault="00405AF3" w:rsidP="0020716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A construção de poster como </w:t>
      </w:r>
      <w:r w:rsidR="003E7D61">
        <w:rPr>
          <w:rFonts w:ascii="Times New Roman" w:hAnsi="Times New Roman" w:cs="Times New Roman"/>
          <w:b/>
          <w:bCs/>
          <w:sz w:val="28"/>
          <w:szCs w:val="28"/>
          <w:lang w:val="pt-PT"/>
        </w:rPr>
        <w:t>instrumento de formação para o direito</w:t>
      </w:r>
      <w:r w:rsidR="008B60B9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da</w:t>
      </w:r>
      <w:r w:rsidR="00C76E7A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União Europeia</w:t>
      </w:r>
      <w:r w:rsidR="000D6DE6" w:rsidRPr="000D6DE6">
        <w:rPr>
          <w:rFonts w:ascii="Times New Roman" w:hAnsi="Times New Roman" w:cs="Times New Roman"/>
          <w:b/>
          <w:bCs/>
          <w:sz w:val="28"/>
          <w:szCs w:val="28"/>
          <w:lang w:val="pt-PT"/>
        </w:rPr>
        <w:t>: rigor científico e uso responsável de IA para promover cidadania e comunicação jurídica acessível</w:t>
      </w:r>
    </w:p>
    <w:p w14:paraId="1718C94B" w14:textId="77777777" w:rsidR="000D6DE6" w:rsidRPr="003D78A8" w:rsidRDefault="000D6DE6" w:rsidP="000D6DE6">
      <w:pPr>
        <w:jc w:val="both"/>
        <w:rPr>
          <w:rFonts w:ascii="Times New Roman" w:hAnsi="Times New Roman" w:cs="Times New Roman"/>
          <w:lang w:val="pt-PT"/>
        </w:rPr>
      </w:pPr>
    </w:p>
    <w:p w14:paraId="4B5191DA" w14:textId="77777777" w:rsidR="00A164BE" w:rsidRPr="003D78A8" w:rsidRDefault="00A164BE" w:rsidP="001D7BB0">
      <w:pPr>
        <w:rPr>
          <w:rFonts w:ascii="Times New Roman" w:hAnsi="Times New Roman" w:cs="Times New Roman"/>
          <w:lang w:val="pt-PT"/>
        </w:rPr>
      </w:pPr>
    </w:p>
    <w:p w14:paraId="78DAF774" w14:textId="77777777" w:rsidR="00DF273B" w:rsidRPr="003D78A8" w:rsidRDefault="00DF273B" w:rsidP="00DF273B">
      <w:pPr>
        <w:jc w:val="center"/>
        <w:rPr>
          <w:rFonts w:ascii="Times New Roman" w:hAnsi="Times New Roman" w:cs="Times New Roman"/>
          <w:b/>
          <w:bCs/>
          <w:i/>
          <w:lang w:val="pt-PT"/>
        </w:rPr>
      </w:pPr>
      <w:r w:rsidRPr="003D78A8">
        <w:rPr>
          <w:rFonts w:ascii="Times New Roman" w:hAnsi="Times New Roman" w:cs="Times New Roman"/>
          <w:b/>
          <w:bCs/>
          <w:i/>
          <w:lang w:val="pt-PT"/>
        </w:rPr>
        <w:t>Dora Resende Alves</w:t>
      </w:r>
    </w:p>
    <w:p w14:paraId="2AE5DA2C" w14:textId="49CE04BF" w:rsidR="0060239E" w:rsidRDefault="00DF273B" w:rsidP="00DF273B">
      <w:pPr>
        <w:jc w:val="center"/>
        <w:rPr>
          <w:rFonts w:ascii="Times New Roman" w:hAnsi="Times New Roman" w:cs="Times New Roman"/>
          <w:bCs/>
          <w:lang w:val="pt-PT"/>
        </w:rPr>
      </w:pPr>
      <w:r w:rsidRPr="003D78A8">
        <w:rPr>
          <w:rFonts w:ascii="Times New Roman" w:hAnsi="Times New Roman" w:cs="Times New Roman"/>
          <w:bCs/>
          <w:lang w:val="pt-PT"/>
        </w:rPr>
        <w:t>Departamento de Direito</w:t>
      </w:r>
      <w:r w:rsidR="00405AF3">
        <w:rPr>
          <w:rFonts w:ascii="Times New Roman" w:hAnsi="Times New Roman" w:cs="Times New Roman"/>
          <w:bCs/>
          <w:lang w:val="pt-PT"/>
        </w:rPr>
        <w:t xml:space="preserve"> (DD)</w:t>
      </w:r>
      <w:r w:rsidRPr="003D78A8">
        <w:rPr>
          <w:rFonts w:ascii="Times New Roman" w:hAnsi="Times New Roman" w:cs="Times New Roman"/>
          <w:bCs/>
          <w:lang w:val="pt-PT"/>
        </w:rPr>
        <w:t>, Universidade Portucalense Infante D. Henrique</w:t>
      </w:r>
      <w:r w:rsidR="00405AF3">
        <w:rPr>
          <w:rFonts w:ascii="Times New Roman" w:hAnsi="Times New Roman" w:cs="Times New Roman"/>
          <w:bCs/>
          <w:lang w:val="pt-PT"/>
        </w:rPr>
        <w:t xml:space="preserve"> (UPT)</w:t>
      </w:r>
      <w:r w:rsidRPr="003D78A8">
        <w:rPr>
          <w:rFonts w:ascii="Times New Roman" w:hAnsi="Times New Roman" w:cs="Times New Roman"/>
          <w:bCs/>
          <w:lang w:val="pt-PT"/>
        </w:rPr>
        <w:t xml:space="preserve">, Porto, Portugal; </w:t>
      </w:r>
    </w:p>
    <w:bookmarkStart w:id="0" w:name="_Hlk213005999"/>
    <w:p w14:paraId="58B4DB1C" w14:textId="642B5252" w:rsidR="0060239E" w:rsidRPr="0060239E" w:rsidRDefault="0060239E" w:rsidP="00DF273B">
      <w:pPr>
        <w:jc w:val="center"/>
        <w:rPr>
          <w:rStyle w:val="Hiperligao"/>
          <w:rFonts w:ascii="Arial" w:hAnsi="Arial" w:cs="Arial"/>
          <w:sz w:val="18"/>
          <w:szCs w:val="18"/>
          <w:shd w:val="clear" w:color="auto" w:fill="FFFFFF"/>
        </w:rPr>
      </w:pPr>
      <w:r>
        <w:fldChar w:fldCharType="begin"/>
      </w:r>
      <w:r>
        <w:instrText>HYPERLINK "http://orcid.org/0000-0003-4720-1400"</w:instrText>
      </w:r>
      <w:r>
        <w:fldChar w:fldCharType="separate"/>
      </w:r>
      <w:r w:rsidRPr="0060239E">
        <w:rPr>
          <w:rStyle w:val="Hiperligao"/>
          <w:rFonts w:ascii="Arial" w:hAnsi="Arial" w:cs="Arial"/>
          <w:sz w:val="18"/>
          <w:szCs w:val="18"/>
          <w:shd w:val="clear" w:color="auto" w:fill="FFFFFF"/>
        </w:rPr>
        <w:t>http://orcid.org/0000-0003-4720-1400</w:t>
      </w:r>
      <w:r>
        <w:fldChar w:fldCharType="end"/>
      </w:r>
    </w:p>
    <w:bookmarkEnd w:id="0"/>
    <w:p w14:paraId="03541807" w14:textId="3C6C5E8B" w:rsidR="00DF273B" w:rsidRDefault="0060239E" w:rsidP="00DF273B">
      <w:pPr>
        <w:jc w:val="center"/>
        <w:rPr>
          <w:rFonts w:ascii="Times New Roman" w:hAnsi="Times New Roman" w:cs="Times New Roman"/>
          <w:bCs/>
          <w:lang w:val="pt-PT"/>
        </w:rPr>
      </w:pPr>
      <w:r>
        <w:fldChar w:fldCharType="begin"/>
      </w:r>
      <w:r>
        <w:instrText>HYPERLINK "mailto:dra@upt.pt"</w:instrText>
      </w:r>
      <w:r>
        <w:fldChar w:fldCharType="separate"/>
      </w:r>
      <w:r w:rsidRPr="00584FAD">
        <w:rPr>
          <w:rStyle w:val="Hiperligao"/>
          <w:rFonts w:ascii="Times New Roman" w:hAnsi="Times New Roman" w:cs="Times New Roman"/>
          <w:bCs/>
          <w:lang w:val="pt-PT"/>
        </w:rPr>
        <w:t>dra@upt.pt</w:t>
      </w:r>
      <w:r>
        <w:fldChar w:fldCharType="end"/>
      </w:r>
      <w:r w:rsidR="00DF273B" w:rsidRPr="003D78A8">
        <w:rPr>
          <w:rFonts w:ascii="Times New Roman" w:hAnsi="Times New Roman" w:cs="Times New Roman"/>
          <w:bCs/>
          <w:lang w:val="pt-PT"/>
        </w:rPr>
        <w:t xml:space="preserve"> </w:t>
      </w:r>
    </w:p>
    <w:p w14:paraId="02C1BF0A" w14:textId="77777777" w:rsidR="00405AF3" w:rsidRDefault="00405AF3" w:rsidP="00DF273B">
      <w:pPr>
        <w:jc w:val="center"/>
        <w:rPr>
          <w:rFonts w:ascii="Times New Roman" w:hAnsi="Times New Roman" w:cs="Times New Roman"/>
          <w:bCs/>
          <w:lang w:val="pt-PT"/>
        </w:rPr>
      </w:pPr>
    </w:p>
    <w:p w14:paraId="09D47C29" w14:textId="12C2D439" w:rsidR="00405AF3" w:rsidRPr="003D78A8" w:rsidRDefault="00405AF3" w:rsidP="00405AF3">
      <w:pPr>
        <w:jc w:val="center"/>
        <w:rPr>
          <w:rFonts w:ascii="Times New Roman" w:hAnsi="Times New Roman" w:cs="Times New Roman"/>
          <w:b/>
          <w:bCs/>
          <w:i/>
          <w:lang w:val="pt-PT"/>
        </w:rPr>
      </w:pPr>
      <w:r>
        <w:rPr>
          <w:rFonts w:ascii="Times New Roman" w:hAnsi="Times New Roman" w:cs="Times New Roman"/>
          <w:b/>
          <w:bCs/>
          <w:i/>
          <w:lang w:val="pt-PT"/>
        </w:rPr>
        <w:t xml:space="preserve">Luís Paulo Pacheco </w:t>
      </w:r>
    </w:p>
    <w:p w14:paraId="37ABEE30" w14:textId="7A3057D8" w:rsidR="00405AF3" w:rsidRDefault="00405AF3" w:rsidP="00405AF3">
      <w:pPr>
        <w:jc w:val="center"/>
        <w:rPr>
          <w:rFonts w:ascii="Times New Roman" w:hAnsi="Times New Roman" w:cs="Times New Roman"/>
          <w:bCs/>
          <w:lang w:val="pt-PT"/>
        </w:rPr>
      </w:pPr>
      <w:r w:rsidRPr="003D78A8">
        <w:rPr>
          <w:rFonts w:ascii="Times New Roman" w:hAnsi="Times New Roman" w:cs="Times New Roman"/>
          <w:bCs/>
          <w:lang w:val="pt-PT"/>
        </w:rPr>
        <w:t xml:space="preserve">Departamento de </w:t>
      </w:r>
      <w:r w:rsidRPr="00BD344B">
        <w:rPr>
          <w:rFonts w:ascii="Garamond" w:hAnsi="Garamond"/>
          <w:bCs/>
        </w:rPr>
        <w:t>Arquitetura e Multimédia Gallaecia (DAMG)</w:t>
      </w:r>
      <w:r w:rsidRPr="003D78A8">
        <w:rPr>
          <w:rFonts w:ascii="Times New Roman" w:hAnsi="Times New Roman" w:cs="Times New Roman"/>
          <w:bCs/>
          <w:lang w:val="pt-PT"/>
        </w:rPr>
        <w:t>, Universidade Portucalense Infante D. Henrique</w:t>
      </w:r>
      <w:r>
        <w:rPr>
          <w:rFonts w:ascii="Times New Roman" w:hAnsi="Times New Roman" w:cs="Times New Roman"/>
          <w:bCs/>
          <w:lang w:val="pt-PT"/>
        </w:rPr>
        <w:t xml:space="preserve"> (UPT)</w:t>
      </w:r>
      <w:r w:rsidRPr="003D78A8">
        <w:rPr>
          <w:rFonts w:ascii="Times New Roman" w:hAnsi="Times New Roman" w:cs="Times New Roman"/>
          <w:bCs/>
          <w:lang w:val="pt-PT"/>
        </w:rPr>
        <w:t xml:space="preserve">, Porto, Portugal; </w:t>
      </w:r>
    </w:p>
    <w:p w14:paraId="36A23EF3" w14:textId="4B648B6C" w:rsidR="005932CC" w:rsidRPr="00806855" w:rsidRDefault="00524E80" w:rsidP="00405AF3">
      <w:pPr>
        <w:jc w:val="center"/>
        <w:rPr>
          <w:u w:val="single"/>
          <w:lang w:val="pt-PT"/>
        </w:rPr>
      </w:pPr>
      <w:hyperlink r:id="rId10" w:history="1">
        <w:r w:rsidR="005932CC" w:rsidRPr="00806855">
          <w:rPr>
            <w:rStyle w:val="Hiperligao"/>
            <w:lang w:val="pt-PT"/>
          </w:rPr>
          <w:t>https://orcid.org/0009-0004-6153-8311</w:t>
        </w:r>
      </w:hyperlink>
    </w:p>
    <w:p w14:paraId="4C2A73D3" w14:textId="74DFFF86" w:rsidR="00DF273B" w:rsidRPr="003D78A8" w:rsidRDefault="00524E80" w:rsidP="00DF273B">
      <w:pPr>
        <w:jc w:val="center"/>
        <w:rPr>
          <w:rFonts w:ascii="Times New Roman" w:hAnsi="Times New Roman" w:cs="Times New Roman"/>
          <w:bCs/>
          <w:iCs/>
          <w:lang w:val="pt-PT"/>
        </w:rPr>
      </w:pPr>
      <w:hyperlink r:id="rId11" w:history="1">
        <w:r w:rsidR="005932CC" w:rsidRPr="005932CC">
          <w:rPr>
            <w:rStyle w:val="Hiperligao"/>
            <w:lang w:val="pt-BR"/>
          </w:rPr>
          <w:t>luispaulopacheco@upt.pt</w:t>
        </w:r>
      </w:hyperlink>
      <w:r w:rsidR="005932CC">
        <w:t xml:space="preserve"> </w:t>
      </w:r>
    </w:p>
    <w:p w14:paraId="6D6E488C" w14:textId="77777777" w:rsidR="00DF273B" w:rsidRPr="003D78A8" w:rsidRDefault="00DF273B" w:rsidP="00E3281B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52C8D0A4" w14:textId="54226F47" w:rsidR="00DF273B" w:rsidRPr="0022030D" w:rsidRDefault="00DF273B" w:rsidP="00012804">
      <w:pPr>
        <w:jc w:val="both"/>
        <w:rPr>
          <w:rFonts w:ascii="Times New Roman" w:hAnsi="Times New Roman" w:cs="Times New Roman"/>
          <w:sz w:val="28"/>
          <w:szCs w:val="28"/>
          <w:lang w:val="pt-PT"/>
        </w:rPr>
      </w:pPr>
      <w:r w:rsidRPr="003D78A8">
        <w:rPr>
          <w:rFonts w:ascii="Times New Roman" w:hAnsi="Times New Roman" w:cs="Times New Roman"/>
          <w:sz w:val="28"/>
          <w:szCs w:val="28"/>
          <w:lang w:val="pt-PT"/>
        </w:rPr>
        <w:t>PALAVRAS-CHAVE</w:t>
      </w:r>
      <w:r w:rsidR="0022030D">
        <w:rPr>
          <w:rFonts w:ascii="Times New Roman" w:hAnsi="Times New Roman" w:cs="Times New Roman"/>
          <w:sz w:val="28"/>
          <w:szCs w:val="28"/>
          <w:lang w:val="pt-PT"/>
        </w:rPr>
        <w:t xml:space="preserve">: </w:t>
      </w:r>
      <w:r w:rsidR="00C15D9F" w:rsidRPr="00C15D9F">
        <w:rPr>
          <w:rFonts w:ascii="Times New Roman" w:hAnsi="Times New Roman" w:cs="Times New Roman"/>
          <w:lang w:val="pt-PT"/>
        </w:rPr>
        <w:t>cidadania; IA</w:t>
      </w:r>
      <w:r w:rsidR="005932CC" w:rsidRPr="00C15D9F">
        <w:rPr>
          <w:rFonts w:ascii="Times New Roman" w:hAnsi="Times New Roman" w:cs="Times New Roman"/>
          <w:lang w:val="pt-PT"/>
        </w:rPr>
        <w:t>;</w:t>
      </w:r>
      <w:r w:rsidR="00207166">
        <w:rPr>
          <w:rFonts w:ascii="Times New Roman" w:hAnsi="Times New Roman" w:cs="Times New Roman"/>
          <w:lang w:val="pt-PT"/>
        </w:rPr>
        <w:t xml:space="preserve"> </w:t>
      </w:r>
      <w:r w:rsidR="00207166" w:rsidRPr="003D5C48">
        <w:rPr>
          <w:rFonts w:ascii="Times New Roman" w:hAnsi="Times New Roman" w:cs="Times New Roman"/>
          <w:bCs/>
          <w:lang w:val="pt-PT"/>
        </w:rPr>
        <w:t>interdisciplinar</w:t>
      </w:r>
      <w:r w:rsidR="00207166">
        <w:rPr>
          <w:rFonts w:ascii="Times New Roman" w:hAnsi="Times New Roman" w:cs="Times New Roman"/>
          <w:bCs/>
          <w:lang w:val="pt-PT"/>
        </w:rPr>
        <w:t>;</w:t>
      </w:r>
      <w:r w:rsidR="005932CC" w:rsidRPr="00C15D9F">
        <w:rPr>
          <w:rFonts w:ascii="Times New Roman" w:hAnsi="Times New Roman" w:cs="Times New Roman"/>
          <w:lang w:val="pt-PT"/>
        </w:rPr>
        <w:t xml:space="preserve"> </w:t>
      </w:r>
      <w:r w:rsidR="005932CC">
        <w:rPr>
          <w:rFonts w:ascii="Times New Roman" w:hAnsi="Times New Roman" w:cs="Times New Roman"/>
          <w:lang w:val="pt-PT"/>
        </w:rPr>
        <w:t>poster</w:t>
      </w:r>
      <w:r w:rsidR="001D7BB0">
        <w:rPr>
          <w:rFonts w:ascii="Times New Roman" w:hAnsi="Times New Roman" w:cs="Times New Roman"/>
          <w:lang w:val="pt-PT"/>
        </w:rPr>
        <w:t>;</w:t>
      </w:r>
      <w:r w:rsidRPr="003D78A8">
        <w:rPr>
          <w:rFonts w:ascii="Times New Roman" w:hAnsi="Times New Roman" w:cs="Times New Roman"/>
          <w:lang w:val="pt-PT"/>
        </w:rPr>
        <w:t xml:space="preserve"> União Europeia</w:t>
      </w:r>
      <w:r w:rsidR="001D7BB0">
        <w:rPr>
          <w:rFonts w:ascii="Times New Roman" w:hAnsi="Times New Roman" w:cs="Times New Roman"/>
          <w:lang w:val="pt-PT"/>
        </w:rPr>
        <w:t xml:space="preserve">  </w:t>
      </w:r>
    </w:p>
    <w:p w14:paraId="7C63CD24" w14:textId="77777777" w:rsidR="006F69B7" w:rsidRDefault="006F69B7" w:rsidP="005975DD">
      <w:pPr>
        <w:rPr>
          <w:rFonts w:ascii="Times New Roman" w:hAnsi="Times New Roman" w:cs="Times New Roman"/>
          <w:lang w:val="pt-PT"/>
        </w:rPr>
      </w:pPr>
    </w:p>
    <w:p w14:paraId="76E6A86C" w14:textId="77777777" w:rsidR="006F69B7" w:rsidRDefault="006F69B7" w:rsidP="005975DD">
      <w:pPr>
        <w:rPr>
          <w:rFonts w:ascii="Times New Roman" w:hAnsi="Times New Roman" w:cs="Times New Roman"/>
          <w:lang w:val="pt-PT"/>
        </w:rPr>
      </w:pPr>
    </w:p>
    <w:p w14:paraId="2B1476E0" w14:textId="4A9BFF1D" w:rsidR="001D7BB0" w:rsidRPr="005932CC" w:rsidRDefault="00466845" w:rsidP="00C15D9F">
      <w:pPr>
        <w:jc w:val="both"/>
        <w:rPr>
          <w:rFonts w:ascii="Times New Roman" w:hAnsi="Times New Roman" w:cs="Times New Roman"/>
          <w:b/>
          <w:bCs/>
          <w:lang w:val="pt-PT"/>
        </w:rPr>
      </w:pPr>
      <w:r w:rsidRPr="003D78A8">
        <w:rPr>
          <w:rFonts w:ascii="Times New Roman" w:hAnsi="Times New Roman" w:cs="Times New Roman"/>
          <w:lang w:val="pt-PT"/>
        </w:rPr>
        <w:t>E</w:t>
      </w:r>
      <w:r w:rsidR="00227330">
        <w:rPr>
          <w:rFonts w:ascii="Times New Roman" w:hAnsi="Times New Roman" w:cs="Times New Roman"/>
          <w:lang w:val="pt-PT"/>
        </w:rPr>
        <w:t>IXO TEMÁTICO</w:t>
      </w:r>
      <w:r w:rsidRPr="003D78A8">
        <w:rPr>
          <w:rFonts w:ascii="Times New Roman" w:hAnsi="Times New Roman" w:cs="Times New Roman"/>
          <w:lang w:val="pt-PT"/>
        </w:rPr>
        <w:t xml:space="preserve">: </w:t>
      </w:r>
      <w:r w:rsidR="005932CC" w:rsidRPr="005932CC">
        <w:rPr>
          <w:rFonts w:ascii="Times New Roman" w:hAnsi="Times New Roman" w:cs="Times New Roman"/>
          <w:b/>
          <w:bCs/>
          <w:lang w:val="pt-PT"/>
        </w:rPr>
        <w:t>Europa de proximidad: instituciones, ciudadanía y narrativas locales</w:t>
      </w:r>
    </w:p>
    <w:p w14:paraId="24B9F3DE" w14:textId="26500B50" w:rsidR="00B57BF6" w:rsidRPr="005932CC" w:rsidRDefault="00B57BF6" w:rsidP="001D7BB0">
      <w:pPr>
        <w:rPr>
          <w:rFonts w:ascii="Times New Roman" w:hAnsi="Times New Roman" w:cs="Times New Roman"/>
          <w:sz w:val="20"/>
          <w:szCs w:val="20"/>
          <w:lang w:val="pt-PT"/>
        </w:rPr>
      </w:pPr>
      <w:r w:rsidRPr="003C5A33">
        <w:rPr>
          <w:rFonts w:ascii="Times New Roman" w:hAnsi="Times New Roman" w:cs="Times New Roman"/>
          <w:sz w:val="20"/>
          <w:szCs w:val="20"/>
          <w:lang w:val="pt-PT"/>
        </w:rPr>
        <w:t xml:space="preserve">Em </w:t>
      </w:r>
      <w:hyperlink r:id="rId12" w:history="1">
        <w:r w:rsidR="005932CC" w:rsidRPr="005932CC">
          <w:rPr>
            <w:rStyle w:val="Hiperligao"/>
            <w:sz w:val="20"/>
            <w:szCs w:val="20"/>
          </w:rPr>
          <w:t>https://cicomeu.org/simposios/europa-de-proximidad-instituciones-ciudadania-y-narrativas-locales-ricardo-dominguez-y-andrei-theodor-stamate/</w:t>
        </w:r>
      </w:hyperlink>
      <w:r w:rsidR="005932CC" w:rsidRPr="005932CC">
        <w:rPr>
          <w:sz w:val="20"/>
          <w:szCs w:val="20"/>
        </w:rPr>
        <w:t xml:space="preserve"> </w:t>
      </w:r>
      <w:r w:rsidR="003C5A33" w:rsidRPr="005932CC">
        <w:rPr>
          <w:sz w:val="20"/>
          <w:szCs w:val="20"/>
        </w:rPr>
        <w:t xml:space="preserve"> </w:t>
      </w:r>
    </w:p>
    <w:p w14:paraId="77EC1A5D" w14:textId="77777777" w:rsidR="001D7BB0" w:rsidRDefault="001D7BB0" w:rsidP="001D7BB0">
      <w:pPr>
        <w:rPr>
          <w:rFonts w:ascii="Times New Roman" w:hAnsi="Times New Roman" w:cs="Times New Roman"/>
          <w:lang w:val="pt-PT"/>
        </w:rPr>
      </w:pPr>
    </w:p>
    <w:p w14:paraId="6EECDAE0" w14:textId="136B0ACE" w:rsidR="00D641B2" w:rsidRDefault="00D641B2" w:rsidP="00466845">
      <w:pPr>
        <w:spacing w:line="360" w:lineRule="auto"/>
        <w:rPr>
          <w:rFonts w:ascii="Times New Roman" w:hAnsi="Times New Roman" w:cs="Times New Roman"/>
          <w:lang w:val="pt-PT"/>
        </w:rPr>
      </w:pPr>
      <w:r w:rsidRPr="00EB5621">
        <w:rPr>
          <w:rFonts w:ascii="Times New Roman" w:hAnsi="Times New Roman" w:cs="Times New Roman"/>
          <w:lang w:val="pt-PT"/>
        </w:rPr>
        <w:t>RESUMO</w:t>
      </w:r>
      <w:r w:rsidR="003C5A33">
        <w:rPr>
          <w:rFonts w:ascii="Times New Roman" w:hAnsi="Times New Roman" w:cs="Times New Roman"/>
          <w:lang w:val="pt-PT"/>
        </w:rPr>
        <w:t xml:space="preserve"> </w:t>
      </w:r>
      <w:r w:rsidR="003C5A33" w:rsidRPr="003C5A33">
        <w:rPr>
          <w:rFonts w:ascii="Times New Roman" w:hAnsi="Times New Roman" w:cs="Times New Roman"/>
        </w:rPr>
        <w:t>S01</w:t>
      </w:r>
      <w:r w:rsidR="006159E5">
        <w:rPr>
          <w:rFonts w:ascii="Times New Roman" w:hAnsi="Times New Roman" w:cs="Times New Roman"/>
        </w:rPr>
        <w:t>-05</w:t>
      </w:r>
      <w:r w:rsidR="001A36DB">
        <w:rPr>
          <w:rFonts w:ascii="Times New Roman" w:hAnsi="Times New Roman" w:cs="Times New Roman"/>
          <w:lang w:val="pt-PT"/>
        </w:rPr>
        <w:t xml:space="preserve">   </w:t>
      </w:r>
      <w:r w:rsidR="000F7DDD">
        <w:rPr>
          <w:rFonts w:ascii="Times New Roman" w:hAnsi="Times New Roman" w:cs="Times New Roman"/>
          <w:lang w:val="pt-PT"/>
        </w:rPr>
        <w:t xml:space="preserve"> </w:t>
      </w:r>
    </w:p>
    <w:p w14:paraId="30DDF346" w14:textId="4898EBC1" w:rsidR="00957A56" w:rsidRDefault="00524E80" w:rsidP="00466845">
      <w:pPr>
        <w:spacing w:line="360" w:lineRule="auto"/>
        <w:rPr>
          <w:rFonts w:ascii="Times New Roman" w:hAnsi="Times New Roman" w:cs="Times New Roman"/>
          <w:lang w:val="pt-PT"/>
        </w:rPr>
      </w:pPr>
      <w:hyperlink r:id="rId13" w:history="1">
        <w:r w:rsidR="00957A56" w:rsidRPr="00417C87">
          <w:rPr>
            <w:rStyle w:val="Hiperligao"/>
            <w:rFonts w:ascii="Times New Roman" w:hAnsi="Times New Roman" w:cs="Times New Roman"/>
            <w:lang w:val="pt-PT"/>
          </w:rPr>
          <w:t>https://cicomeu.org/simposios/europa-de-proximidad-instituciones-ciudadania-y-narrativas-locales-ricardo-dominguez-y-andrei-theodor-stamate/</w:t>
        </w:r>
      </w:hyperlink>
      <w:r w:rsidR="00957A56">
        <w:rPr>
          <w:rFonts w:ascii="Times New Roman" w:hAnsi="Times New Roman" w:cs="Times New Roman"/>
          <w:lang w:val="pt-PT"/>
        </w:rPr>
        <w:t xml:space="preserve"> </w:t>
      </w:r>
    </w:p>
    <w:p w14:paraId="5A6D8502" w14:textId="72015230" w:rsidR="00471335" w:rsidRPr="003D5C48" w:rsidRDefault="00FD778B" w:rsidP="00FD778B">
      <w:pPr>
        <w:spacing w:line="360" w:lineRule="auto"/>
        <w:jc w:val="both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lang w:val="pt-PT"/>
        </w:rPr>
        <w:tab/>
        <w:t>A ligação da União Europeia com os cidadãos pode ser alcançada das formas mais simples, numa ideia de formação de cidadania</w:t>
      </w:r>
      <w:r w:rsidR="00C60C97">
        <w:rPr>
          <w:rFonts w:ascii="Times New Roman" w:hAnsi="Times New Roman" w:cs="Times New Roman"/>
          <w:lang w:val="pt-PT"/>
        </w:rPr>
        <w:t xml:space="preserve"> e proximidade dos temas europeus com cidadãos ainda em formação, deixando a sua mensagem em matérias eurocomunitárias</w:t>
      </w:r>
      <w:r>
        <w:rPr>
          <w:rFonts w:ascii="Times New Roman" w:hAnsi="Times New Roman" w:cs="Times New Roman"/>
          <w:lang w:val="pt-PT"/>
        </w:rPr>
        <w:t>. Neste caso, através da</w:t>
      </w:r>
      <w:r w:rsidR="003E7D61">
        <w:rPr>
          <w:rFonts w:ascii="Times New Roman" w:hAnsi="Times New Roman" w:cs="Times New Roman"/>
          <w:lang w:val="pt-PT"/>
        </w:rPr>
        <w:t xml:space="preserve"> execução de atividade académica pública, no sentido de utilizar a comunicação científica através de poster para abordar temas do direito da União Europeia.</w:t>
      </w:r>
      <w:r w:rsidR="00A54620">
        <w:rPr>
          <w:rFonts w:ascii="Times New Roman" w:hAnsi="Times New Roman" w:cs="Times New Roman"/>
          <w:lang w:val="pt-PT"/>
        </w:rPr>
        <w:t xml:space="preserve"> Em </w:t>
      </w:r>
      <w:r w:rsidR="00A54620" w:rsidRPr="003D5C48">
        <w:rPr>
          <w:rFonts w:ascii="Times New Roman" w:hAnsi="Times New Roman" w:cs="Times New Roman"/>
          <w:lang w:val="pt-PT"/>
        </w:rPr>
        <w:t>especial, com recurso, ainda que controlado, ao uso da inteligência artificial (IA)</w:t>
      </w:r>
      <w:r w:rsidR="005733D3">
        <w:rPr>
          <w:rFonts w:ascii="Times New Roman" w:hAnsi="Times New Roman" w:cs="Times New Roman"/>
          <w:lang w:val="pt-PT"/>
        </w:rPr>
        <w:t>, no âmbito das prioridades institucionais locais da própria Comissão Europeia</w:t>
      </w:r>
      <w:r w:rsidR="005733D3">
        <w:rPr>
          <w:rStyle w:val="Refdenotaderodap"/>
          <w:rFonts w:ascii="Times New Roman" w:hAnsi="Times New Roman"/>
          <w:lang w:val="pt-PT"/>
        </w:rPr>
        <w:footnoteReference w:id="1"/>
      </w:r>
      <w:r w:rsidR="00A54620" w:rsidRPr="003D5C48">
        <w:rPr>
          <w:rFonts w:ascii="Times New Roman" w:hAnsi="Times New Roman" w:cs="Times New Roman"/>
          <w:lang w:val="pt-PT"/>
        </w:rPr>
        <w:t>.</w:t>
      </w:r>
    </w:p>
    <w:p w14:paraId="6B7FF081" w14:textId="37BAFC64" w:rsidR="00EA331E" w:rsidRPr="003D5C48" w:rsidRDefault="00EA331E" w:rsidP="00FD778B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3D5C48">
        <w:rPr>
          <w:rFonts w:ascii="Times New Roman" w:hAnsi="Times New Roman" w:cs="Times New Roman"/>
          <w:lang w:val="pt-PT"/>
        </w:rPr>
        <w:tab/>
        <w:t xml:space="preserve">Na </w:t>
      </w:r>
      <w:r w:rsidRPr="003D5C48">
        <w:rPr>
          <w:rFonts w:ascii="Times New Roman" w:hAnsi="Times New Roman" w:cs="Times New Roman"/>
          <w:bCs/>
          <w:lang w:val="pt-PT"/>
        </w:rPr>
        <w:t xml:space="preserve">Universidade Portucalense Infante D. Henrique (UPT), Porto, Portugal, no âmbito da </w:t>
      </w:r>
      <w:r w:rsidRPr="003D5C48">
        <w:rPr>
          <w:rFonts w:ascii="Times New Roman" w:hAnsi="Times New Roman" w:cs="Times New Roman"/>
          <w:bCs/>
        </w:rPr>
        <w:t xml:space="preserve">unidade curricular </w:t>
      </w:r>
      <w:r w:rsidRPr="003D5C48">
        <w:rPr>
          <w:rFonts w:ascii="Times New Roman" w:hAnsi="Times New Roman" w:cs="Times New Roman"/>
          <w:color w:val="222222"/>
          <w:shd w:val="clear" w:color="auto" w:fill="FFFFFF"/>
        </w:rPr>
        <w:t>de Direito Constitucional e Administrativo da União Europeia, no ano letivo do Mestrado em Direito, Especialização em Ciências Jurídico-Políticas</w:t>
      </w:r>
      <w:r w:rsidRPr="003D5C48">
        <w:rPr>
          <w:rFonts w:ascii="Times New Roman" w:hAnsi="Times New Roman" w:cs="Times New Roman"/>
          <w:bCs/>
        </w:rPr>
        <w:t>, realizou-se apresentação pública de trabalhos em formato poster. No sentido de elemento de avaliação curricular buscando a ligação de cidadania em exposição orientada para a academia mas aberta ao público em geral, nos espaços de acesso público da universidade.</w:t>
      </w:r>
    </w:p>
    <w:p w14:paraId="3DFF72CD" w14:textId="0C079C47" w:rsidR="00EA331E" w:rsidRPr="003D5C48" w:rsidRDefault="00EA331E" w:rsidP="00EA331E">
      <w:pPr>
        <w:spacing w:line="360" w:lineRule="auto"/>
        <w:jc w:val="both"/>
        <w:rPr>
          <w:rFonts w:ascii="Times New Roman" w:hAnsi="Times New Roman" w:cs="Times New Roman"/>
          <w:bCs/>
          <w:lang w:val="pt-PT"/>
        </w:rPr>
      </w:pPr>
      <w:r w:rsidRPr="003D5C48">
        <w:rPr>
          <w:rFonts w:ascii="Times New Roman" w:hAnsi="Times New Roman" w:cs="Times New Roman"/>
          <w:bCs/>
        </w:rPr>
        <w:tab/>
      </w:r>
      <w:r w:rsidR="00560297">
        <w:rPr>
          <w:rFonts w:ascii="Times New Roman" w:hAnsi="Times New Roman" w:cs="Times New Roman"/>
          <w:bCs/>
        </w:rPr>
        <w:t>Procur</w:t>
      </w:r>
      <w:r w:rsidRPr="003D5C48">
        <w:rPr>
          <w:rFonts w:ascii="Times New Roman" w:hAnsi="Times New Roman" w:cs="Times New Roman"/>
          <w:bCs/>
        </w:rPr>
        <w:t xml:space="preserve">ada uma ligação com os </w:t>
      </w:r>
      <w:r w:rsidR="00207166">
        <w:rPr>
          <w:rFonts w:ascii="Times New Roman" w:hAnsi="Times New Roman" w:cs="Times New Roman"/>
          <w:bCs/>
        </w:rPr>
        <w:t>Objetivos do Desenvolvimento Sustentável</w:t>
      </w:r>
      <w:r w:rsidRPr="003D5C48">
        <w:rPr>
          <w:rFonts w:ascii="Times New Roman" w:hAnsi="Times New Roman" w:cs="Times New Roman"/>
          <w:bCs/>
        </w:rPr>
        <w:t xml:space="preserve"> (ODS), </w:t>
      </w:r>
      <w:r w:rsidRPr="003D5C48">
        <w:rPr>
          <w:rFonts w:ascii="Times New Roman" w:hAnsi="Times New Roman" w:cs="Times New Roman"/>
          <w:bCs/>
          <w:lang w:val="pt-BR"/>
        </w:rPr>
        <w:t xml:space="preserve">os temas focaram </w:t>
      </w:r>
      <w:r w:rsidR="00B73810">
        <w:rPr>
          <w:rFonts w:ascii="Times New Roman" w:hAnsi="Times New Roman" w:cs="Times New Roman"/>
          <w:bCs/>
          <w:lang w:val="pt-BR"/>
        </w:rPr>
        <w:t>em especial</w:t>
      </w:r>
      <w:r w:rsidRPr="003D5C48">
        <w:rPr>
          <w:rFonts w:ascii="Times New Roman" w:hAnsi="Times New Roman" w:cs="Times New Roman"/>
          <w:bCs/>
          <w:lang w:val="pt-BR"/>
        </w:rPr>
        <w:t xml:space="preserve"> o ODS 16, como é adequado ao teor curricular, mas foram para além dele em alguns casos. Foram abordadas as matérias de: </w:t>
      </w:r>
      <w:r w:rsidRPr="003D5C48">
        <w:rPr>
          <w:rFonts w:ascii="Times New Roman" w:hAnsi="Times New Roman" w:cs="Times New Roman"/>
          <w:bCs/>
          <w:i/>
          <w:iCs/>
          <w:lang w:val="pt-BR"/>
        </w:rPr>
        <w:t xml:space="preserve">A implementação do ODS 6; A Dignidade da Pessoa Humana; A Responsabilidade Ambiental; Primazia do Direito Europeu; </w:t>
      </w:r>
      <w:r w:rsidRPr="003D5C48">
        <w:rPr>
          <w:rFonts w:ascii="Times New Roman" w:hAnsi="Times New Roman" w:cs="Times New Roman"/>
          <w:bCs/>
          <w:i/>
          <w:iCs/>
          <w:lang w:val="pt-PT"/>
        </w:rPr>
        <w:t>Habitação na UE;</w:t>
      </w:r>
      <w:r w:rsidRPr="003D5C48">
        <w:rPr>
          <w:rFonts w:ascii="Times New Roman" w:hAnsi="Times New Roman" w:cs="Times New Roman"/>
          <w:bCs/>
          <w:i/>
          <w:iCs/>
          <w:lang w:val="pt-BR"/>
        </w:rPr>
        <w:t xml:space="preserve"> </w:t>
      </w:r>
      <w:r w:rsidRPr="003D5C48">
        <w:rPr>
          <w:rFonts w:ascii="Times New Roman" w:hAnsi="Times New Roman" w:cs="Times New Roman"/>
          <w:bCs/>
          <w:i/>
          <w:iCs/>
          <w:lang w:val="pt-PT"/>
        </w:rPr>
        <w:t xml:space="preserve">os direitos laborais; </w:t>
      </w:r>
      <w:r w:rsidRPr="003D5C48">
        <w:rPr>
          <w:rFonts w:ascii="Times New Roman" w:hAnsi="Times New Roman" w:cs="Times New Roman"/>
          <w:bCs/>
          <w:i/>
          <w:iCs/>
          <w:lang w:val="pt-BR"/>
        </w:rPr>
        <w:t xml:space="preserve">O Princípio da supremacia do direito da UE sobre os Estados-membros; </w:t>
      </w:r>
      <w:r w:rsidRPr="003D5C48">
        <w:rPr>
          <w:rFonts w:ascii="Times New Roman" w:hAnsi="Times New Roman" w:cs="Times New Roman"/>
          <w:bCs/>
          <w:i/>
          <w:iCs/>
          <w:lang w:val="pt-PT"/>
        </w:rPr>
        <w:t>O direito à saúde pública; A interconstitucionalidade no direito da União Europeia; Patrimônio Histórico e Sustentabilidade; Tokenização de ativos na regulamentação europeia.</w:t>
      </w:r>
      <w:r w:rsidR="00D10148" w:rsidRPr="003D5C48">
        <w:rPr>
          <w:rFonts w:ascii="Times New Roman" w:hAnsi="Times New Roman" w:cs="Times New Roman"/>
          <w:bCs/>
          <w:lang w:val="pt-PT"/>
        </w:rPr>
        <w:t xml:space="preserve"> </w:t>
      </w:r>
      <w:r w:rsidR="00B73810">
        <w:rPr>
          <w:rFonts w:ascii="Times New Roman" w:hAnsi="Times New Roman" w:cs="Times New Roman"/>
          <w:bCs/>
          <w:lang w:val="pt-PT"/>
        </w:rPr>
        <w:t>T</w:t>
      </w:r>
      <w:r w:rsidR="00D10148" w:rsidRPr="003D5C48">
        <w:rPr>
          <w:rFonts w:ascii="Times New Roman" w:hAnsi="Times New Roman" w:cs="Times New Roman"/>
          <w:bCs/>
          <w:lang w:val="pt-PT"/>
        </w:rPr>
        <w:t xml:space="preserve">ornaram-se visíveis questões próprias do direito da União Europeia de uma forma gráfica e apelativa </w:t>
      </w:r>
      <w:r w:rsidR="003D5C48" w:rsidRPr="003D5C48">
        <w:rPr>
          <w:rFonts w:ascii="Times New Roman" w:hAnsi="Times New Roman" w:cs="Times New Roman"/>
          <w:bCs/>
          <w:lang w:val="pt-PT"/>
        </w:rPr>
        <w:t xml:space="preserve">ainda que cumprindo o rigor científico das matérias levando uma mensagem sobre o funcionamento da União Europeia a um conjunto de pessoas de outras áreas. </w:t>
      </w:r>
    </w:p>
    <w:p w14:paraId="0321184E" w14:textId="1B02F556" w:rsidR="00D10148" w:rsidRDefault="00D10148" w:rsidP="00EA331E">
      <w:pPr>
        <w:spacing w:line="360" w:lineRule="auto"/>
        <w:jc w:val="both"/>
        <w:rPr>
          <w:rFonts w:ascii="Times New Roman" w:hAnsi="Times New Roman" w:cs="Times New Roman"/>
          <w:bCs/>
          <w:lang w:val="pt-PT"/>
        </w:rPr>
      </w:pPr>
      <w:r w:rsidRPr="003D5C48">
        <w:rPr>
          <w:rFonts w:ascii="Times New Roman" w:hAnsi="Times New Roman" w:cs="Times New Roman"/>
          <w:bCs/>
          <w:lang w:val="pt-PT"/>
        </w:rPr>
        <w:tab/>
        <w:t xml:space="preserve">O trabalho foi interdisciplinar, com implementação da exposição através da colaboração com estudantes </w:t>
      </w:r>
      <w:r w:rsidR="00207166">
        <w:rPr>
          <w:rFonts w:ascii="Times New Roman" w:hAnsi="Times New Roman" w:cs="Times New Roman"/>
          <w:bCs/>
          <w:lang w:val="pt-PT"/>
        </w:rPr>
        <w:t>de dois Departamentos de áreas completamente díspares</w:t>
      </w:r>
      <w:r w:rsidRPr="003D5C48">
        <w:rPr>
          <w:rFonts w:ascii="Times New Roman" w:hAnsi="Times New Roman" w:cs="Times New Roman"/>
          <w:bCs/>
          <w:lang w:val="pt-PT"/>
        </w:rPr>
        <w:t xml:space="preserve"> e suscitou grande interesse da comunidade académica da própria universidade, durante as duas semanas de exposição.</w:t>
      </w:r>
    </w:p>
    <w:p w14:paraId="248B5221" w14:textId="25FAD9CD" w:rsidR="00207166" w:rsidRDefault="00207166" w:rsidP="00207166">
      <w:pPr>
        <w:spacing w:line="360" w:lineRule="auto"/>
        <w:ind w:firstLine="720"/>
        <w:jc w:val="both"/>
        <w:rPr>
          <w:rFonts w:ascii="Times New Roman" w:hAnsi="Times New Roman" w:cs="Times New Roman"/>
          <w:bCs/>
          <w:lang w:val="pt-PT"/>
        </w:rPr>
      </w:pPr>
      <w:r w:rsidRPr="00207166">
        <w:rPr>
          <w:rFonts w:ascii="Times New Roman" w:hAnsi="Times New Roman" w:cs="Times New Roman"/>
          <w:bCs/>
          <w:lang w:val="pt-PT"/>
        </w:rPr>
        <w:lastRenderedPageBreak/>
        <w:t>No âmbito do Departamento de Arquitetura e Multimédia Gallaecia (DAMG), esta colaboração reforçou a importância de integrar saberes específicos na comunicação científica. A formação visual, desde a composição gráfica inicial até à estrutura do poster, estendeu-se à organização do espaço expositivo, articulando mobiliário, suportes e meios multimédia. Esta abordagem projetual assegurou que a mensagem jurídica alcançasse o público de forma clara, apelativa e acessível. A dimensão pedagógica evidenciou que comunicar ciência implica também conceber o ambiente da sua receção, tornando a experiência de leitura parte integrante da transmissão do conhecimento.</w:t>
      </w:r>
      <w:r w:rsidRPr="00207166">
        <w:rPr>
          <w:rFonts w:ascii="Times New Roman" w:hAnsi="Times New Roman" w:cs="Times New Roman"/>
          <w:bCs/>
          <w:lang w:val="pt-PT"/>
        </w:rPr>
        <w:tab/>
      </w:r>
    </w:p>
    <w:p w14:paraId="0818CFC6" w14:textId="6EEE1F62" w:rsidR="00C15D9F" w:rsidRPr="003D5C48" w:rsidRDefault="00C15D9F" w:rsidP="00EA331E">
      <w:pPr>
        <w:spacing w:line="360" w:lineRule="auto"/>
        <w:jc w:val="both"/>
        <w:rPr>
          <w:rFonts w:ascii="Times New Roman" w:hAnsi="Times New Roman" w:cs="Times New Roman"/>
          <w:bCs/>
          <w:lang w:val="pt-PT"/>
        </w:rPr>
      </w:pPr>
      <w:r>
        <w:rPr>
          <w:rFonts w:ascii="Times New Roman" w:hAnsi="Times New Roman" w:cs="Times New Roman"/>
          <w:bCs/>
          <w:lang w:val="pt-PT"/>
        </w:rPr>
        <w:tab/>
        <w:t>No seguimento das preocupações assumidas pela União Europeia no sentido de melhorar a competitividade, nomeadamente com o uso da inteligência artificial (IA)</w:t>
      </w:r>
      <w:r>
        <w:rPr>
          <w:rStyle w:val="Refdenotaderodap"/>
          <w:rFonts w:ascii="Times New Roman" w:hAnsi="Times New Roman"/>
          <w:bCs/>
          <w:lang w:val="pt-PT"/>
        </w:rPr>
        <w:footnoteReference w:id="2"/>
      </w:r>
      <w:r>
        <w:rPr>
          <w:rFonts w:ascii="Times New Roman" w:hAnsi="Times New Roman" w:cs="Times New Roman"/>
          <w:bCs/>
          <w:lang w:val="pt-PT"/>
        </w:rPr>
        <w:t xml:space="preserve">, na orientação do Relatório Draghi de 2024, </w:t>
      </w:r>
      <w:r w:rsidR="00560297">
        <w:rPr>
          <w:rFonts w:ascii="Times New Roman" w:hAnsi="Times New Roman" w:cs="Times New Roman"/>
          <w:bCs/>
          <w:lang w:val="pt-PT"/>
        </w:rPr>
        <w:t xml:space="preserve">surge uma ação no sentido de </w:t>
      </w:r>
      <w:r w:rsidR="00560297" w:rsidRPr="00560297">
        <w:rPr>
          <w:rFonts w:ascii="Times New Roman" w:hAnsi="Times New Roman" w:cs="Times New Roman"/>
          <w:bCs/>
        </w:rPr>
        <w:t xml:space="preserve">assegurar </w:t>
      </w:r>
      <w:r w:rsidR="00560297">
        <w:rPr>
          <w:rFonts w:ascii="Times New Roman" w:hAnsi="Times New Roman" w:cs="Times New Roman"/>
          <w:bCs/>
        </w:rPr>
        <w:t>o domínio</w:t>
      </w:r>
      <w:r w:rsidR="00560297" w:rsidRPr="00560297">
        <w:rPr>
          <w:rFonts w:ascii="Times New Roman" w:hAnsi="Times New Roman" w:cs="Times New Roman"/>
          <w:bCs/>
        </w:rPr>
        <w:t xml:space="preserve"> </w:t>
      </w:r>
      <w:r w:rsidR="00560297">
        <w:rPr>
          <w:rFonts w:ascii="Times New Roman" w:hAnsi="Times New Roman" w:cs="Times New Roman"/>
          <w:bCs/>
        </w:rPr>
        <w:t>d</w:t>
      </w:r>
      <w:r w:rsidR="00560297" w:rsidRPr="00560297">
        <w:rPr>
          <w:rFonts w:ascii="Times New Roman" w:hAnsi="Times New Roman" w:cs="Times New Roman"/>
          <w:bCs/>
        </w:rPr>
        <w:t>as competências necessárias para utilizar a IA de forma responsável e eficaz</w:t>
      </w:r>
      <w:r w:rsidR="00560297">
        <w:rPr>
          <w:rFonts w:ascii="Times New Roman" w:hAnsi="Times New Roman" w:cs="Times New Roman"/>
          <w:bCs/>
        </w:rPr>
        <w:t>, usando</w:t>
      </w:r>
      <w:r w:rsidR="00560297" w:rsidRPr="00560297">
        <w:rPr>
          <w:rFonts w:ascii="Times New Roman" w:hAnsi="Times New Roman" w:cs="Times New Roman"/>
          <w:bCs/>
        </w:rPr>
        <w:t xml:space="preserve"> ações de formação em literacia no domínio da IA</w:t>
      </w:r>
      <w:r w:rsidR="00560297">
        <w:rPr>
          <w:rFonts w:ascii="Times New Roman" w:hAnsi="Times New Roman" w:cs="Times New Roman"/>
          <w:bCs/>
        </w:rPr>
        <w:t>. De modo modesto, asume-se essa contribuição na formação dos estudantes envolvidos.</w:t>
      </w:r>
    </w:p>
    <w:p w14:paraId="26CD1FD4" w14:textId="3A721570" w:rsidR="00FD778B" w:rsidRPr="00207166" w:rsidRDefault="00D10148" w:rsidP="00207166">
      <w:pPr>
        <w:spacing w:line="360" w:lineRule="auto"/>
        <w:jc w:val="both"/>
        <w:rPr>
          <w:rFonts w:ascii="Times New Roman" w:hAnsi="Times New Roman" w:cs="Times New Roman"/>
          <w:bCs/>
          <w:lang w:val="pt-BR"/>
        </w:rPr>
      </w:pPr>
      <w:r w:rsidRPr="003D5C48">
        <w:rPr>
          <w:rFonts w:ascii="Times New Roman" w:hAnsi="Times New Roman" w:cs="Times New Roman"/>
          <w:bCs/>
          <w:lang w:val="pt-PT"/>
        </w:rPr>
        <w:tab/>
      </w:r>
    </w:p>
    <w:p w14:paraId="45F99A44" w14:textId="77777777" w:rsidR="00466845" w:rsidRPr="003D78A8" w:rsidRDefault="00466845" w:rsidP="00466845">
      <w:pPr>
        <w:rPr>
          <w:rFonts w:ascii="Times New Roman" w:hAnsi="Times New Roman" w:cs="Times New Roman"/>
          <w:lang w:val="pt-PT"/>
        </w:rPr>
      </w:pPr>
    </w:p>
    <w:p w14:paraId="139FF31B" w14:textId="254C5C77" w:rsidR="00466845" w:rsidRPr="003D78A8" w:rsidRDefault="00466845" w:rsidP="00466845">
      <w:pPr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3D78A8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REFERÊNCIAS </w:t>
      </w:r>
    </w:p>
    <w:p w14:paraId="4B580987" w14:textId="77777777" w:rsidR="00CB493E" w:rsidRPr="003D78A8" w:rsidRDefault="00CB493E" w:rsidP="00466845">
      <w:pPr>
        <w:rPr>
          <w:rFonts w:ascii="Times New Roman" w:hAnsi="Times New Roman" w:cs="Times New Roman"/>
          <w:lang w:val="pt-PT"/>
        </w:rPr>
      </w:pPr>
    </w:p>
    <w:p w14:paraId="0C447612" w14:textId="77777777" w:rsidR="00860D91" w:rsidRDefault="00860D91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7D7D0355" w14:textId="46799413" w:rsidR="00860D91" w:rsidRPr="00806855" w:rsidRDefault="00860D91" w:rsidP="00860D91">
      <w:pPr>
        <w:ind w:left="720" w:right="-57" w:hanging="720"/>
        <w:rPr>
          <w:rFonts w:ascii="Garamond" w:hAnsi="Garamond"/>
          <w:sz w:val="22"/>
          <w:szCs w:val="22"/>
          <w:lang w:val="en-US"/>
        </w:rPr>
      </w:pPr>
      <w:r w:rsidRPr="00860D91">
        <w:rPr>
          <w:rFonts w:ascii="Garamond" w:hAnsi="Garamond"/>
          <w:sz w:val="22"/>
          <w:szCs w:val="22"/>
          <w:lang w:val="pt-PT"/>
        </w:rPr>
        <w:t xml:space="preserve">Alves, D. R. (2025). O acesso digital à informação da União Europeia como reforço de cidadania. In Concha Pérez Curiel, Ricardo Domínguez García, José Antonio Navarro Moreno (Coords.), </w:t>
      </w:r>
      <w:r w:rsidRPr="00860D91">
        <w:rPr>
          <w:rFonts w:ascii="Garamond" w:hAnsi="Garamond"/>
          <w:i/>
          <w:iCs/>
          <w:sz w:val="22"/>
          <w:szCs w:val="22"/>
          <w:lang w:val="pt-PT"/>
        </w:rPr>
        <w:t>Unión Europea y reto digital: Un enfoque desde la comunicación y la innovación</w:t>
      </w:r>
      <w:r w:rsidRPr="00860D91">
        <w:rPr>
          <w:rFonts w:ascii="Garamond" w:hAnsi="Garamond"/>
          <w:sz w:val="22"/>
          <w:szCs w:val="22"/>
          <w:lang w:val="pt-PT"/>
        </w:rPr>
        <w:t xml:space="preserve">, N.º 256 de la colección Conocimiento Contemporáneo. </w:t>
      </w:r>
      <w:r w:rsidRPr="00806855">
        <w:rPr>
          <w:rFonts w:ascii="Garamond" w:hAnsi="Garamond"/>
          <w:sz w:val="22"/>
          <w:szCs w:val="22"/>
          <w:lang w:val="en-US"/>
        </w:rPr>
        <w:t>(pp. 209-233). Dykinson. ISBN 978-84-1070-832-7. </w:t>
      </w:r>
      <w:hyperlink r:id="rId14" w:tgtFrame="_blank" w:history="1">
        <w:r w:rsidRPr="00806855">
          <w:rPr>
            <w:rStyle w:val="Hiperligao"/>
            <w:rFonts w:ascii="Garamond" w:hAnsi="Garamond"/>
            <w:sz w:val="22"/>
            <w:szCs w:val="22"/>
            <w:lang w:val="en-US"/>
          </w:rPr>
          <w:t>https://dialnet.unirioja.es/servlet/articulo?codigo=10349150</w:t>
        </w:r>
      </w:hyperlink>
    </w:p>
    <w:p w14:paraId="6E326FEF" w14:textId="77777777" w:rsidR="00860D91" w:rsidRPr="00806855" w:rsidRDefault="00860D91" w:rsidP="00B6331D">
      <w:pPr>
        <w:ind w:left="720" w:right="-57" w:hanging="720"/>
        <w:rPr>
          <w:rFonts w:ascii="Garamond" w:hAnsi="Garamond"/>
          <w:sz w:val="22"/>
          <w:szCs w:val="22"/>
          <w:lang w:val="en-US"/>
        </w:rPr>
      </w:pPr>
    </w:p>
    <w:p w14:paraId="0D056F0C" w14:textId="39723A46" w:rsidR="00B6331D" w:rsidRPr="00806855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  <w:r w:rsidRPr="006729A8">
        <w:rPr>
          <w:rFonts w:ascii="Garamond" w:hAnsi="Garamond"/>
          <w:sz w:val="22"/>
          <w:szCs w:val="22"/>
          <w:lang w:val="pt-PT"/>
        </w:rPr>
        <w:t>Alves, D. R., &amp; Pacheco, L. P. (2025</w:t>
      </w:r>
      <w:r>
        <w:rPr>
          <w:rFonts w:ascii="Garamond" w:hAnsi="Garamond"/>
          <w:sz w:val="22"/>
          <w:szCs w:val="22"/>
          <w:lang w:val="pt-PT"/>
        </w:rPr>
        <w:t>a</w:t>
      </w:r>
      <w:r w:rsidRPr="006729A8">
        <w:rPr>
          <w:rFonts w:ascii="Garamond" w:hAnsi="Garamond"/>
          <w:sz w:val="22"/>
          <w:szCs w:val="22"/>
          <w:lang w:val="pt-PT"/>
        </w:rPr>
        <w:t xml:space="preserve">). A construção de poster na área do Direito: Uma experiência com estudantes. In I. Vieira, P. Peres, &amp; A. Pinto (Eds.), </w:t>
      </w:r>
      <w:r w:rsidRPr="006729A8">
        <w:rPr>
          <w:rFonts w:ascii="Garamond" w:hAnsi="Garamond"/>
          <w:i/>
          <w:iCs/>
          <w:sz w:val="22"/>
          <w:szCs w:val="22"/>
          <w:lang w:val="pt-PT"/>
        </w:rPr>
        <w:t>Livro de Atas do CNaPPES.24 -10º Congresso Nacional de Práticas Pedagógicas no Ensino Superior</w:t>
      </w:r>
      <w:r w:rsidRPr="006729A8">
        <w:rPr>
          <w:rFonts w:ascii="Garamond" w:hAnsi="Garamond"/>
          <w:sz w:val="22"/>
          <w:szCs w:val="22"/>
          <w:lang w:val="pt-PT"/>
        </w:rPr>
        <w:t xml:space="preserve">, Porto, Portugal, 8-9 julho 2024, ISCAP (pp. 148-154). Edições Politema. ISBN 978-989-9226-01-2 DOI: </w:t>
      </w:r>
      <w:hyperlink r:id="rId15" w:history="1">
        <w:r w:rsidRPr="006729A8">
          <w:rPr>
            <w:rStyle w:val="Hiperligao"/>
            <w:rFonts w:ascii="Garamond" w:hAnsi="Garamond"/>
            <w:sz w:val="22"/>
            <w:szCs w:val="22"/>
            <w:lang w:val="pt-PT"/>
          </w:rPr>
          <w:t>https://doi.org/10.26537/e.ipp.133</w:t>
        </w:r>
      </w:hyperlink>
      <w:r w:rsidRPr="006729A8">
        <w:rPr>
          <w:rFonts w:ascii="Garamond" w:hAnsi="Garamond"/>
          <w:sz w:val="22"/>
          <w:szCs w:val="22"/>
          <w:lang w:val="pt-PT"/>
        </w:rPr>
        <w:t xml:space="preserve">. Repositório Institucional UPT. </w:t>
      </w:r>
      <w:hyperlink r:id="rId16" w:tgtFrame="_blank" w:history="1">
        <w:r w:rsidRPr="006729A8">
          <w:rPr>
            <w:rStyle w:val="Hiperligao"/>
            <w:rFonts w:ascii="Garamond" w:hAnsi="Garamond"/>
            <w:sz w:val="22"/>
            <w:szCs w:val="22"/>
            <w:lang w:val="pt-PT"/>
          </w:rPr>
          <w:t>https://hdl.handle.net/11328/6193</w:t>
        </w:r>
      </w:hyperlink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6729A8">
        <w:rPr>
          <w:rFonts w:ascii="Garamond" w:hAnsi="Garamond"/>
          <w:sz w:val="22"/>
          <w:szCs w:val="22"/>
          <w:lang w:val="pt-PT"/>
        </w:rPr>
        <w:t>Link de acesso ao Livro de Atas: </w:t>
      </w:r>
      <w:hyperlink r:id="rId17" w:tgtFrame="_blank" w:history="1">
        <w:r w:rsidRPr="006729A8">
          <w:rPr>
            <w:rStyle w:val="Hiperligao"/>
            <w:rFonts w:ascii="Garamond" w:hAnsi="Garamond"/>
            <w:sz w:val="22"/>
            <w:szCs w:val="22"/>
            <w:lang w:val="pt-PT"/>
          </w:rPr>
          <w:t>https://edicoes.ipp.pt/index.php/books/catalog/book/133</w:t>
        </w:r>
      </w:hyperlink>
    </w:p>
    <w:p w14:paraId="2481E7E4" w14:textId="77777777" w:rsidR="00B6331D" w:rsidRPr="00806855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26A9E913" w14:textId="77777777" w:rsidR="00B6331D" w:rsidRPr="00FB55C6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  <w:r w:rsidRPr="00FB55C6">
        <w:rPr>
          <w:rFonts w:ascii="Garamond" w:hAnsi="Garamond"/>
          <w:sz w:val="22"/>
          <w:szCs w:val="22"/>
          <w:lang w:val="pt-PT"/>
        </w:rPr>
        <w:t>Alves, D. R., &amp; Pacheco, L. P. (2025</w:t>
      </w:r>
      <w:r>
        <w:rPr>
          <w:rFonts w:ascii="Garamond" w:hAnsi="Garamond"/>
          <w:sz w:val="22"/>
          <w:szCs w:val="22"/>
          <w:lang w:val="pt-PT"/>
        </w:rPr>
        <w:t>b</w:t>
      </w:r>
      <w:r w:rsidRPr="00FB55C6">
        <w:rPr>
          <w:rFonts w:ascii="Garamond" w:hAnsi="Garamond"/>
          <w:sz w:val="22"/>
          <w:szCs w:val="22"/>
          <w:lang w:val="pt-PT"/>
        </w:rPr>
        <w:t xml:space="preserve">). O uso da IA Generativa para construção de poster na área do Direito [abstract]. In E. Sousa, &amp; A. F. Pacheco (Orgs.), </w:t>
      </w:r>
      <w:r w:rsidRPr="00FB55C6">
        <w:rPr>
          <w:rFonts w:ascii="Garamond" w:hAnsi="Garamond"/>
          <w:i/>
          <w:iCs/>
          <w:sz w:val="22"/>
          <w:szCs w:val="22"/>
          <w:lang w:val="pt-PT"/>
        </w:rPr>
        <w:t>Compilação de Resumos: 11º Congresso Nacional de Práticas Pedagógicas do Ensino Superior (CNaPPES.25</w:t>
      </w:r>
      <w:r w:rsidRPr="00FB55C6">
        <w:rPr>
          <w:rFonts w:ascii="Garamond" w:hAnsi="Garamond"/>
          <w:sz w:val="22"/>
          <w:szCs w:val="22"/>
          <w:lang w:val="pt-PT"/>
        </w:rPr>
        <w:t>), Évora, Portugal, 10-11 julho 2025, (pp. 94-95). Universidade de Évora. Repositório Institucional UPT. </w:t>
      </w:r>
      <w:hyperlink r:id="rId18" w:tgtFrame="_blank" w:history="1">
        <w:r w:rsidRPr="00FB55C6">
          <w:rPr>
            <w:rStyle w:val="Hiperligao"/>
            <w:rFonts w:ascii="Garamond" w:hAnsi="Garamond"/>
            <w:sz w:val="22"/>
            <w:szCs w:val="22"/>
            <w:lang w:val="pt-PT"/>
          </w:rPr>
          <w:t>https://hdl.handle.net/11328/6482</w:t>
        </w:r>
      </w:hyperlink>
      <w:r w:rsidRPr="00FB55C6">
        <w:rPr>
          <w:rFonts w:ascii="Garamond" w:hAnsi="Garamond"/>
          <w:sz w:val="22"/>
          <w:szCs w:val="22"/>
          <w:lang w:val="pt-PT"/>
        </w:rPr>
        <w:t xml:space="preserve"> Acesso oficial: </w:t>
      </w:r>
      <w:hyperlink r:id="rId19" w:history="1">
        <w:r w:rsidRPr="00FB55C6">
          <w:rPr>
            <w:rStyle w:val="Hiperligao"/>
            <w:rFonts w:ascii="Garamond" w:hAnsi="Garamond"/>
            <w:sz w:val="22"/>
            <w:szCs w:val="22"/>
            <w:lang w:val="pt-PT"/>
          </w:rPr>
          <w:t>https://cnappes.org/programa/cnappes25_resumos_documento_de_trabalho_9jul/</w:t>
        </w:r>
      </w:hyperlink>
    </w:p>
    <w:p w14:paraId="5F5F502C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669392C1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  <w:r w:rsidRPr="000B0417">
        <w:rPr>
          <w:rFonts w:ascii="Garamond" w:hAnsi="Garamond"/>
          <w:sz w:val="22"/>
          <w:szCs w:val="22"/>
          <w:lang w:val="pt-PT"/>
        </w:rPr>
        <w:lastRenderedPageBreak/>
        <w:t xml:space="preserve">Alves, D. R., &amp; Fernandes, S. (2024). Reflexões sobre a integração dos ODS numa unidade curricular na área do Direito: Oportunidades e desafios de uma experiência com estudantes. In E. Esteves, D. Estêvão, J. Monteiro, &amp; M. Correia (Coords.), </w:t>
      </w:r>
      <w:r w:rsidRPr="000B0417">
        <w:rPr>
          <w:rFonts w:ascii="Garamond" w:hAnsi="Garamond"/>
          <w:i/>
          <w:iCs/>
          <w:sz w:val="22"/>
          <w:szCs w:val="22"/>
          <w:lang w:val="pt-PT"/>
        </w:rPr>
        <w:t>Livro de Atas: 9º Congresso Nacional de Práticas Pedagógicas no Ensino Superior</w:t>
      </w:r>
      <w:r w:rsidRPr="000B0417">
        <w:rPr>
          <w:rFonts w:ascii="Garamond" w:hAnsi="Garamond"/>
          <w:sz w:val="22"/>
          <w:szCs w:val="22"/>
          <w:lang w:val="pt-PT"/>
        </w:rPr>
        <w:t>. Faro, Portugal, 6-7 julho 2023, (pp. 93-99). Repositório Institucional UPT, </w:t>
      </w:r>
      <w:hyperlink r:id="rId20" w:tgtFrame="_blank" w:history="1">
        <w:r w:rsidRPr="000B0417">
          <w:rPr>
            <w:rStyle w:val="Hiperligao"/>
            <w:rFonts w:ascii="Garamond" w:hAnsi="Garamond"/>
            <w:sz w:val="22"/>
            <w:szCs w:val="22"/>
            <w:lang w:val="pt-PT"/>
          </w:rPr>
          <w:t>https://hdl.handle.net/11328/5679</w:t>
        </w:r>
      </w:hyperlink>
      <w:r w:rsidRPr="000B0417">
        <w:rPr>
          <w:rFonts w:ascii="Garamond" w:hAnsi="Garamond"/>
          <w:sz w:val="22"/>
          <w:szCs w:val="22"/>
          <w:lang w:val="pt-PT"/>
        </w:rPr>
        <w:t> </w:t>
      </w:r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0B0417">
        <w:rPr>
          <w:rFonts w:ascii="Garamond" w:hAnsi="Garamond"/>
          <w:sz w:val="22"/>
          <w:szCs w:val="22"/>
          <w:lang w:val="pt-PT"/>
        </w:rPr>
        <w:t xml:space="preserve">Acesso oficial: </w:t>
      </w:r>
      <w:hyperlink r:id="rId21" w:history="1">
        <w:r w:rsidRPr="000B0417">
          <w:rPr>
            <w:rStyle w:val="Hiperligao"/>
            <w:rFonts w:ascii="Garamond" w:hAnsi="Garamond"/>
            <w:sz w:val="22"/>
            <w:szCs w:val="22"/>
            <w:lang w:val="pt-PT"/>
          </w:rPr>
          <w:t>https://cnappes.org/cnappes-2023/apresentacoes/</w:t>
        </w:r>
      </w:hyperlink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0B0417">
        <w:rPr>
          <w:rFonts w:ascii="Garamond" w:hAnsi="Garamond"/>
          <w:sz w:val="22"/>
          <w:szCs w:val="22"/>
          <w:lang w:val="pt-PT"/>
        </w:rPr>
        <w:t xml:space="preserve">DOI: </w:t>
      </w:r>
      <w:hyperlink r:id="rId22" w:history="1">
        <w:r w:rsidRPr="000B0417">
          <w:rPr>
            <w:rStyle w:val="Hiperligao"/>
            <w:rFonts w:ascii="Garamond" w:hAnsi="Garamond"/>
            <w:sz w:val="22"/>
            <w:szCs w:val="22"/>
            <w:lang w:val="pt-PT"/>
          </w:rPr>
          <w:t>https://doi.org/10.34623/kf51-wf33</w:t>
        </w:r>
      </w:hyperlink>
      <w:r w:rsidRPr="000B0417">
        <w:rPr>
          <w:rFonts w:ascii="Garamond" w:hAnsi="Garamond"/>
          <w:sz w:val="22"/>
          <w:szCs w:val="22"/>
          <w:lang w:val="pt-PT"/>
        </w:rPr>
        <w:t xml:space="preserve"> ISBN: 978-989-9127-67-8</w:t>
      </w:r>
    </w:p>
    <w:p w14:paraId="4671F019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1C14BDD6" w14:textId="011B66CA" w:rsidR="00B6331D" w:rsidRDefault="00B6331D" w:rsidP="00B6331D">
      <w:pPr>
        <w:ind w:left="720" w:right="-57" w:hanging="720"/>
      </w:pPr>
      <w:r w:rsidRPr="004C5D5B">
        <w:rPr>
          <w:rFonts w:ascii="Garamond" w:hAnsi="Garamond"/>
          <w:sz w:val="22"/>
          <w:szCs w:val="22"/>
          <w:lang w:val="pt-PT"/>
        </w:rPr>
        <w:t xml:space="preserve">Barata, M. S. (2025). Regulamento da IA e os valores e direitos fundamentais da UE. </w:t>
      </w:r>
      <w:r w:rsidRPr="00806855">
        <w:rPr>
          <w:rFonts w:ascii="Garamond" w:hAnsi="Garamond"/>
          <w:i/>
          <w:iCs/>
          <w:sz w:val="22"/>
          <w:szCs w:val="22"/>
          <w:lang w:val="pt-PT"/>
        </w:rPr>
        <w:t>In</w:t>
      </w:r>
      <w:r w:rsidRPr="00806855">
        <w:rPr>
          <w:rFonts w:ascii="Garamond" w:hAnsi="Garamond"/>
          <w:sz w:val="22"/>
          <w:szCs w:val="22"/>
          <w:lang w:val="pt-PT"/>
        </w:rPr>
        <w:t xml:space="preserve"> </w:t>
      </w:r>
      <w:r w:rsidR="00B73810" w:rsidRPr="00806855">
        <w:rPr>
          <w:rFonts w:ascii="Garamond" w:hAnsi="Garamond"/>
          <w:sz w:val="22"/>
          <w:szCs w:val="22"/>
          <w:lang w:val="pt-PT"/>
        </w:rPr>
        <w:t>Veiga</w:t>
      </w:r>
      <w:r w:rsidRPr="00806855">
        <w:rPr>
          <w:rFonts w:ascii="Garamond" w:hAnsi="Garamond"/>
          <w:sz w:val="22"/>
          <w:szCs w:val="22"/>
          <w:lang w:val="pt-PT"/>
        </w:rPr>
        <w:t xml:space="preserve">, Fábio da Silva; </w:t>
      </w:r>
      <w:r w:rsidR="00B73810" w:rsidRPr="00806855">
        <w:rPr>
          <w:rFonts w:ascii="Garamond" w:hAnsi="Garamond"/>
          <w:sz w:val="22"/>
          <w:szCs w:val="22"/>
          <w:lang w:val="pt-PT"/>
        </w:rPr>
        <w:t>Amorim</w:t>
      </w:r>
      <w:r w:rsidRPr="00806855">
        <w:rPr>
          <w:rFonts w:ascii="Garamond" w:hAnsi="Garamond"/>
          <w:sz w:val="22"/>
          <w:szCs w:val="22"/>
          <w:lang w:val="pt-PT"/>
        </w:rPr>
        <w:t xml:space="preserve">, José de Campos; </w:t>
      </w:r>
      <w:r w:rsidR="00B73810" w:rsidRPr="00806855">
        <w:rPr>
          <w:rFonts w:ascii="Garamond" w:hAnsi="Garamond"/>
          <w:sz w:val="22"/>
          <w:szCs w:val="22"/>
          <w:lang w:val="pt-PT"/>
        </w:rPr>
        <w:t>Azevedo</w:t>
      </w:r>
      <w:r w:rsidRPr="00806855">
        <w:rPr>
          <w:rFonts w:ascii="Garamond" w:hAnsi="Garamond"/>
          <w:sz w:val="22"/>
          <w:szCs w:val="22"/>
          <w:lang w:val="pt-PT"/>
        </w:rPr>
        <w:t xml:space="preserve">, Patrícia Anjos (Coords.). </w:t>
      </w:r>
      <w:r w:rsidRPr="004C5D5B">
        <w:rPr>
          <w:rFonts w:ascii="Garamond" w:hAnsi="Garamond"/>
          <w:i/>
          <w:iCs/>
          <w:sz w:val="22"/>
          <w:szCs w:val="22"/>
          <w:lang w:val="en-US"/>
        </w:rPr>
        <w:t>Futurelaw</w:t>
      </w:r>
      <w:r w:rsidRPr="004C5D5B">
        <w:rPr>
          <w:rFonts w:ascii="Garamond" w:hAnsi="Garamond"/>
          <w:sz w:val="22"/>
          <w:szCs w:val="22"/>
          <w:lang w:val="en-US"/>
        </w:rPr>
        <w:t>, vol. VI. Porto: Iberojur Science Press, 2025, pp</w:t>
      </w:r>
      <w:r w:rsidRPr="00E96C24">
        <w:rPr>
          <w:rFonts w:ascii="Garamond" w:hAnsi="Garamond"/>
          <w:sz w:val="22"/>
          <w:szCs w:val="22"/>
          <w:lang w:val="en-US"/>
        </w:rPr>
        <w:t xml:space="preserve">. </w:t>
      </w:r>
      <w:r w:rsidRPr="00E96C24">
        <w:rPr>
          <w:rFonts w:ascii="Garamond" w:hAnsi="Garamond"/>
          <w:sz w:val="22"/>
          <w:szCs w:val="22"/>
        </w:rPr>
        <w:t>248-265</w:t>
      </w:r>
      <w:r w:rsidRPr="00E96C24">
        <w:rPr>
          <w:rFonts w:ascii="Garamond" w:hAnsi="Garamond"/>
          <w:sz w:val="22"/>
          <w:szCs w:val="22"/>
          <w:lang w:val="en-US"/>
        </w:rPr>
        <w:t>. 1ª</w:t>
      </w:r>
      <w:r w:rsidRPr="004C5D5B">
        <w:rPr>
          <w:rFonts w:ascii="Garamond" w:hAnsi="Garamond"/>
          <w:sz w:val="22"/>
          <w:szCs w:val="22"/>
          <w:lang w:val="en-US"/>
        </w:rPr>
        <w:t xml:space="preserve"> ed. ISBN: 978-989-36440-1-0. </w:t>
      </w:r>
      <w:r w:rsidRPr="00806855">
        <w:rPr>
          <w:rFonts w:ascii="Garamond" w:hAnsi="Garamond"/>
          <w:sz w:val="22"/>
          <w:szCs w:val="22"/>
          <w:lang w:val="pt-PT"/>
        </w:rPr>
        <w:t xml:space="preserve">DOI: </w:t>
      </w:r>
      <w:hyperlink r:id="rId23" w:history="1">
        <w:r w:rsidRPr="00806855">
          <w:rPr>
            <w:rStyle w:val="Hiperligao"/>
            <w:rFonts w:ascii="Garamond" w:hAnsi="Garamond"/>
            <w:sz w:val="22"/>
            <w:szCs w:val="22"/>
            <w:lang w:val="pt-PT"/>
          </w:rPr>
          <w:t>https://doi.org//10.62140/FUTLAWVI2025</w:t>
        </w:r>
      </w:hyperlink>
    </w:p>
    <w:p w14:paraId="62C36A8B" w14:textId="77777777" w:rsidR="00B6331D" w:rsidRDefault="00B6331D" w:rsidP="00B6331D">
      <w:pPr>
        <w:ind w:left="720" w:right="-57" w:hanging="720"/>
      </w:pPr>
    </w:p>
    <w:p w14:paraId="7DDB5259" w14:textId="77777777" w:rsidR="00B6331D" w:rsidRPr="00731336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  <w:r w:rsidRPr="00731336">
        <w:rPr>
          <w:rFonts w:ascii="Garamond" w:hAnsi="Garamond"/>
          <w:sz w:val="22"/>
          <w:szCs w:val="22"/>
          <w:lang w:val="pt-PT"/>
        </w:rPr>
        <w:t>Comissão Europeia</w:t>
      </w:r>
      <w:r>
        <w:rPr>
          <w:rFonts w:ascii="Garamond" w:hAnsi="Garamond"/>
          <w:sz w:val="22"/>
          <w:szCs w:val="22"/>
          <w:lang w:val="pt-PT"/>
        </w:rPr>
        <w:t xml:space="preserve"> (2025)</w:t>
      </w:r>
      <w:r w:rsidRPr="00731336">
        <w:rPr>
          <w:rFonts w:ascii="Garamond" w:hAnsi="Garamond"/>
          <w:sz w:val="22"/>
          <w:szCs w:val="22"/>
          <w:lang w:val="pt-PT"/>
        </w:rPr>
        <w:t xml:space="preserve">. Comunicação da Comissão ao Parlamento Europeu, ao Conselho, ao Comité Económico e Social Europeu e ao Comité das Regiões </w:t>
      </w:r>
      <w:r w:rsidRPr="00731336">
        <w:rPr>
          <w:rFonts w:ascii="Garamond" w:hAnsi="Garamond"/>
          <w:i/>
          <w:iCs/>
          <w:sz w:val="22"/>
          <w:szCs w:val="22"/>
          <w:lang w:val="pt-PT"/>
        </w:rPr>
        <w:t>Programa de trabalho da Comissão para 2026 O momento da independência europeia</w:t>
      </w:r>
      <w:r w:rsidRPr="00731336">
        <w:rPr>
          <w:rFonts w:ascii="Garamond" w:hAnsi="Garamond"/>
          <w:sz w:val="22"/>
          <w:szCs w:val="22"/>
          <w:lang w:val="pt-PT"/>
        </w:rPr>
        <w:t xml:space="preserve">. Documento COM(2025) 870 final de 21.10.2025. Disponível em </w:t>
      </w:r>
      <w:hyperlink r:id="rId24" w:history="1">
        <w:r w:rsidRPr="00731336">
          <w:rPr>
            <w:rStyle w:val="Hiperligao"/>
            <w:rFonts w:ascii="Garamond" w:hAnsi="Garamond"/>
            <w:sz w:val="22"/>
            <w:szCs w:val="22"/>
            <w:lang w:val="pt-PT"/>
          </w:rPr>
          <w:t>https://eur-lex.europa.eu/legal-content/PT/TXT/?qid=1761126156157&amp;uri=CELEX%3A52025DC0870</w:t>
        </w:r>
      </w:hyperlink>
    </w:p>
    <w:p w14:paraId="61F32A33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48A6C8C2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  <w:r w:rsidRPr="00876AC0">
        <w:rPr>
          <w:rFonts w:ascii="Garamond" w:hAnsi="Garamond"/>
          <w:sz w:val="22"/>
          <w:szCs w:val="22"/>
          <w:lang w:val="pt-PT"/>
        </w:rPr>
        <w:t xml:space="preserve">Comité Económico </w:t>
      </w:r>
      <w:r>
        <w:rPr>
          <w:rFonts w:ascii="Garamond" w:hAnsi="Garamond"/>
          <w:sz w:val="22"/>
          <w:szCs w:val="22"/>
          <w:lang w:val="pt-PT"/>
        </w:rPr>
        <w:t>e</w:t>
      </w:r>
      <w:r w:rsidRPr="00876AC0">
        <w:rPr>
          <w:rFonts w:ascii="Garamond" w:hAnsi="Garamond"/>
          <w:sz w:val="22"/>
          <w:szCs w:val="22"/>
          <w:lang w:val="pt-PT"/>
        </w:rPr>
        <w:t xml:space="preserve"> Social Europeu</w:t>
      </w:r>
      <w:r>
        <w:rPr>
          <w:rFonts w:ascii="Garamond" w:hAnsi="Garamond"/>
          <w:sz w:val="22"/>
          <w:szCs w:val="22"/>
          <w:lang w:val="pt-PT"/>
        </w:rPr>
        <w:t xml:space="preserve"> (2025)</w:t>
      </w:r>
      <w:r w:rsidRPr="00876AC0">
        <w:rPr>
          <w:rFonts w:ascii="Garamond" w:hAnsi="Garamond"/>
          <w:sz w:val="22"/>
          <w:szCs w:val="22"/>
          <w:lang w:val="pt-PT"/>
        </w:rPr>
        <w:t xml:space="preserve">. Parecer C/2025/109 do Comité Económico e Social Europeu </w:t>
      </w:r>
      <w:r w:rsidRPr="00876AC0">
        <w:rPr>
          <w:rFonts w:ascii="Garamond" w:hAnsi="Garamond"/>
          <w:i/>
          <w:iCs/>
          <w:sz w:val="22"/>
          <w:szCs w:val="22"/>
          <w:lang w:val="pt-PT"/>
        </w:rPr>
        <w:t>Harmonizar a economia circular e a bioeconomia a nível nacional e da UE</w:t>
      </w:r>
      <w:r w:rsidRPr="00876AC0">
        <w:rPr>
          <w:rFonts w:ascii="Garamond" w:hAnsi="Garamond"/>
          <w:sz w:val="22"/>
          <w:szCs w:val="22"/>
          <w:lang w:val="pt-PT"/>
        </w:rPr>
        <w:t>. JOUE C de 10.01.2025,</w:t>
      </w:r>
      <w:r w:rsidRPr="00876AC0">
        <w:rPr>
          <w:rFonts w:ascii="Garamond" w:hAnsi="Garamond"/>
          <w:i/>
          <w:iCs/>
          <w:sz w:val="22"/>
          <w:szCs w:val="22"/>
          <w:lang w:val="pt-PT"/>
        </w:rPr>
        <w:t xml:space="preserve"> </w:t>
      </w:r>
      <w:r w:rsidRPr="00876AC0">
        <w:rPr>
          <w:rFonts w:ascii="Garamond" w:hAnsi="Garamond"/>
          <w:sz w:val="22"/>
          <w:szCs w:val="22"/>
          <w:lang w:val="pt-PT"/>
        </w:rPr>
        <w:t>ELI: </w:t>
      </w:r>
      <w:hyperlink r:id="rId25" w:tooltip="Dá acesso a este documento através do respetivo URI do ELI." w:history="1">
        <w:r w:rsidRPr="00876AC0">
          <w:rPr>
            <w:rStyle w:val="Hiperligao"/>
            <w:rFonts w:ascii="Garamond" w:hAnsi="Garamond"/>
            <w:sz w:val="22"/>
            <w:szCs w:val="22"/>
            <w:lang w:val="pt-PT"/>
          </w:rPr>
          <w:t>http://data.europa.eu/eli/C/2025/109/oj</w:t>
        </w:r>
      </w:hyperlink>
    </w:p>
    <w:p w14:paraId="41709956" w14:textId="77777777" w:rsidR="00B6331D" w:rsidRDefault="00B6331D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00C6B28E" w14:textId="1124FBD8" w:rsidR="00454B36" w:rsidRDefault="00682833" w:rsidP="00682833">
      <w:pPr>
        <w:ind w:left="720" w:right="-57" w:hanging="720"/>
        <w:jc w:val="both"/>
        <w:rPr>
          <w:rFonts w:ascii="Garamond" w:hAnsi="Garamond"/>
          <w:sz w:val="22"/>
          <w:szCs w:val="22"/>
          <w:lang w:val="pt-PT"/>
        </w:rPr>
      </w:pPr>
      <w:r w:rsidRPr="00806855">
        <w:rPr>
          <w:rFonts w:ascii="Garamond" w:hAnsi="Garamond"/>
          <w:sz w:val="22"/>
          <w:szCs w:val="22"/>
          <w:lang w:val="en-US"/>
        </w:rPr>
        <w:t>Draghi</w:t>
      </w:r>
      <w:r w:rsidR="00454B36" w:rsidRPr="00806855">
        <w:rPr>
          <w:rFonts w:ascii="Garamond" w:hAnsi="Garamond"/>
          <w:sz w:val="22"/>
          <w:szCs w:val="22"/>
          <w:lang w:val="en-US"/>
        </w:rPr>
        <w:t xml:space="preserve">, Mario. </w:t>
      </w:r>
      <w:r w:rsidR="00454B36" w:rsidRPr="00806855">
        <w:rPr>
          <w:rFonts w:ascii="Garamond" w:hAnsi="Garamond"/>
          <w:i/>
          <w:iCs/>
          <w:sz w:val="22"/>
          <w:szCs w:val="22"/>
          <w:lang w:val="en-US"/>
        </w:rPr>
        <w:t>The future of European competitiveness – A competitiveness strategy for Europe</w:t>
      </w:r>
      <w:r w:rsidR="00454B36" w:rsidRPr="00806855">
        <w:rPr>
          <w:rFonts w:ascii="Garamond" w:hAnsi="Garamond"/>
          <w:sz w:val="22"/>
          <w:szCs w:val="22"/>
          <w:lang w:val="en-US"/>
        </w:rPr>
        <w:t xml:space="preserve">. </w:t>
      </w:r>
      <w:r w:rsidR="00454B36" w:rsidRPr="00454B36">
        <w:rPr>
          <w:rFonts w:ascii="Garamond" w:hAnsi="Garamond"/>
          <w:sz w:val="22"/>
          <w:szCs w:val="22"/>
          <w:lang w:val="pt-BR"/>
        </w:rPr>
        <w:t xml:space="preserve">9.9.2024. Disponível em </w:t>
      </w:r>
      <w:hyperlink r:id="rId26" w:history="1">
        <w:r w:rsidR="00454B36" w:rsidRPr="00454B36">
          <w:rPr>
            <w:rStyle w:val="Hiperligao"/>
            <w:rFonts w:ascii="Garamond" w:hAnsi="Garamond"/>
            <w:sz w:val="22"/>
            <w:szCs w:val="22"/>
            <w:lang w:val="pt-BR"/>
          </w:rPr>
          <w:t>https://commission.europa.eu/topics/eu-competitiveness/draghi-report_en?prefLang=pt</w:t>
        </w:r>
      </w:hyperlink>
    </w:p>
    <w:p w14:paraId="02ABBCED" w14:textId="77777777" w:rsidR="00454B36" w:rsidRDefault="00454B36" w:rsidP="00B6331D">
      <w:pPr>
        <w:ind w:left="720" w:right="-57" w:hanging="720"/>
        <w:rPr>
          <w:rFonts w:ascii="Garamond" w:hAnsi="Garamond"/>
          <w:sz w:val="22"/>
          <w:szCs w:val="22"/>
          <w:lang w:val="pt-PT"/>
        </w:rPr>
      </w:pPr>
    </w:p>
    <w:p w14:paraId="17B75070" w14:textId="39C97628" w:rsidR="00B6331D" w:rsidRDefault="00B6331D" w:rsidP="00B6331D">
      <w:pPr>
        <w:ind w:left="720" w:right="-57" w:hanging="720"/>
      </w:pPr>
      <w:r w:rsidRPr="007D1F1F">
        <w:rPr>
          <w:rFonts w:ascii="Garamond" w:hAnsi="Garamond"/>
          <w:sz w:val="22"/>
          <w:szCs w:val="22"/>
          <w:lang w:val="pt-PT"/>
        </w:rPr>
        <w:t xml:space="preserve">Mota, Ana Sofia; Alves, Dora Resende; Pacheco, Luís Paulo; Morais, Paula; Albuquerque, Helena (coordenadores) (2025). </w:t>
      </w:r>
      <w:r w:rsidRPr="00B7533F">
        <w:rPr>
          <w:rFonts w:ascii="Garamond" w:hAnsi="Garamond"/>
          <w:i/>
          <w:iCs/>
          <w:sz w:val="22"/>
          <w:szCs w:val="22"/>
          <w:lang w:val="pt-PT"/>
        </w:rPr>
        <w:t>Green Wave - Estamos todos no mesmo barco: livro de resumos da 2.ª semana da sustentabilidade</w:t>
      </w:r>
      <w:r w:rsidRPr="007D1F1F">
        <w:rPr>
          <w:rFonts w:ascii="Garamond" w:hAnsi="Garamond"/>
          <w:sz w:val="22"/>
          <w:szCs w:val="22"/>
          <w:lang w:val="pt-PT"/>
        </w:rPr>
        <w:t>. [e-book] Universidade Portucalense. DOI:</w:t>
      </w:r>
      <w:hyperlink r:id="rId27" w:history="1">
        <w:r w:rsidRPr="007D1F1F">
          <w:rPr>
            <w:rStyle w:val="Hiperligao"/>
            <w:rFonts w:ascii="Garamond" w:hAnsi="Garamond"/>
            <w:sz w:val="22"/>
            <w:szCs w:val="22"/>
            <w:lang w:val="pt-PT"/>
          </w:rPr>
          <w:t>https://doi.org/10.34625/isbn.978-972-9354-52-6</w:t>
        </w:r>
      </w:hyperlink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7D1F1F">
        <w:rPr>
          <w:rFonts w:ascii="Garamond" w:hAnsi="Garamond"/>
          <w:sz w:val="22"/>
          <w:szCs w:val="22"/>
          <w:lang w:val="pt-PT"/>
        </w:rPr>
        <w:t>Repositório</w:t>
      </w:r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7D1F1F">
        <w:rPr>
          <w:rFonts w:ascii="Garamond" w:hAnsi="Garamond"/>
          <w:sz w:val="22"/>
          <w:szCs w:val="22"/>
          <w:lang w:val="pt-PT"/>
        </w:rPr>
        <w:t>Institucional UPT.</w:t>
      </w:r>
      <w:hyperlink r:id="rId28" w:history="1">
        <w:r w:rsidRPr="007D1F1F">
          <w:rPr>
            <w:rStyle w:val="Hiperligao"/>
            <w:rFonts w:ascii="Garamond" w:hAnsi="Garamond"/>
            <w:sz w:val="22"/>
            <w:szCs w:val="22"/>
            <w:lang w:val="pt-PT"/>
          </w:rPr>
          <w:t>https://hdl.handle.net/11328/6293</w:t>
        </w:r>
      </w:hyperlink>
    </w:p>
    <w:p w14:paraId="6E958425" w14:textId="77777777" w:rsidR="00B6331D" w:rsidRDefault="00B6331D" w:rsidP="00B6331D">
      <w:pPr>
        <w:ind w:left="720" w:right="-57" w:hanging="720"/>
      </w:pPr>
    </w:p>
    <w:p w14:paraId="72AE4FEF" w14:textId="78FB66C4" w:rsidR="00E4679D" w:rsidRPr="003D78A8" w:rsidRDefault="00B6331D" w:rsidP="00B6331D">
      <w:pPr>
        <w:pStyle w:val="Textodenotaderodap"/>
        <w:ind w:left="709" w:hanging="709"/>
        <w:jc w:val="both"/>
        <w:rPr>
          <w:sz w:val="24"/>
          <w:szCs w:val="24"/>
          <w:lang w:val="pt-PT"/>
        </w:rPr>
      </w:pPr>
      <w:r w:rsidRPr="002A507C">
        <w:rPr>
          <w:rFonts w:ascii="Garamond" w:hAnsi="Garamond"/>
          <w:sz w:val="22"/>
          <w:szCs w:val="22"/>
          <w:lang w:val="pt-PT"/>
        </w:rPr>
        <w:t>Parlamento Europeu</w:t>
      </w:r>
      <w:r>
        <w:rPr>
          <w:rFonts w:ascii="Garamond" w:hAnsi="Garamond"/>
          <w:sz w:val="22"/>
          <w:szCs w:val="22"/>
          <w:lang w:val="pt-PT"/>
        </w:rPr>
        <w:t xml:space="preserve"> (2018)</w:t>
      </w:r>
      <w:r w:rsidRPr="002A507C">
        <w:rPr>
          <w:rFonts w:ascii="Garamond" w:hAnsi="Garamond"/>
          <w:sz w:val="22"/>
          <w:szCs w:val="22"/>
          <w:lang w:val="pt-PT"/>
        </w:rPr>
        <w:t>. Resolução do Parlamento Europeu</w:t>
      </w:r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2A507C">
        <w:rPr>
          <w:rFonts w:ascii="Garamond" w:hAnsi="Garamond"/>
          <w:sz w:val="22"/>
          <w:szCs w:val="22"/>
        </w:rPr>
        <w:t>2018/C 334/18</w:t>
      </w:r>
      <w:r w:rsidRPr="002A507C">
        <w:rPr>
          <w:rFonts w:ascii="Garamond" w:hAnsi="Garamond"/>
          <w:sz w:val="22"/>
          <w:szCs w:val="22"/>
          <w:lang w:val="pt-PT"/>
        </w:rPr>
        <w:t>, de 6 de julho de 2017, sobre a ação da UE para a sustentabilidade</w:t>
      </w:r>
      <w:r>
        <w:rPr>
          <w:rFonts w:ascii="Garamond" w:hAnsi="Garamond"/>
          <w:sz w:val="22"/>
          <w:szCs w:val="22"/>
          <w:lang w:val="pt-PT"/>
        </w:rPr>
        <w:t>.</w:t>
      </w:r>
      <w:r>
        <w:rPr>
          <w:rFonts w:ascii="Garamond" w:hAnsi="Garamond"/>
          <w:b/>
          <w:bCs/>
          <w:sz w:val="22"/>
          <w:szCs w:val="22"/>
          <w:lang w:val="pt-PT"/>
        </w:rPr>
        <w:t xml:space="preserve"> </w:t>
      </w:r>
      <w:r w:rsidRPr="002A507C">
        <w:rPr>
          <w:rFonts w:ascii="Garamond" w:hAnsi="Garamond"/>
          <w:sz w:val="22"/>
          <w:szCs w:val="22"/>
          <w:lang w:val="pt-PT"/>
        </w:rPr>
        <w:t>JO</w:t>
      </w:r>
      <w:r>
        <w:rPr>
          <w:rFonts w:ascii="Garamond" w:hAnsi="Garamond"/>
          <w:sz w:val="22"/>
          <w:szCs w:val="22"/>
          <w:lang w:val="pt-PT"/>
        </w:rPr>
        <w:t>UE</w:t>
      </w:r>
      <w:r w:rsidRPr="002A507C">
        <w:rPr>
          <w:rFonts w:ascii="Garamond" w:hAnsi="Garamond"/>
          <w:sz w:val="22"/>
          <w:szCs w:val="22"/>
          <w:lang w:val="pt-PT"/>
        </w:rPr>
        <w:t xml:space="preserve"> C 334 de 19.9.2018, pp. 151-167 .</w:t>
      </w:r>
      <w:r>
        <w:rPr>
          <w:rFonts w:ascii="Garamond" w:hAnsi="Garamond"/>
          <w:sz w:val="22"/>
          <w:szCs w:val="22"/>
          <w:lang w:val="pt-PT"/>
        </w:rPr>
        <w:t xml:space="preserve"> </w:t>
      </w:r>
      <w:r w:rsidRPr="00731336">
        <w:rPr>
          <w:rFonts w:ascii="Garamond" w:hAnsi="Garamond"/>
          <w:sz w:val="22"/>
          <w:szCs w:val="22"/>
          <w:lang w:val="pt-PT"/>
        </w:rPr>
        <w:t>Disponível em</w:t>
      </w:r>
      <w:r>
        <w:rPr>
          <w:rFonts w:ascii="Garamond" w:hAnsi="Garamond"/>
          <w:sz w:val="22"/>
          <w:szCs w:val="22"/>
          <w:lang w:val="pt-PT"/>
        </w:rPr>
        <w:t xml:space="preserve"> </w:t>
      </w:r>
      <w:hyperlink r:id="rId29" w:history="1">
        <w:r w:rsidRPr="00586E75">
          <w:rPr>
            <w:rStyle w:val="Hiperligao"/>
            <w:rFonts w:ascii="Garamond" w:hAnsi="Garamond"/>
            <w:sz w:val="22"/>
            <w:szCs w:val="22"/>
            <w:lang w:val="pt-PT"/>
          </w:rPr>
          <w:t>https://eur-lex.europa.eu/legal-content/PT/TXT/?uri=CELEX%3A52017IP0315&amp;qid=1762110728013</w:t>
        </w:r>
      </w:hyperlink>
    </w:p>
    <w:p w14:paraId="57580189" w14:textId="4E907705" w:rsidR="00E4679D" w:rsidRPr="00D607A5" w:rsidRDefault="00E4679D" w:rsidP="00C15D9F">
      <w:pPr>
        <w:spacing w:line="360" w:lineRule="auto"/>
        <w:jc w:val="both"/>
        <w:rPr>
          <w:rFonts w:ascii="Times New Roman" w:hAnsi="Times New Roman" w:cs="Times New Roman"/>
          <w:spacing w:val="-1"/>
          <w:sz w:val="20"/>
          <w:szCs w:val="20"/>
          <w:lang w:val="pt-PT"/>
        </w:rPr>
      </w:pPr>
    </w:p>
    <w:p w14:paraId="39704D76" w14:textId="77777777" w:rsidR="00AC5F12" w:rsidRDefault="00AC5F12" w:rsidP="00475147">
      <w:pPr>
        <w:rPr>
          <w:rFonts w:ascii="Times New Roman" w:hAnsi="Times New Roman" w:cs="Times New Roman"/>
          <w:noProof/>
          <w:lang w:val="pt-PT"/>
        </w:rPr>
      </w:pPr>
    </w:p>
    <w:p w14:paraId="0601B32B" w14:textId="77777777" w:rsidR="00D607A5" w:rsidRDefault="00D607A5" w:rsidP="00475147">
      <w:pPr>
        <w:rPr>
          <w:rFonts w:ascii="Times New Roman" w:hAnsi="Times New Roman" w:cs="Times New Roman"/>
          <w:noProof/>
          <w:lang w:val="pt-PT"/>
        </w:rPr>
      </w:pPr>
    </w:p>
    <w:p w14:paraId="5C06D839" w14:textId="77777777" w:rsidR="004E1D59" w:rsidRPr="00BA6B0B" w:rsidRDefault="004E1D59" w:rsidP="004E1D59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Formato para la presentación de propuestas</w:t>
      </w:r>
    </w:p>
    <w:p w14:paraId="17880229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Extensión de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400 a 500 palabras máximo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7C7A1E1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Incluir: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Introducción, objetivos, metodología, discusión, resultados, conclusiones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209A1D6A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Puede omitir o sustituir alguno de estos apartados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 si la investigación así lo requiere.</w:t>
      </w:r>
    </w:p>
    <w:p w14:paraId="53673BD5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No incluir bibliografía, agradecimientos, patrocinadores ni datos personales de ningún firmante en el cuerpo de texto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5952CA3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De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tres a cinco palabras clave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1BA3B27" w14:textId="77777777" w:rsidR="004E1D59" w:rsidRPr="00BA6B0B" w:rsidRDefault="004E1D59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4391CC33" w14:textId="02532B72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</w:rPr>
      </w:pPr>
      <w:r w:rsidRPr="00BA6B0B">
        <w:rPr>
          <w:rFonts w:ascii="Times New Roman" w:hAnsi="Times New Roman" w:cs="Times New Roman"/>
          <w:noProof/>
          <w:sz w:val="20"/>
          <w:szCs w:val="20"/>
        </w:rPr>
        <w:t>en modalidad online a través de esta plataforma en la Facultad de Comunicación de la Universidad de Sevilla (España).</w:t>
      </w:r>
    </w:p>
    <w:p w14:paraId="165B5DAB" w14:textId="77777777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</w:rPr>
      </w:pPr>
    </w:p>
    <w:p w14:paraId="1440CE22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Las sesiones que impliquen la presentación y defensa de las comunicaciones se llevarán a cabo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de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manera virtual y en diferido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para garantizar la total participación y presentación de las comunicaciones.</w:t>
      </w:r>
    </w:p>
    <w:p w14:paraId="1530A7F9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Las propuestas de comunicación estarán sometidas a un sistema de revisión por pares y aquéllas que sean seleccionadas, podrán ser presentadas en el simposio elegido por el/los autores.</w:t>
      </w:r>
    </w:p>
    <w:p w14:paraId="06A8C916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lastRenderedPageBreak/>
        <w:t xml:space="preserve">Las ponencias defendidas en el congreso y que sean entregadas en plazo y de acuerdo a la forma exigida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serán publicadas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 (si los/as autores/as lo desean) como capítulo de libro en un monográfico editado por las editoriales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 Dykinson o Egregius 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(a elección del autor para cada capítulo), editoriales de prestigio incluidas en el Índice SPI en posición 3ª y 76ª. (</w:t>
      </w:r>
      <w:hyperlink r:id="rId30" w:history="1">
        <w:r w:rsidRPr="00BA6B0B">
          <w:rPr>
            <w:rStyle w:val="Hiperligao"/>
            <w:rFonts w:ascii="Times New Roman" w:hAnsi="Times New Roman" w:cs="Times New Roman"/>
            <w:noProof/>
            <w:sz w:val="20"/>
            <w:szCs w:val="20"/>
            <w:lang w:val="pt-PT"/>
          </w:rPr>
          <w:t>Índice General SPI</w:t>
        </w:r>
      </w:hyperlink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).</w:t>
      </w:r>
    </w:p>
    <w:p w14:paraId="14370B5D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De forma opcional se podrá optar a publicar uno de los capítulos con la editorial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Tirant lo Blanch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(1ª posición en el índice SPI).</w:t>
      </w:r>
    </w:p>
    <w:p w14:paraId="10506285" w14:textId="77777777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3923529A" w14:textId="36994D76" w:rsidR="00725F30" w:rsidRPr="00BA6B0B" w:rsidRDefault="00A8135D" w:rsidP="00475147">
      <w:pPr>
        <w:rPr>
          <w:rFonts w:ascii="Times New Roman" w:hAnsi="Times New Roman" w:cs="Times New Roman"/>
          <w:noProof/>
          <w:sz w:val="20"/>
          <w:szCs w:val="20"/>
        </w:rPr>
      </w:pPr>
      <w:r w:rsidRPr="00BA6B0B">
        <w:rPr>
          <w:rFonts w:ascii="Times New Roman" w:hAnsi="Times New Roman" w:cs="Times New Roman"/>
          <w:noProof/>
          <w:sz w:val="20"/>
          <w:szCs w:val="20"/>
        </w:rPr>
        <w:t>La participación en los simposios temáticos de este congreso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</w:rPr>
        <w:t>.</w:t>
      </w: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 Tendrá que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</w:rPr>
        <w:t>grabar una vídeo</w:t>
      </w: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 defensa de su propuesta y formular preguntas y respuestas durante los días del congreso valiéndose de un foro escrito que se instala en cada una de las ponencias publicadas</w:t>
      </w:r>
    </w:p>
    <w:tbl>
      <w:tblPr>
        <w:tblW w:w="5000" w:type="pct"/>
        <w:tblCellSpacing w:w="0" w:type="dxa"/>
        <w:shd w:val="clear" w:color="auto" w:fill="EAEB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38"/>
      </w:tblGrid>
      <w:tr w:rsidR="00725F30" w:rsidRPr="00BA6B0B" w14:paraId="378D2914" w14:textId="77777777" w:rsidTr="00725F30">
        <w:trPr>
          <w:tblCellSpacing w:w="0" w:type="dxa"/>
        </w:trPr>
        <w:tc>
          <w:tcPr>
            <w:tcW w:w="8700" w:type="dxa"/>
            <w:shd w:val="clear" w:color="auto" w:fill="EAEBE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38"/>
            </w:tblGrid>
            <w:tr w:rsidR="00725F30" w:rsidRPr="00BA6B0B" w14:paraId="7A435A42" w14:textId="77777777" w:rsidTr="00725F30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878"/>
                  </w:tblGrid>
                  <w:tr w:rsidR="00725F30" w:rsidRPr="00BA6B0B" w14:paraId="55439F06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hideMark/>
                      </w:tcPr>
                      <w:p w14:paraId="7BAA747B" w14:textId="77777777" w:rsidR="00725F30" w:rsidRPr="00BA6B0B" w:rsidRDefault="00725F30" w:rsidP="00725F30">
                        <w:pPr>
                          <w:rPr>
                            <w:rFonts w:ascii="Times New Roman" w:hAnsi="Times New Roman" w:cs="Times New Roman"/>
                            <w:noProof/>
                            <w:sz w:val="20"/>
                            <w:szCs w:val="20"/>
                            <w:lang w:val="pt-PT"/>
                          </w:rPr>
                        </w:pPr>
                        <w:r w:rsidRPr="00BA6B0B">
                          <w:rPr>
                            <w:rFonts w:ascii="Times New Roman" w:hAnsi="Times New Roman" w:cs="Times New Roman"/>
                            <w:noProof/>
                            <w:sz w:val="20"/>
                            <w:szCs w:val="20"/>
                            <w:lang w:val="pt-PT"/>
                          </w:rPr>
                          <w:t>Las comunicaciones pueden entregarse tanto en </w:t>
                        </w:r>
                        <w:r w:rsidRPr="00BA6B0B">
                          <w:rPr>
                            <w:rFonts w:ascii="Times New Roman" w:hAnsi="Times New Roman" w:cs="Times New Roman"/>
                            <w:b/>
                            <w:bCs/>
                            <w:noProof/>
                            <w:sz w:val="20"/>
                            <w:szCs w:val="20"/>
                            <w:lang w:val="pt-PT"/>
                          </w:rPr>
                          <w:t>inglés como en castellano y portugués.</w:t>
                        </w:r>
                      </w:p>
                    </w:tc>
                  </w:tr>
                </w:tbl>
                <w:p w14:paraId="1E388B43" w14:textId="77777777" w:rsidR="00725F30" w:rsidRPr="00BA6B0B" w:rsidRDefault="00725F30" w:rsidP="00725F30">
                  <w:pPr>
                    <w:rPr>
                      <w:rFonts w:ascii="Times New Roman" w:hAnsi="Times New Roman" w:cs="Times New Roman"/>
                      <w:noProof/>
                      <w:sz w:val="20"/>
                      <w:szCs w:val="20"/>
                      <w:lang w:val="pt-PT"/>
                    </w:rPr>
                  </w:pPr>
                </w:p>
              </w:tc>
            </w:tr>
          </w:tbl>
          <w:p w14:paraId="04EA9CC7" w14:textId="77777777" w:rsidR="00725F30" w:rsidRPr="00BA6B0B" w:rsidRDefault="00725F30" w:rsidP="00725F30">
            <w:pPr>
              <w:rPr>
                <w:rFonts w:ascii="Times New Roman" w:hAnsi="Times New Roman" w:cs="Times New Roman"/>
                <w:noProof/>
                <w:sz w:val="20"/>
                <w:szCs w:val="20"/>
                <w:lang w:val="pt-PT"/>
              </w:rPr>
            </w:pPr>
          </w:p>
        </w:tc>
      </w:tr>
    </w:tbl>
    <w:p w14:paraId="4870C376" w14:textId="77777777" w:rsidR="00B57BF6" w:rsidRPr="00BA6B0B" w:rsidRDefault="00B57BF6" w:rsidP="00BA6B0B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12962CDE" w14:textId="7777777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CONGRESO</w:t>
      </w:r>
    </w:p>
    <w:p w14:paraId="26440DE7" w14:textId="41B837FA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Envío de resúmenes de comunicación: hasta 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1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0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 xml:space="preserve"> de noviembre de 202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5</w:t>
      </w:r>
    </w:p>
    <w:p w14:paraId="1BD614D0" w14:textId="6B7811BC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Inscripción a precio reducido (1</w:t>
      </w:r>
      <w:r w:rsidR="00F55A10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70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€): hasta 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1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0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 xml:space="preserve"> de noviembre de 202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5</w:t>
      </w:r>
    </w:p>
    <w:p w14:paraId="7EE92462" w14:textId="66830FCB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Inscripción a precio normal (190€): del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1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1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 al 2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6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 de noviembre de 202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5</w:t>
      </w:r>
    </w:p>
    <w:p w14:paraId="5125C5FA" w14:textId="2CB56B07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Envío del vídeo de la comunicación: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 xml:space="preserve">hasta el 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24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 xml:space="preserve"> de noviembre de 202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5</w:t>
      </w:r>
    </w:p>
    <w:p w14:paraId="3128E3C2" w14:textId="239E4896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Celebración del congreso: 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6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 y 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7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 de noviembre de 202</w:t>
      </w:r>
      <w:r w:rsidR="00B45CC4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5</w:t>
      </w:r>
    </w:p>
    <w:p w14:paraId="08B65E73" w14:textId="6D340D0A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Certificado de participación en el congreso</w:t>
      </w:r>
    </w:p>
    <w:p w14:paraId="56D8253F" w14:textId="7777777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</w:p>
    <w:p w14:paraId="57521481" w14:textId="03CFD2D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PUBLICACIONES</w:t>
      </w:r>
    </w:p>
    <w:p w14:paraId="02E97195" w14:textId="712C25A7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Envío del texto: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desde el 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10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 de noviembre 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 xml:space="preserve">hasta el </w:t>
      </w:r>
      <w:r w:rsidR="00F55A10" w:rsidRPr="00F55A10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19 de enero de 2026 </w:t>
      </w:r>
    </w:p>
    <w:p w14:paraId="50B71700" w14:textId="4345E661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Publicación del libro de resúmenes con la editorial Egregius: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antes del 31 de julio de 202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6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 </w:t>
      </w:r>
    </w:p>
    <w:p w14:paraId="1AFA4BD9" w14:textId="4B04DFC6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Publicación del volumen colectivo (no se trata de actas) con la editorial Dykinson: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antes del 31 de julio de 202</w:t>
      </w:r>
      <w:r w:rsid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6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 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(no podemos ofrecer una fecha concreta)</w:t>
      </w:r>
    </w:p>
    <w:p w14:paraId="0F3C7D15" w14:textId="550BCEA5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Certificado de participación en la publicación: disponible en el apartado </w:t>
      </w:r>
      <w:r w:rsidRPr="00BA6B0B">
        <w:rPr>
          <w:rFonts w:ascii="Times New Roman" w:hAnsi="Times New Roman" w:cs="Times New Roman"/>
          <w:b/>
          <w:bCs/>
          <w:i/>
          <w:iCs/>
          <w:noProof/>
          <w:sz w:val="20"/>
          <w:szCs w:val="20"/>
          <w:lang w:val="pt-PT"/>
        </w:rPr>
        <w:t>certificados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de su escritorio de trabajo: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a partir del </w:t>
      </w:r>
      <w:r w:rsidR="00F55A10" w:rsidRPr="00F55A10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2 de febrero de 2026</w:t>
      </w:r>
    </w:p>
    <w:p w14:paraId="2F12CD5D" w14:textId="77777777" w:rsidR="00725F30" w:rsidRDefault="00725F30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3A7937BD" w14:textId="77777777" w:rsidR="00F55A10" w:rsidRDefault="00F55A10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sectPr w:rsidR="00F55A10" w:rsidSect="00A164BE">
      <w:footerReference w:type="even" r:id="rId31"/>
      <w:footerReference w:type="default" r:id="rId32"/>
      <w:pgSz w:w="12240" w:h="15840"/>
      <w:pgMar w:top="1135" w:right="1701" w:bottom="1417" w:left="1701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A2081D" w14:textId="77777777" w:rsidR="00524E80" w:rsidRDefault="00524E80" w:rsidP="0075253B">
      <w:r>
        <w:separator/>
      </w:r>
    </w:p>
  </w:endnote>
  <w:endnote w:type="continuationSeparator" w:id="0">
    <w:p w14:paraId="404EFB71" w14:textId="77777777" w:rsidR="00524E80" w:rsidRDefault="00524E80" w:rsidP="00752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1644626896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5466A88B" w14:textId="77777777" w:rsidR="008647D4" w:rsidRDefault="00E6312D" w:rsidP="001C140D">
        <w:pPr>
          <w:pStyle w:val="Rodap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 w:rsidR="008647D4"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466845">
          <w:rPr>
            <w:rStyle w:val="Nmerodepgina"/>
            <w:noProof/>
          </w:rPr>
          <w:t>6</w:t>
        </w:r>
        <w:r>
          <w:rPr>
            <w:rStyle w:val="Nmerodepgina"/>
          </w:rPr>
          <w:fldChar w:fldCharType="end"/>
        </w:r>
      </w:p>
    </w:sdtContent>
  </w:sdt>
  <w:p w14:paraId="015CB1EB" w14:textId="77777777" w:rsidR="00086E77" w:rsidRPr="000522F5" w:rsidRDefault="00086E77" w:rsidP="000522F5">
    <w:pPr>
      <w:pStyle w:val="Rodap"/>
      <w:jc w:val="center"/>
      <w:rPr>
        <w:rFonts w:ascii="Times New Roman" w:hAnsi="Times New Roman" w:cs="Times New Roman"/>
        <w:sz w:val="18"/>
        <w:szCs w:val="18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744611775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282CCCDA" w14:textId="77777777" w:rsidR="008647D4" w:rsidRDefault="00E6312D" w:rsidP="001C140D">
        <w:pPr>
          <w:pStyle w:val="Rodap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 w:rsidR="008647D4"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466845">
          <w:rPr>
            <w:rStyle w:val="Nmerodepgina"/>
            <w:noProof/>
          </w:rPr>
          <w:t>7</w:t>
        </w:r>
        <w:r>
          <w:rPr>
            <w:rStyle w:val="Nmerodepgina"/>
          </w:rPr>
          <w:fldChar w:fldCharType="end"/>
        </w:r>
      </w:p>
    </w:sdtContent>
  </w:sdt>
  <w:p w14:paraId="59BB8AC8" w14:textId="77777777" w:rsidR="008C37D0" w:rsidRPr="008C37D0" w:rsidRDefault="008C37D0" w:rsidP="00086E77">
    <w:pPr>
      <w:pStyle w:val="Rodap"/>
      <w:jc w:val="center"/>
      <w:rPr>
        <w:rFonts w:ascii="Times New Roman" w:hAnsi="Times New Roman" w:cs="Times New Roman"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793C4" w14:textId="77777777" w:rsidR="00524E80" w:rsidRDefault="00524E80" w:rsidP="0075253B">
      <w:r>
        <w:separator/>
      </w:r>
    </w:p>
  </w:footnote>
  <w:footnote w:type="continuationSeparator" w:id="0">
    <w:p w14:paraId="15272086" w14:textId="77777777" w:rsidR="00524E80" w:rsidRDefault="00524E80" w:rsidP="0075253B">
      <w:r>
        <w:continuationSeparator/>
      </w:r>
    </w:p>
  </w:footnote>
  <w:footnote w:id="1">
    <w:p w14:paraId="5D96829A" w14:textId="01F8219C" w:rsidR="005733D3" w:rsidRPr="005733D3" w:rsidRDefault="005733D3" w:rsidP="005733D3">
      <w:pPr>
        <w:jc w:val="both"/>
        <w:rPr>
          <w:rFonts w:ascii="Times New Roman" w:hAnsi="Times New Roman" w:cs="Times New Roman"/>
          <w:sz w:val="20"/>
          <w:szCs w:val="20"/>
          <w:lang w:eastAsia="pt-PT"/>
        </w:rPr>
      </w:pPr>
      <w:r w:rsidRPr="005733D3">
        <w:rPr>
          <w:rStyle w:val="Refdenotaderodap"/>
          <w:rFonts w:ascii="Times New Roman" w:hAnsi="Times New Roman"/>
          <w:sz w:val="20"/>
          <w:szCs w:val="20"/>
        </w:rPr>
        <w:footnoteRef/>
      </w:r>
      <w:r w:rsidRPr="005733D3">
        <w:rPr>
          <w:rFonts w:ascii="Times New Roman" w:hAnsi="Times New Roman" w:cs="Times New Roman"/>
          <w:sz w:val="20"/>
          <w:szCs w:val="20"/>
        </w:rPr>
        <w:t xml:space="preserve"> </w:t>
      </w:r>
      <w:r w:rsidRPr="005733D3">
        <w:rPr>
          <w:rFonts w:ascii="Times New Roman" w:hAnsi="Times New Roman" w:cs="Times New Roman"/>
          <w:sz w:val="20"/>
          <w:szCs w:val="20"/>
          <w:lang w:val="pt-PT"/>
        </w:rPr>
        <w:t xml:space="preserve">Em </w:t>
      </w:r>
      <w:hyperlink r:id="rId1" w:history="1">
        <w:r w:rsidRPr="005733D3">
          <w:rPr>
            <w:rStyle w:val="Hiperligao"/>
            <w:rFonts w:ascii="Times New Roman" w:hAnsi="Times New Roman" w:cs="Times New Roman"/>
            <w:sz w:val="20"/>
            <w:szCs w:val="20"/>
            <w:lang w:eastAsia="pt-PT"/>
          </w:rPr>
          <w:t>https://commission.europa.eu/strategy-and-policy/priorities-2019-2024/europe-fit-digital-age/excellence-and-trust-artificial-intelligence_pt</w:t>
        </w:r>
      </w:hyperlink>
      <w:r w:rsidRPr="005733D3">
        <w:rPr>
          <w:rFonts w:ascii="Times New Roman" w:hAnsi="Times New Roman" w:cs="Times New Roman"/>
          <w:sz w:val="20"/>
          <w:szCs w:val="20"/>
          <w:lang w:eastAsia="pt-PT"/>
        </w:rPr>
        <w:t xml:space="preserve"> </w:t>
      </w:r>
    </w:p>
  </w:footnote>
  <w:footnote w:id="2">
    <w:p w14:paraId="55FACDF7" w14:textId="5980DE5A" w:rsidR="00C15D9F" w:rsidRPr="00C15D9F" w:rsidRDefault="00C15D9F">
      <w:pPr>
        <w:pStyle w:val="Textodenotaderodap"/>
        <w:rPr>
          <w:lang w:val="pt-PT"/>
        </w:rPr>
      </w:pPr>
      <w:r>
        <w:rPr>
          <w:rStyle w:val="Refdenotaderodap"/>
        </w:rPr>
        <w:footnoteRef/>
      </w:r>
      <w:r>
        <w:t xml:space="preserve"> Em </w:t>
      </w:r>
      <w:hyperlink r:id="rId2" w:history="1">
        <w:r w:rsidRPr="00D607A5">
          <w:rPr>
            <w:rStyle w:val="Hiperligao"/>
            <w:spacing w:val="-1"/>
            <w:lang w:val="pt-PT"/>
          </w:rPr>
          <w:t>https://ec.europa.eu/commission/presscorner/detail/pt/qanda_25_2300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50285"/>
    <w:multiLevelType w:val="multilevel"/>
    <w:tmpl w:val="A87AD352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BA0D15"/>
    <w:multiLevelType w:val="multilevel"/>
    <w:tmpl w:val="37341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EF14958"/>
    <w:multiLevelType w:val="multilevel"/>
    <w:tmpl w:val="DAFEE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53500B"/>
    <w:multiLevelType w:val="multilevel"/>
    <w:tmpl w:val="F6BE6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8A208A3"/>
    <w:multiLevelType w:val="multilevel"/>
    <w:tmpl w:val="30F23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A270B8"/>
    <w:multiLevelType w:val="multilevel"/>
    <w:tmpl w:val="0BD2D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41432C0"/>
    <w:multiLevelType w:val="multilevel"/>
    <w:tmpl w:val="3B5A5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9856848"/>
    <w:multiLevelType w:val="multilevel"/>
    <w:tmpl w:val="C3B46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F940A3"/>
    <w:multiLevelType w:val="hybridMultilevel"/>
    <w:tmpl w:val="DA8816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3C00BA"/>
    <w:multiLevelType w:val="multilevel"/>
    <w:tmpl w:val="FAFEA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0F07C18"/>
    <w:multiLevelType w:val="multilevel"/>
    <w:tmpl w:val="E0560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4385724"/>
    <w:multiLevelType w:val="multilevel"/>
    <w:tmpl w:val="8A429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3AE4C51"/>
    <w:multiLevelType w:val="multilevel"/>
    <w:tmpl w:val="2692F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B641D2B"/>
    <w:multiLevelType w:val="multilevel"/>
    <w:tmpl w:val="4720E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0"/>
  </w:num>
  <w:num w:numId="5">
    <w:abstractNumId w:val="9"/>
  </w:num>
  <w:num w:numId="6">
    <w:abstractNumId w:val="4"/>
  </w:num>
  <w:num w:numId="7">
    <w:abstractNumId w:val="6"/>
  </w:num>
  <w:num w:numId="8">
    <w:abstractNumId w:val="3"/>
  </w:num>
  <w:num w:numId="9">
    <w:abstractNumId w:val="5"/>
  </w:num>
  <w:num w:numId="10">
    <w:abstractNumId w:val="11"/>
  </w:num>
  <w:num w:numId="11">
    <w:abstractNumId w:val="12"/>
  </w:num>
  <w:num w:numId="12">
    <w:abstractNumId w:val="1"/>
  </w:num>
  <w:num w:numId="13">
    <w:abstractNumId w:val="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defaultTabStop w:val="720"/>
  <w:hyphenationZone w:val="425"/>
  <w:evenAndOddHeaders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53B"/>
    <w:rsid w:val="00002F05"/>
    <w:rsid w:val="0001133E"/>
    <w:rsid w:val="00012804"/>
    <w:rsid w:val="00021F75"/>
    <w:rsid w:val="00023CA3"/>
    <w:rsid w:val="000441C4"/>
    <w:rsid w:val="000522F5"/>
    <w:rsid w:val="00070961"/>
    <w:rsid w:val="000722F6"/>
    <w:rsid w:val="00086E77"/>
    <w:rsid w:val="000911FB"/>
    <w:rsid w:val="000A765D"/>
    <w:rsid w:val="000D1582"/>
    <w:rsid w:val="000D6DE6"/>
    <w:rsid w:val="000F0A94"/>
    <w:rsid w:val="000F7DDD"/>
    <w:rsid w:val="00100497"/>
    <w:rsid w:val="00116245"/>
    <w:rsid w:val="00126A67"/>
    <w:rsid w:val="00137B53"/>
    <w:rsid w:val="00143EEC"/>
    <w:rsid w:val="00176D7D"/>
    <w:rsid w:val="00183965"/>
    <w:rsid w:val="001A184D"/>
    <w:rsid w:val="001A36DB"/>
    <w:rsid w:val="001D1225"/>
    <w:rsid w:val="001D4E63"/>
    <w:rsid w:val="001D7BB0"/>
    <w:rsid w:val="001E6DE5"/>
    <w:rsid w:val="001F2A51"/>
    <w:rsid w:val="00207166"/>
    <w:rsid w:val="00212631"/>
    <w:rsid w:val="00214768"/>
    <w:rsid w:val="0022030D"/>
    <w:rsid w:val="00221C1C"/>
    <w:rsid w:val="00221D53"/>
    <w:rsid w:val="002220CA"/>
    <w:rsid w:val="00227330"/>
    <w:rsid w:val="00227E2D"/>
    <w:rsid w:val="002375A1"/>
    <w:rsid w:val="0024610D"/>
    <w:rsid w:val="0025450C"/>
    <w:rsid w:val="002A2DCD"/>
    <w:rsid w:val="002C093A"/>
    <w:rsid w:val="002C79AC"/>
    <w:rsid w:val="002D5A79"/>
    <w:rsid w:val="00303BA6"/>
    <w:rsid w:val="00305AE7"/>
    <w:rsid w:val="00330528"/>
    <w:rsid w:val="003507E4"/>
    <w:rsid w:val="00357C24"/>
    <w:rsid w:val="00367476"/>
    <w:rsid w:val="00367C2C"/>
    <w:rsid w:val="00380B52"/>
    <w:rsid w:val="00386080"/>
    <w:rsid w:val="003A541F"/>
    <w:rsid w:val="003B0C16"/>
    <w:rsid w:val="003C003B"/>
    <w:rsid w:val="003C5A33"/>
    <w:rsid w:val="003D053F"/>
    <w:rsid w:val="003D5C48"/>
    <w:rsid w:val="003D78A8"/>
    <w:rsid w:val="003E41D7"/>
    <w:rsid w:val="003E643D"/>
    <w:rsid w:val="003E7D61"/>
    <w:rsid w:val="00405AF3"/>
    <w:rsid w:val="004129B0"/>
    <w:rsid w:val="00414C42"/>
    <w:rsid w:val="00434508"/>
    <w:rsid w:val="004362D1"/>
    <w:rsid w:val="00442B5C"/>
    <w:rsid w:val="00454B36"/>
    <w:rsid w:val="00466845"/>
    <w:rsid w:val="00471335"/>
    <w:rsid w:val="0047256D"/>
    <w:rsid w:val="00475147"/>
    <w:rsid w:val="00483303"/>
    <w:rsid w:val="00484C2F"/>
    <w:rsid w:val="004B03E0"/>
    <w:rsid w:val="004B10FF"/>
    <w:rsid w:val="004C1A20"/>
    <w:rsid w:val="004E1D59"/>
    <w:rsid w:val="004E49EB"/>
    <w:rsid w:val="004F694C"/>
    <w:rsid w:val="0051260E"/>
    <w:rsid w:val="00524E80"/>
    <w:rsid w:val="00526B45"/>
    <w:rsid w:val="00532D6E"/>
    <w:rsid w:val="00535989"/>
    <w:rsid w:val="005372B1"/>
    <w:rsid w:val="005522E8"/>
    <w:rsid w:val="00553ABC"/>
    <w:rsid w:val="00560297"/>
    <w:rsid w:val="005660D2"/>
    <w:rsid w:val="005733D3"/>
    <w:rsid w:val="00576C4B"/>
    <w:rsid w:val="00585686"/>
    <w:rsid w:val="005932CC"/>
    <w:rsid w:val="00594D52"/>
    <w:rsid w:val="005975DD"/>
    <w:rsid w:val="005B4022"/>
    <w:rsid w:val="005C4E13"/>
    <w:rsid w:val="005E6C64"/>
    <w:rsid w:val="005F03AE"/>
    <w:rsid w:val="005F3BBE"/>
    <w:rsid w:val="0060239E"/>
    <w:rsid w:val="0061333D"/>
    <w:rsid w:val="006143E0"/>
    <w:rsid w:val="006159E5"/>
    <w:rsid w:val="006304F5"/>
    <w:rsid w:val="0064047F"/>
    <w:rsid w:val="00645D31"/>
    <w:rsid w:val="00682833"/>
    <w:rsid w:val="00685DEE"/>
    <w:rsid w:val="006916B6"/>
    <w:rsid w:val="006A13FA"/>
    <w:rsid w:val="006B207E"/>
    <w:rsid w:val="006D2C1A"/>
    <w:rsid w:val="006E258C"/>
    <w:rsid w:val="006F69B7"/>
    <w:rsid w:val="00715641"/>
    <w:rsid w:val="007236EF"/>
    <w:rsid w:val="00725D43"/>
    <w:rsid w:val="00725F30"/>
    <w:rsid w:val="0075253B"/>
    <w:rsid w:val="00765A14"/>
    <w:rsid w:val="0076703F"/>
    <w:rsid w:val="0077350B"/>
    <w:rsid w:val="00786B67"/>
    <w:rsid w:val="0079408A"/>
    <w:rsid w:val="00797D2C"/>
    <w:rsid w:val="007A5108"/>
    <w:rsid w:val="007A5B69"/>
    <w:rsid w:val="007A6D77"/>
    <w:rsid w:val="007B337A"/>
    <w:rsid w:val="007C4400"/>
    <w:rsid w:val="007F1DD2"/>
    <w:rsid w:val="007F2D20"/>
    <w:rsid w:val="007F7DA9"/>
    <w:rsid w:val="00806855"/>
    <w:rsid w:val="00823943"/>
    <w:rsid w:val="00826029"/>
    <w:rsid w:val="00830715"/>
    <w:rsid w:val="008478EE"/>
    <w:rsid w:val="00860D91"/>
    <w:rsid w:val="00863948"/>
    <w:rsid w:val="008647D4"/>
    <w:rsid w:val="0089647D"/>
    <w:rsid w:val="008B6029"/>
    <w:rsid w:val="008B60B9"/>
    <w:rsid w:val="008C37D0"/>
    <w:rsid w:val="008C5923"/>
    <w:rsid w:val="008D4152"/>
    <w:rsid w:val="008E2D86"/>
    <w:rsid w:val="008E4D97"/>
    <w:rsid w:val="00900F9A"/>
    <w:rsid w:val="00912A44"/>
    <w:rsid w:val="009229EF"/>
    <w:rsid w:val="009337B0"/>
    <w:rsid w:val="00942772"/>
    <w:rsid w:val="009440A7"/>
    <w:rsid w:val="00944676"/>
    <w:rsid w:val="00956DB9"/>
    <w:rsid w:val="00957A56"/>
    <w:rsid w:val="0096328E"/>
    <w:rsid w:val="009711C1"/>
    <w:rsid w:val="00973321"/>
    <w:rsid w:val="0097354A"/>
    <w:rsid w:val="009746F4"/>
    <w:rsid w:val="00977787"/>
    <w:rsid w:val="00980104"/>
    <w:rsid w:val="00980F29"/>
    <w:rsid w:val="00980FB9"/>
    <w:rsid w:val="0098140D"/>
    <w:rsid w:val="00985499"/>
    <w:rsid w:val="00995BD6"/>
    <w:rsid w:val="009A02BA"/>
    <w:rsid w:val="009A6332"/>
    <w:rsid w:val="009B1A28"/>
    <w:rsid w:val="009C1B8D"/>
    <w:rsid w:val="00A06D3F"/>
    <w:rsid w:val="00A164BE"/>
    <w:rsid w:val="00A37D3C"/>
    <w:rsid w:val="00A4524A"/>
    <w:rsid w:val="00A54620"/>
    <w:rsid w:val="00A67ECB"/>
    <w:rsid w:val="00A77C8F"/>
    <w:rsid w:val="00A8135D"/>
    <w:rsid w:val="00AB4BF6"/>
    <w:rsid w:val="00AB5A24"/>
    <w:rsid w:val="00AC5F12"/>
    <w:rsid w:val="00AD08EA"/>
    <w:rsid w:val="00AE7560"/>
    <w:rsid w:val="00AF756A"/>
    <w:rsid w:val="00B02F4E"/>
    <w:rsid w:val="00B263B8"/>
    <w:rsid w:val="00B30B95"/>
    <w:rsid w:val="00B373B6"/>
    <w:rsid w:val="00B45CC4"/>
    <w:rsid w:val="00B505FA"/>
    <w:rsid w:val="00B57BF6"/>
    <w:rsid w:val="00B6331D"/>
    <w:rsid w:val="00B721ED"/>
    <w:rsid w:val="00B73810"/>
    <w:rsid w:val="00B76465"/>
    <w:rsid w:val="00B878C9"/>
    <w:rsid w:val="00BA6B0B"/>
    <w:rsid w:val="00BB1DCF"/>
    <w:rsid w:val="00BC73A6"/>
    <w:rsid w:val="00BF1D5B"/>
    <w:rsid w:val="00C0015F"/>
    <w:rsid w:val="00C15D9F"/>
    <w:rsid w:val="00C23B9A"/>
    <w:rsid w:val="00C37E62"/>
    <w:rsid w:val="00C418EA"/>
    <w:rsid w:val="00C464BD"/>
    <w:rsid w:val="00C4706F"/>
    <w:rsid w:val="00C530EA"/>
    <w:rsid w:val="00C60C97"/>
    <w:rsid w:val="00C65F4B"/>
    <w:rsid w:val="00C67D77"/>
    <w:rsid w:val="00C73B22"/>
    <w:rsid w:val="00C76E7A"/>
    <w:rsid w:val="00C77097"/>
    <w:rsid w:val="00C9334D"/>
    <w:rsid w:val="00CA0B74"/>
    <w:rsid w:val="00CA46A1"/>
    <w:rsid w:val="00CB493E"/>
    <w:rsid w:val="00CB5EF7"/>
    <w:rsid w:val="00CC318E"/>
    <w:rsid w:val="00CD1508"/>
    <w:rsid w:val="00CD51CF"/>
    <w:rsid w:val="00CE439F"/>
    <w:rsid w:val="00D10148"/>
    <w:rsid w:val="00D1698D"/>
    <w:rsid w:val="00D21F30"/>
    <w:rsid w:val="00D22444"/>
    <w:rsid w:val="00D23815"/>
    <w:rsid w:val="00D25AF5"/>
    <w:rsid w:val="00D27982"/>
    <w:rsid w:val="00D316F7"/>
    <w:rsid w:val="00D323E1"/>
    <w:rsid w:val="00D42584"/>
    <w:rsid w:val="00D43299"/>
    <w:rsid w:val="00D44C81"/>
    <w:rsid w:val="00D45C3C"/>
    <w:rsid w:val="00D607A5"/>
    <w:rsid w:val="00D641B2"/>
    <w:rsid w:val="00D73BC6"/>
    <w:rsid w:val="00DA3770"/>
    <w:rsid w:val="00DB05D4"/>
    <w:rsid w:val="00DB0917"/>
    <w:rsid w:val="00DC723A"/>
    <w:rsid w:val="00DD47E7"/>
    <w:rsid w:val="00DE5514"/>
    <w:rsid w:val="00DE753E"/>
    <w:rsid w:val="00DE7B58"/>
    <w:rsid w:val="00DF273B"/>
    <w:rsid w:val="00DF63A5"/>
    <w:rsid w:val="00E019EC"/>
    <w:rsid w:val="00E03233"/>
    <w:rsid w:val="00E039AC"/>
    <w:rsid w:val="00E0771F"/>
    <w:rsid w:val="00E25C8D"/>
    <w:rsid w:val="00E2783C"/>
    <w:rsid w:val="00E27A4E"/>
    <w:rsid w:val="00E3281B"/>
    <w:rsid w:val="00E35822"/>
    <w:rsid w:val="00E42098"/>
    <w:rsid w:val="00E4636E"/>
    <w:rsid w:val="00E4679D"/>
    <w:rsid w:val="00E6312D"/>
    <w:rsid w:val="00E638C5"/>
    <w:rsid w:val="00E82BC6"/>
    <w:rsid w:val="00E83008"/>
    <w:rsid w:val="00E9522A"/>
    <w:rsid w:val="00EA331E"/>
    <w:rsid w:val="00EB12FE"/>
    <w:rsid w:val="00EF750F"/>
    <w:rsid w:val="00F17A38"/>
    <w:rsid w:val="00F26780"/>
    <w:rsid w:val="00F27F5F"/>
    <w:rsid w:val="00F32164"/>
    <w:rsid w:val="00F36F54"/>
    <w:rsid w:val="00F51805"/>
    <w:rsid w:val="00F552FB"/>
    <w:rsid w:val="00F55A10"/>
    <w:rsid w:val="00F708A7"/>
    <w:rsid w:val="00F73614"/>
    <w:rsid w:val="00F80E4A"/>
    <w:rsid w:val="00F82B7C"/>
    <w:rsid w:val="00F94D35"/>
    <w:rsid w:val="00F96B0F"/>
    <w:rsid w:val="00FC6BAB"/>
    <w:rsid w:val="00FD778B"/>
    <w:rsid w:val="00FE32A1"/>
    <w:rsid w:val="00FE5D8B"/>
    <w:rsid w:val="00FF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E3695B"/>
  <w15:docId w15:val="{B26A1E2B-8960-4733-81C5-6D4138C4E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28E"/>
  </w:style>
  <w:style w:type="paragraph" w:styleId="Ttulo1">
    <w:name w:val="heading 1"/>
    <w:basedOn w:val="Normal"/>
    <w:link w:val="Ttulo1Carter"/>
    <w:uiPriority w:val="9"/>
    <w:qFormat/>
    <w:rsid w:val="00E638C5"/>
    <w:pPr>
      <w:spacing w:before="100" w:beforeAutospacing="1" w:after="100" w:afterAutospacing="1"/>
      <w:outlineLvl w:val="0"/>
    </w:pPr>
    <w:rPr>
      <w:rFonts w:ascii="Verdana" w:eastAsiaTheme="minorHAnsi" w:hAnsi="Verdana" w:cs="Calibri"/>
      <w:b/>
      <w:bCs/>
      <w:color w:val="666666"/>
      <w:kern w:val="36"/>
      <w:sz w:val="21"/>
      <w:szCs w:val="21"/>
      <w:lang w:val="pt-PT" w:eastAsia="pt-PT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B57BF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5253B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75253B"/>
    <w:pPr>
      <w:tabs>
        <w:tab w:val="center" w:pos="4419"/>
        <w:tab w:val="right" w:pos="8838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75253B"/>
  </w:style>
  <w:style w:type="paragraph" w:styleId="Rodap">
    <w:name w:val="footer"/>
    <w:basedOn w:val="Normal"/>
    <w:link w:val="RodapCarter"/>
    <w:uiPriority w:val="99"/>
    <w:unhideWhenUsed/>
    <w:rsid w:val="0075253B"/>
    <w:pPr>
      <w:tabs>
        <w:tab w:val="center" w:pos="4419"/>
        <w:tab w:val="right" w:pos="8838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75253B"/>
  </w:style>
  <w:style w:type="character" w:styleId="Hiperligao">
    <w:name w:val="Hyperlink"/>
    <w:basedOn w:val="Tipodeletrapredefinidodopargrafo"/>
    <w:uiPriority w:val="99"/>
    <w:unhideWhenUsed/>
    <w:qFormat/>
    <w:rsid w:val="0075253B"/>
    <w:rPr>
      <w:color w:val="0563C1" w:themeColor="hyperlink"/>
      <w:u w:val="single"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75253B"/>
    <w:rPr>
      <w:color w:val="605E5C"/>
      <w:shd w:val="clear" w:color="auto" w:fill="E1DFDD"/>
    </w:rPr>
  </w:style>
  <w:style w:type="character" w:styleId="Nmerodepgina">
    <w:name w:val="page number"/>
    <w:basedOn w:val="Tipodeletrapredefinidodopargrafo"/>
    <w:uiPriority w:val="99"/>
    <w:semiHidden/>
    <w:unhideWhenUsed/>
    <w:rsid w:val="008647D4"/>
  </w:style>
  <w:style w:type="paragraph" w:styleId="Textodebalo">
    <w:name w:val="Balloon Text"/>
    <w:basedOn w:val="Normal"/>
    <w:link w:val="TextodebaloCarter"/>
    <w:uiPriority w:val="99"/>
    <w:semiHidden/>
    <w:unhideWhenUsed/>
    <w:rsid w:val="0025450C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25450C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arter"/>
    <w:unhideWhenUsed/>
    <w:rsid w:val="00DF273B"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0"/>
      <w:szCs w:val="20"/>
      <w:lang w:val="pt-BR" w:eastAsia="pt-BR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DF273B"/>
    <w:rPr>
      <w:rFonts w:ascii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Tipodeletrapredefinidodopargrafo"/>
    <w:uiPriority w:val="99"/>
    <w:unhideWhenUsed/>
    <w:rsid w:val="00DF273B"/>
    <w:rPr>
      <w:rFonts w:cs="Times New Roman"/>
      <w:vertAlign w:val="superscript"/>
    </w:rPr>
  </w:style>
  <w:style w:type="paragraph" w:styleId="Corpodetexto">
    <w:name w:val="Body Text"/>
    <w:basedOn w:val="Normal"/>
    <w:link w:val="CorpodetextoCarter"/>
    <w:uiPriority w:val="1"/>
    <w:qFormat/>
    <w:rsid w:val="004362D1"/>
    <w:pPr>
      <w:widowControl w:val="0"/>
      <w:autoSpaceDE w:val="0"/>
      <w:autoSpaceDN w:val="0"/>
      <w:adjustRightInd w:val="0"/>
      <w:ind w:left="122" w:firstLine="566"/>
    </w:pPr>
    <w:rPr>
      <w:rFonts w:ascii="Calibri" w:hAnsi="Calibri" w:cs="Calibri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4362D1"/>
    <w:rPr>
      <w:rFonts w:ascii="Calibri" w:hAnsi="Calibri" w:cs="Calibri"/>
      <w:lang w:val="pt-BR" w:eastAsia="pt-BR"/>
    </w:rPr>
  </w:style>
  <w:style w:type="paragraph" w:styleId="Textosimples">
    <w:name w:val="Plain Text"/>
    <w:basedOn w:val="Normal"/>
    <w:link w:val="TextosimplesCarter"/>
    <w:uiPriority w:val="99"/>
    <w:semiHidden/>
    <w:unhideWhenUsed/>
    <w:rsid w:val="00C530EA"/>
    <w:rPr>
      <w:rFonts w:ascii="Calibri" w:eastAsiaTheme="minorHAnsi" w:hAnsi="Calibri" w:cs="Calibri"/>
      <w:sz w:val="21"/>
      <w:szCs w:val="21"/>
      <w:lang w:val="pt-PT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semiHidden/>
    <w:rsid w:val="00C530EA"/>
    <w:rPr>
      <w:rFonts w:ascii="Calibri" w:eastAsiaTheme="minorHAnsi" w:hAnsi="Calibri" w:cs="Calibri"/>
      <w:sz w:val="21"/>
      <w:szCs w:val="21"/>
      <w:lang w:val="pt-PT"/>
    </w:rPr>
  </w:style>
  <w:style w:type="paragraph" w:customStyle="1" w:styleId="v1msonormal">
    <w:name w:val="v1msonormal"/>
    <w:basedOn w:val="Normal"/>
    <w:rsid w:val="00C77097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pt-PT" w:eastAsia="pt-PT"/>
    </w:rPr>
  </w:style>
  <w:style w:type="paragraph" w:customStyle="1" w:styleId="v1msoplaintext">
    <w:name w:val="v1msoplaintext"/>
    <w:basedOn w:val="Normal"/>
    <w:rsid w:val="004B10FF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pt-PT"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E7560"/>
    <w:rPr>
      <w:color w:val="605E5C"/>
      <w:shd w:val="clear" w:color="auto" w:fill="E1DFDD"/>
    </w:rPr>
  </w:style>
  <w:style w:type="character" w:customStyle="1" w:styleId="citetitle">
    <w:name w:val="cite_title"/>
    <w:basedOn w:val="Tipodeletrapredefinidodopargrafo"/>
    <w:rsid w:val="00D316F7"/>
  </w:style>
  <w:style w:type="character" w:customStyle="1" w:styleId="contents">
    <w:name w:val="contents"/>
    <w:rsid w:val="00475147"/>
  </w:style>
  <w:style w:type="paragraph" w:styleId="NormalWeb">
    <w:name w:val="Normal (Web)"/>
    <w:basedOn w:val="Normal"/>
    <w:uiPriority w:val="99"/>
    <w:unhideWhenUsed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paragraph" w:customStyle="1" w:styleId="c19centre">
    <w:name w:val="c19centre"/>
    <w:basedOn w:val="Normal"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paragraph" w:customStyle="1" w:styleId="oj-no-doc-c">
    <w:name w:val="oj-no-doc-c"/>
    <w:basedOn w:val="Normal"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E2783C"/>
    <w:rPr>
      <w:color w:val="954F72" w:themeColor="followedHyperlink"/>
      <w:u w:val="single"/>
    </w:rPr>
  </w:style>
  <w:style w:type="character" w:styleId="Forte">
    <w:name w:val="Strong"/>
    <w:uiPriority w:val="22"/>
    <w:qFormat/>
    <w:rsid w:val="00100497"/>
    <w:rPr>
      <w:b/>
      <w:bCs/>
    </w:rPr>
  </w:style>
  <w:style w:type="character" w:styleId="nfase">
    <w:name w:val="Emphasis"/>
    <w:uiPriority w:val="20"/>
    <w:qFormat/>
    <w:rsid w:val="00100497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E638C5"/>
    <w:rPr>
      <w:rFonts w:ascii="Verdana" w:eastAsiaTheme="minorHAnsi" w:hAnsi="Verdana" w:cs="Calibri"/>
      <w:b/>
      <w:bCs/>
      <w:color w:val="666666"/>
      <w:kern w:val="36"/>
      <w:sz w:val="21"/>
      <w:szCs w:val="21"/>
      <w:lang w:val="pt-PT" w:eastAsia="pt-PT"/>
    </w:rPr>
  </w:style>
  <w:style w:type="character" w:customStyle="1" w:styleId="text">
    <w:name w:val="text"/>
    <w:rsid w:val="003507E4"/>
  </w:style>
  <w:style w:type="character" w:styleId="Refdecomentrio">
    <w:name w:val="annotation reference"/>
    <w:basedOn w:val="Tipodeletrapredefinidodopargrafo"/>
    <w:uiPriority w:val="99"/>
    <w:semiHidden/>
    <w:unhideWhenUsed/>
    <w:rsid w:val="006F69B7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6F69B7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6F69B7"/>
    <w:rPr>
      <w:sz w:val="20"/>
      <w:szCs w:val="20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B57BF6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Default">
    <w:name w:val="Default"/>
    <w:rsid w:val="00E4679D"/>
    <w:pPr>
      <w:autoSpaceDE w:val="0"/>
      <w:autoSpaceDN w:val="0"/>
      <w:adjustRightInd w:val="0"/>
    </w:pPr>
    <w:rPr>
      <w:rFonts w:ascii="EUAlbertina" w:hAnsi="EUAlbertina" w:cs="EUAlbertina"/>
      <w:color w:val="000000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48154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61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247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143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175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458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12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6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8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06943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12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45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24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649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779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90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29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200549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67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1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79785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52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9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026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080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36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4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25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6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0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50463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0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8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43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5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icomeu.org/simposios/europa-de-proximidad-instituciones-ciudadania-y-narrativas-locales-ricardo-dominguez-y-andrei-theodor-stamate/" TargetMode="External"/><Relationship Id="rId18" Type="http://schemas.openxmlformats.org/officeDocument/2006/relationships/hyperlink" Target="https://hdl.handle.net/11328/6482" TargetMode="External"/><Relationship Id="rId26" Type="http://schemas.openxmlformats.org/officeDocument/2006/relationships/hyperlink" Target="https://commission.europa.eu/topics/eu-competitiveness/draghi-report_en?prefLang=pt" TargetMode="External"/><Relationship Id="rId3" Type="http://schemas.openxmlformats.org/officeDocument/2006/relationships/styles" Target="styles.xml"/><Relationship Id="rId21" Type="http://schemas.openxmlformats.org/officeDocument/2006/relationships/hyperlink" Target="https://cnappes.org/cnappes-2023/apresentacoes/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cicomeu.org/simposios/europa-de-proximidad-instituciones-ciudadania-y-narrativas-locales-ricardo-dominguez-y-andrei-theodor-stamate/" TargetMode="External"/><Relationship Id="rId17" Type="http://schemas.openxmlformats.org/officeDocument/2006/relationships/hyperlink" Target="https://edicoes.ipp.pt/index.php/books/catalog/book/133" TargetMode="External"/><Relationship Id="rId25" Type="http://schemas.openxmlformats.org/officeDocument/2006/relationships/hyperlink" Target="http://data.europa.eu/eli/C/2025/109/oj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hdl.handle.net/11328/6193" TargetMode="External"/><Relationship Id="rId20" Type="http://schemas.openxmlformats.org/officeDocument/2006/relationships/hyperlink" Target="https://hdl.handle.net/11328/5679" TargetMode="External"/><Relationship Id="rId29" Type="http://schemas.openxmlformats.org/officeDocument/2006/relationships/hyperlink" Target="https://eur-lex.europa.eu/legal-content/PT/TXT/?uri=CELEX%3A52017IP0315&amp;qid=176211072801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uispaulopacheco@upt.pt" TargetMode="External"/><Relationship Id="rId24" Type="http://schemas.openxmlformats.org/officeDocument/2006/relationships/hyperlink" Target="https://eur-lex.europa.eu/legal-content/PT/TXT/?qid=1761126156157&amp;uri=CELEX%3A52025DC0870" TargetMode="External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26537/e.ipp.133" TargetMode="External"/><Relationship Id="rId23" Type="http://schemas.openxmlformats.org/officeDocument/2006/relationships/hyperlink" Target="https://doi.org/10.62140/FUTLAWVI2025" TargetMode="External"/><Relationship Id="rId28" Type="http://schemas.openxmlformats.org/officeDocument/2006/relationships/hyperlink" Target="https://hdl.handle.net/11328/6293" TargetMode="External"/><Relationship Id="rId10" Type="http://schemas.openxmlformats.org/officeDocument/2006/relationships/hyperlink" Target="https://orcid.org/0009-0004-6153-8311" TargetMode="External"/><Relationship Id="rId19" Type="http://schemas.openxmlformats.org/officeDocument/2006/relationships/hyperlink" Target="https://cnappes.org/programa/cnappes25_resumos_documento_de_trabalho_9jul/" TargetMode="External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cicomeu.org/presentacion/" TargetMode="External"/><Relationship Id="rId14" Type="http://schemas.openxmlformats.org/officeDocument/2006/relationships/hyperlink" Target="https://dialnet.unirioja.es/servlet/articulo?codigo=10349150" TargetMode="External"/><Relationship Id="rId22" Type="http://schemas.openxmlformats.org/officeDocument/2006/relationships/hyperlink" Target="https://doi.org/10.34623/kf51-wf33" TargetMode="External"/><Relationship Id="rId27" Type="http://schemas.openxmlformats.org/officeDocument/2006/relationships/hyperlink" Target="https://doi.org/10.34625/isbn.978-972-9354-52-6" TargetMode="External"/><Relationship Id="rId30" Type="http://schemas.openxmlformats.org/officeDocument/2006/relationships/hyperlink" Target="https://spi.csic.es/indicadores/prestigio-editorial" TargetMode="External"/><Relationship Id="rId8" Type="http://schemas.openxmlformats.org/officeDocument/2006/relationships/image" Target="media/image1.jpe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c.europa.eu/commission/presscorner/detail/pt/qanda_25_2300" TargetMode="External"/><Relationship Id="rId1" Type="http://schemas.openxmlformats.org/officeDocument/2006/relationships/hyperlink" Target="https://commission.europa.eu/strategy-and-policy/priorities-2019-2024/europe-fit-digital-age/excellence-and-trust-artificial-intelligence_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6D06C-4A3E-4DC6-BE11-C86CE71E1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2024</Words>
  <Characters>10934</Characters>
  <Application>Microsoft Office Word</Application>
  <DocSecurity>0</DocSecurity>
  <Lines>91</Lines>
  <Paragraphs>25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Cabeçalhos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Ramón Saura Lacárcel</dc:creator>
  <cp:lastModifiedBy>Filipa Maria Sousa Marinho da Silva</cp:lastModifiedBy>
  <cp:revision>2</cp:revision>
  <dcterms:created xsi:type="dcterms:W3CDTF">2025-12-05T17:10:00Z</dcterms:created>
  <dcterms:modified xsi:type="dcterms:W3CDTF">2025-12-05T17:10:00Z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http://www.zotero.org/styles/iso690-author-date-pt-br</vt:lpwstr>
  </property>
  <property fmtid="{D5CDD505-2E9C-101B-9397-08002B2CF9AE}" pid="15" name="Mendeley Recent Style Name 6_1">
    <vt:lpwstr>ISO-690 (author-date, Português - Brasil)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