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F21EC1" w14:textId="77777777" w:rsidR="00E75C17" w:rsidRDefault="00E75C17"/>
    <w:p w14:paraId="43476673" w14:textId="722AD3B5" w:rsidR="002A031E" w:rsidRDefault="00967E50" w:rsidP="002A031E">
      <w:pPr>
        <w:ind w:left="-567"/>
        <w:jc w:val="center"/>
      </w:pPr>
      <w:r>
        <w:rPr>
          <w:noProof/>
        </w:rPr>
        <w:drawing>
          <wp:inline distT="0" distB="0" distL="0" distR="0" wp14:anchorId="645AB554" wp14:editId="0A0189C9">
            <wp:extent cx="5400040" cy="3041015"/>
            <wp:effectExtent l="0" t="0" r="0" b="6985"/>
            <wp:docPr id="1184844808" name="Imagem 1" descr="Uma imagem com texto, captura de ecrã, carrinho de mão&#10;&#10;Os conteúdos gerados por IA podem estar incorreto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4844808" name="Imagem 1" descr="Uma imagem com texto, captura de ecrã, carrinho de mão&#10;&#10;Os conteúdos gerados por IA podem estar incorretos.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041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3E19F5" w14:textId="77777777" w:rsidR="00967E50" w:rsidRDefault="00967E50" w:rsidP="002A031E">
      <w:pPr>
        <w:ind w:left="-567"/>
        <w:jc w:val="center"/>
      </w:pPr>
    </w:p>
    <w:p w14:paraId="45E57855" w14:textId="77777777" w:rsidR="00967E50" w:rsidRPr="00967E50" w:rsidRDefault="00967E50" w:rsidP="00967E50">
      <w:pPr>
        <w:jc w:val="center"/>
        <w:rPr>
          <w:b/>
          <w:bCs/>
        </w:rPr>
      </w:pPr>
      <w:r w:rsidRPr="00967E50">
        <w:rPr>
          <w:b/>
          <w:bCs/>
        </w:rPr>
        <w:t>VIII SEMINÁRIO INTERNACIONAL DE DIREITO ATUAL</w:t>
      </w:r>
    </w:p>
    <w:p w14:paraId="0F4621C2" w14:textId="77777777" w:rsidR="00967E50" w:rsidRPr="00967E50" w:rsidRDefault="00967E50" w:rsidP="00967E50">
      <w:pPr>
        <w:jc w:val="center"/>
        <w:rPr>
          <w:b/>
          <w:bCs/>
        </w:rPr>
      </w:pPr>
      <w:r w:rsidRPr="00967E50">
        <w:rPr>
          <w:b/>
          <w:bCs/>
        </w:rPr>
        <w:t>VIII SINDA</w:t>
      </w:r>
    </w:p>
    <w:p w14:paraId="1089D0E4" w14:textId="77777777" w:rsidR="00967E50" w:rsidRPr="00967E50" w:rsidRDefault="00967E50" w:rsidP="00967E50">
      <w:pPr>
        <w:jc w:val="center"/>
        <w:rPr>
          <w:b/>
          <w:bCs/>
        </w:rPr>
      </w:pPr>
      <w:r w:rsidRPr="00967E50">
        <w:rPr>
          <w:b/>
          <w:bCs/>
        </w:rPr>
        <w:t>Faculdades Integradas de Bauru – FIB</w:t>
      </w:r>
    </w:p>
    <w:p w14:paraId="121F8443" w14:textId="77777777" w:rsidR="00967E50" w:rsidRPr="00967E50" w:rsidRDefault="00967E50" w:rsidP="00967E50">
      <w:pPr>
        <w:jc w:val="center"/>
        <w:rPr>
          <w:b/>
          <w:bCs/>
        </w:rPr>
      </w:pPr>
      <w:r w:rsidRPr="00967E50">
        <w:rPr>
          <w:b/>
          <w:bCs/>
        </w:rPr>
        <w:t>BAURU, SÃO PAULO- BRASIL</w:t>
      </w:r>
    </w:p>
    <w:p w14:paraId="4DBAF014" w14:textId="5F9D521E" w:rsidR="00967E50" w:rsidRPr="00967E50" w:rsidRDefault="00967E50" w:rsidP="00967E50">
      <w:pPr>
        <w:jc w:val="center"/>
        <w:rPr>
          <w:b/>
          <w:bCs/>
        </w:rPr>
      </w:pPr>
      <w:r w:rsidRPr="00967E50">
        <w:rPr>
          <w:b/>
          <w:bCs/>
        </w:rPr>
        <w:t>27 e 28 de março de 2026 </w:t>
      </w:r>
    </w:p>
    <w:p w14:paraId="17991E89" w14:textId="77777777" w:rsidR="00967E50" w:rsidRPr="00967E50" w:rsidRDefault="00967E50" w:rsidP="00967E50">
      <w:pPr>
        <w:jc w:val="center"/>
        <w:rPr>
          <w:sz w:val="20"/>
          <w:szCs w:val="20"/>
        </w:rPr>
      </w:pPr>
      <w:r w:rsidRPr="00967E50">
        <w:rPr>
          <w:sz w:val="20"/>
          <w:szCs w:val="20"/>
        </w:rPr>
        <w:t>Modalidade híbrida (presencial e on-line)</w:t>
      </w:r>
    </w:p>
    <w:p w14:paraId="5E0B5E22" w14:textId="0E44B53A" w:rsidR="002A031E" w:rsidRPr="00787D82" w:rsidRDefault="0093730E" w:rsidP="00787D82">
      <w:pPr>
        <w:jc w:val="center"/>
        <w:rPr>
          <w:sz w:val="16"/>
          <w:szCs w:val="16"/>
        </w:rPr>
      </w:pPr>
      <w:hyperlink r:id="rId6" w:history="1">
        <w:r w:rsidR="00967E50" w:rsidRPr="00EB08B9">
          <w:rPr>
            <w:rStyle w:val="Hiperligao"/>
            <w:sz w:val="16"/>
            <w:szCs w:val="16"/>
          </w:rPr>
          <w:t>https://eventos.iberojur.com/evento/viii-sinda/</w:t>
        </w:r>
      </w:hyperlink>
      <w:r w:rsidR="00967E50">
        <w:rPr>
          <w:sz w:val="16"/>
          <w:szCs w:val="16"/>
        </w:rPr>
        <w:t xml:space="preserve"> </w:t>
      </w:r>
      <w:r w:rsidR="00787D82" w:rsidRPr="00787D82">
        <w:rPr>
          <w:sz w:val="16"/>
          <w:szCs w:val="16"/>
        </w:rPr>
        <w:t xml:space="preserve"> </w:t>
      </w:r>
      <w:r w:rsidR="002A031E">
        <w:rPr>
          <w:rFonts w:ascii="Arial" w:hAnsi="Arial" w:cs="Arial"/>
          <w:bCs/>
          <w:u w:val="single"/>
        </w:rPr>
        <w:t xml:space="preserve">  </w:t>
      </w:r>
    </w:p>
    <w:p w14:paraId="75271C3C" w14:textId="77777777" w:rsidR="002A031E" w:rsidRDefault="002A031E" w:rsidP="002A031E">
      <w:pPr>
        <w:spacing w:after="0" w:line="360" w:lineRule="auto"/>
        <w:jc w:val="center"/>
        <w:rPr>
          <w:rFonts w:ascii="Arial" w:hAnsi="Arial" w:cs="Arial"/>
          <w:bCs/>
          <w:u w:val="single"/>
        </w:rPr>
      </w:pPr>
    </w:p>
    <w:p w14:paraId="1952E796" w14:textId="7E5307B3" w:rsidR="002A031E" w:rsidRPr="0054201A" w:rsidRDefault="00967E50" w:rsidP="002A031E">
      <w:pPr>
        <w:jc w:val="center"/>
        <w:rPr>
          <w:rFonts w:ascii="Garamond" w:hAnsi="Garamond"/>
          <w:b/>
          <w:bCs/>
          <w:sz w:val="24"/>
          <w:szCs w:val="24"/>
          <w:u w:val="single"/>
        </w:rPr>
      </w:pPr>
      <w:bookmarkStart w:id="0" w:name="_Hlk193016513"/>
      <w:bookmarkStart w:id="1" w:name="_Hlk118376631"/>
      <w:r>
        <w:rPr>
          <w:rFonts w:ascii="Garamond" w:hAnsi="Garamond"/>
          <w:b/>
          <w:bCs/>
          <w:sz w:val="24"/>
          <w:szCs w:val="24"/>
          <w:u w:val="single"/>
        </w:rPr>
        <w:t xml:space="preserve">A ação </w:t>
      </w:r>
      <w:r w:rsidR="0054201A">
        <w:rPr>
          <w:rFonts w:ascii="Garamond" w:hAnsi="Garamond"/>
          <w:b/>
          <w:bCs/>
          <w:sz w:val="24"/>
          <w:szCs w:val="24"/>
          <w:u w:val="single"/>
        </w:rPr>
        <w:t>por</w:t>
      </w:r>
      <w:r>
        <w:rPr>
          <w:rFonts w:ascii="Garamond" w:hAnsi="Garamond"/>
          <w:b/>
          <w:bCs/>
          <w:sz w:val="24"/>
          <w:szCs w:val="24"/>
          <w:u w:val="single"/>
        </w:rPr>
        <w:t xml:space="preserve"> incumprimento</w:t>
      </w:r>
      <w:bookmarkEnd w:id="0"/>
      <w:bookmarkEnd w:id="1"/>
      <w:r w:rsidR="0054201A" w:rsidRPr="0054201A">
        <w:rPr>
          <w:rFonts w:ascii="Garamond" w:hAnsi="Garamond"/>
          <w:b/>
          <w:bCs/>
          <w:sz w:val="24"/>
          <w:szCs w:val="24"/>
          <w:u w:val="single"/>
        </w:rPr>
        <w:t>: uma garantia suficiente da integração europeia?</w:t>
      </w:r>
    </w:p>
    <w:p w14:paraId="58E91EF0" w14:textId="77777777" w:rsidR="002A031E" w:rsidRPr="002A031E" w:rsidRDefault="002A031E" w:rsidP="002A031E">
      <w:pPr>
        <w:jc w:val="center"/>
        <w:rPr>
          <w:rFonts w:ascii="Garamond" w:hAnsi="Garamond"/>
          <w:b/>
          <w:bCs/>
          <w:sz w:val="24"/>
          <w:szCs w:val="24"/>
          <w:u w:val="single"/>
        </w:rPr>
      </w:pPr>
    </w:p>
    <w:p w14:paraId="1C8B1393" w14:textId="77777777" w:rsidR="002A031E" w:rsidRPr="00DC703E" w:rsidRDefault="002A031E" w:rsidP="002A031E">
      <w:pPr>
        <w:spacing w:line="360" w:lineRule="auto"/>
        <w:ind w:firstLine="708"/>
        <w:jc w:val="both"/>
        <w:rPr>
          <w:sz w:val="20"/>
          <w:szCs w:val="20"/>
        </w:rPr>
      </w:pPr>
      <w:r w:rsidRPr="009D7094">
        <w:rPr>
          <w:rFonts w:ascii="Times New Roman" w:eastAsia="Times New Roman" w:hAnsi="Times New Roman" w:cs="Times New Roman"/>
          <w:i/>
          <w:iCs/>
          <w:sz w:val="24"/>
          <w:szCs w:val="24"/>
          <w:lang w:eastAsia="pt-PT"/>
        </w:rPr>
        <w:t xml:space="preserve">Dora Resende Alves, </w:t>
      </w:r>
      <w:r w:rsidRPr="00A47CE4">
        <w:rPr>
          <w:rFonts w:ascii="Times New Roman" w:eastAsia="Times New Roman" w:hAnsi="Times New Roman" w:cs="Times New Roman"/>
          <w:sz w:val="24"/>
          <w:szCs w:val="24"/>
          <w:lang w:eastAsia="pt-PT"/>
        </w:rPr>
        <w:t>PhD</w:t>
      </w:r>
      <w:r w:rsidRPr="00A47CE4">
        <w:t xml:space="preserve">  </w:t>
      </w:r>
      <w:r w:rsidRPr="004E0BFA">
        <w:rPr>
          <w:i/>
          <w:iCs/>
        </w:rPr>
        <w:t xml:space="preserve"> </w:t>
      </w:r>
      <w:r w:rsidRPr="004E0BFA"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hyperlink r:id="rId7" w:history="1">
        <w:r w:rsidRPr="007C0A8C">
          <w:rPr>
            <w:rStyle w:val="Hiperligao"/>
            <w:sz w:val="20"/>
            <w:szCs w:val="20"/>
          </w:rPr>
          <w:t>dra@upt.pt</w:t>
        </w:r>
      </w:hyperlink>
      <w:r w:rsidRPr="004E0BFA">
        <w:t xml:space="preserve">       </w:t>
      </w:r>
    </w:p>
    <w:p w14:paraId="1E7ABD14" w14:textId="77777777" w:rsidR="002A031E" w:rsidRDefault="002A031E" w:rsidP="002A031E">
      <w:pPr>
        <w:pStyle w:val="Default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65B47776" w14:textId="77777777" w:rsidR="002A031E" w:rsidRDefault="002A031E" w:rsidP="002A031E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DF1FA9">
        <w:rPr>
          <w:rFonts w:ascii="Times New Roman" w:hAnsi="Times New Roman" w:cs="Times New Roman"/>
          <w:b/>
          <w:bCs/>
          <w:sz w:val="20"/>
          <w:szCs w:val="20"/>
        </w:rPr>
        <w:t>FILIA</w:t>
      </w:r>
      <w:r>
        <w:rPr>
          <w:rFonts w:ascii="Times New Roman" w:hAnsi="Times New Roman" w:cs="Times New Roman"/>
          <w:b/>
          <w:bCs/>
          <w:sz w:val="20"/>
          <w:szCs w:val="20"/>
        </w:rPr>
        <w:t>ÇÃO</w:t>
      </w:r>
      <w:r w:rsidRPr="00DF1FA9">
        <w:rPr>
          <w:rFonts w:ascii="Times New Roman" w:hAnsi="Times New Roman" w:cs="Times New Roman"/>
          <w:b/>
          <w:bCs/>
          <w:color w:val="auto"/>
          <w:sz w:val="20"/>
          <w:szCs w:val="20"/>
        </w:rPr>
        <w:t>:</w:t>
      </w:r>
      <w:r w:rsidRPr="008D2A9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</w:p>
    <w:p w14:paraId="5757E9D8" w14:textId="77777777" w:rsidR="002A031E" w:rsidRDefault="002A031E" w:rsidP="002A031E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62B2E699" w14:textId="77777777" w:rsidR="002A031E" w:rsidRDefault="002A031E" w:rsidP="002A031E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 w:rsidRPr="008D2A9C">
        <w:rPr>
          <w:rFonts w:ascii="Times New Roman" w:hAnsi="Times New Roman" w:cs="Times New Roman"/>
          <w:sz w:val="20"/>
          <w:szCs w:val="20"/>
        </w:rPr>
        <w:t>Universidade Por</w:t>
      </w:r>
      <w:r>
        <w:rPr>
          <w:rFonts w:ascii="Times New Roman" w:hAnsi="Times New Roman" w:cs="Times New Roman"/>
          <w:sz w:val="20"/>
          <w:szCs w:val="20"/>
        </w:rPr>
        <w:t>tucalense Infante D. Henrique, Departamento de Direito, P</w:t>
      </w:r>
      <w:r w:rsidRPr="008D2A9C">
        <w:rPr>
          <w:rFonts w:ascii="Times New Roman" w:hAnsi="Times New Roman" w:cs="Times New Roman"/>
          <w:sz w:val="20"/>
          <w:szCs w:val="20"/>
        </w:rPr>
        <w:t>orto, Portugal</w:t>
      </w:r>
      <w:r>
        <w:rPr>
          <w:rFonts w:ascii="Times New Roman" w:hAnsi="Times New Roman" w:cs="Times New Roman"/>
          <w:sz w:val="20"/>
          <w:szCs w:val="20"/>
        </w:rPr>
        <w:t>, +351225572474.</w:t>
      </w:r>
    </w:p>
    <w:p w14:paraId="04456157" w14:textId="77777777" w:rsidR="002A031E" w:rsidRDefault="002A031E" w:rsidP="002A031E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74B3ED57" w14:textId="77777777" w:rsidR="002A031E" w:rsidRDefault="002A031E" w:rsidP="002A031E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Instituto Jurídico Portucalense, </w:t>
      </w:r>
      <w:r w:rsidRPr="008D2A9C">
        <w:rPr>
          <w:rFonts w:ascii="Times New Roman" w:hAnsi="Times New Roman" w:cs="Times New Roman"/>
          <w:sz w:val="20"/>
          <w:szCs w:val="20"/>
        </w:rPr>
        <w:t>Universidade Por</w:t>
      </w:r>
      <w:r>
        <w:rPr>
          <w:rFonts w:ascii="Times New Roman" w:hAnsi="Times New Roman" w:cs="Times New Roman"/>
          <w:sz w:val="20"/>
          <w:szCs w:val="20"/>
        </w:rPr>
        <w:t>tucalense Infante D. Henrique, P</w:t>
      </w:r>
      <w:r w:rsidRPr="008D2A9C">
        <w:rPr>
          <w:rFonts w:ascii="Times New Roman" w:hAnsi="Times New Roman" w:cs="Times New Roman"/>
          <w:sz w:val="20"/>
          <w:szCs w:val="20"/>
        </w:rPr>
        <w:t>orto, Portugal</w:t>
      </w:r>
    </w:p>
    <w:p w14:paraId="35A51F49" w14:textId="77777777" w:rsidR="002A031E" w:rsidRPr="006623EA" w:rsidRDefault="002A031E" w:rsidP="002A031E">
      <w:pPr>
        <w:pStyle w:val="Default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14:paraId="1AAE16F4" w14:textId="77777777" w:rsidR="002A031E" w:rsidRPr="006B0A59" w:rsidRDefault="002A031E" w:rsidP="002A031E">
      <w:pPr>
        <w:rPr>
          <w:b/>
          <w:bCs/>
        </w:rPr>
      </w:pPr>
    </w:p>
    <w:p w14:paraId="23B3438B" w14:textId="77777777" w:rsidR="002A031E" w:rsidRDefault="002A031E" w:rsidP="002A031E">
      <w:pPr>
        <w:jc w:val="both"/>
        <w:rPr>
          <w:b/>
          <w:bCs/>
          <w:lang w:val="es-ES"/>
        </w:rPr>
      </w:pPr>
      <w:proofErr w:type="spellStart"/>
      <w:r>
        <w:rPr>
          <w:b/>
          <w:bCs/>
          <w:lang w:val="es-ES"/>
        </w:rPr>
        <w:t>Eixo</w:t>
      </w:r>
      <w:proofErr w:type="spellEnd"/>
      <w:r>
        <w:rPr>
          <w:b/>
          <w:bCs/>
          <w:lang w:val="es-ES"/>
        </w:rPr>
        <w:t xml:space="preserve"> temático</w:t>
      </w:r>
      <w:r w:rsidRPr="00ED6672">
        <w:rPr>
          <w:b/>
          <w:bCs/>
          <w:lang w:val="es-ES"/>
        </w:rPr>
        <w:t>:</w:t>
      </w:r>
      <w:r>
        <w:rPr>
          <w:b/>
          <w:bCs/>
          <w:lang w:val="es-ES"/>
        </w:rPr>
        <w:t xml:space="preserve">  </w:t>
      </w:r>
    </w:p>
    <w:p w14:paraId="18E51B67" w14:textId="77777777" w:rsidR="00967E50" w:rsidRPr="00967E50" w:rsidRDefault="00967E50" w:rsidP="00967E50">
      <w:pPr>
        <w:numPr>
          <w:ilvl w:val="0"/>
          <w:numId w:val="2"/>
        </w:numPr>
        <w:rPr>
          <w:rFonts w:ascii="Open Sans" w:eastAsia="Times New Roman" w:hAnsi="Open Sans" w:cs="Open Sans"/>
          <w:b/>
          <w:bCs/>
          <w:color w:val="ADADAD" w:themeColor="background2" w:themeShade="BF"/>
          <w:sz w:val="24"/>
          <w:szCs w:val="24"/>
          <w:lang w:eastAsia="pt-PT"/>
        </w:rPr>
      </w:pPr>
      <w:r w:rsidRPr="00967E50">
        <w:rPr>
          <w:rFonts w:ascii="Open Sans" w:eastAsia="Times New Roman" w:hAnsi="Open Sans" w:cs="Open Sans"/>
          <w:b/>
          <w:bCs/>
          <w:color w:val="ADADAD" w:themeColor="background2" w:themeShade="BF"/>
          <w:sz w:val="24"/>
          <w:szCs w:val="24"/>
          <w:lang w:eastAsia="pt-PT"/>
        </w:rPr>
        <w:t>Cidadania e democracia em debate</w:t>
      </w:r>
    </w:p>
    <w:p w14:paraId="2F32E81D" w14:textId="3EE09D4F" w:rsidR="002A031E" w:rsidRPr="003143E3" w:rsidRDefault="002A031E" w:rsidP="00967E50">
      <w:pPr>
        <w:ind w:left="2832"/>
        <w:rPr>
          <w:rFonts w:ascii="Open Sans" w:eastAsia="Times New Roman" w:hAnsi="Open Sans" w:cs="Open Sans"/>
          <w:b/>
          <w:bCs/>
          <w:color w:val="ADADAD" w:themeColor="background2" w:themeShade="BF"/>
          <w:sz w:val="24"/>
          <w:szCs w:val="24"/>
          <w:lang w:eastAsia="pt-PT"/>
        </w:rPr>
      </w:pPr>
      <w:r>
        <w:rPr>
          <w:rFonts w:ascii="Open Sans" w:eastAsia="Times New Roman" w:hAnsi="Open Sans" w:cs="Open Sans"/>
          <w:b/>
          <w:bCs/>
          <w:color w:val="ADADAD" w:themeColor="background2" w:themeShade="BF"/>
          <w:sz w:val="24"/>
          <w:szCs w:val="24"/>
          <w:lang w:eastAsia="pt-PT"/>
        </w:rPr>
        <w:lastRenderedPageBreak/>
        <w:t>Via</w:t>
      </w:r>
      <w:r w:rsidRPr="0009238E">
        <w:rPr>
          <w:rFonts w:ascii="Open Sans" w:eastAsia="Times New Roman" w:hAnsi="Open Sans" w:cs="Open Sans"/>
          <w:b/>
          <w:bCs/>
          <w:color w:val="ADADAD" w:themeColor="background2" w:themeShade="BF"/>
          <w:sz w:val="24"/>
          <w:szCs w:val="24"/>
          <w:lang w:eastAsia="pt-PT"/>
        </w:rPr>
        <w:t>s</w:t>
      </w:r>
      <w:r>
        <w:rPr>
          <w:rFonts w:ascii="Open Sans" w:eastAsia="Times New Roman" w:hAnsi="Open Sans" w:cs="Open Sans"/>
          <w:b/>
          <w:bCs/>
          <w:color w:val="ADADAD" w:themeColor="background2" w:themeShade="BF"/>
          <w:sz w:val="24"/>
          <w:szCs w:val="24"/>
          <w:lang w:eastAsia="pt-PT"/>
        </w:rPr>
        <w:t xml:space="preserve"> processuais no Direito da União Europeia</w:t>
      </w:r>
      <w:r w:rsidRPr="0009238E">
        <w:rPr>
          <w:rFonts w:ascii="Open Sans" w:eastAsia="Times New Roman" w:hAnsi="Open Sans" w:cs="Open Sans"/>
          <w:b/>
          <w:bCs/>
          <w:color w:val="ADADAD" w:themeColor="background2" w:themeShade="BF"/>
          <w:sz w:val="24"/>
          <w:szCs w:val="24"/>
          <w:lang w:eastAsia="pt-PT"/>
        </w:rPr>
        <w:t xml:space="preserve"> </w:t>
      </w:r>
    </w:p>
    <w:p w14:paraId="39B8EA0A" w14:textId="77777777" w:rsidR="002A031E" w:rsidRDefault="002A031E" w:rsidP="002A031E">
      <w:pPr>
        <w:rPr>
          <w:b/>
          <w:bCs/>
        </w:rPr>
      </w:pPr>
    </w:p>
    <w:p w14:paraId="05F75734" w14:textId="77777777" w:rsidR="002A031E" w:rsidRDefault="002A031E" w:rsidP="002A031E">
      <w:pPr>
        <w:rPr>
          <w:b/>
          <w:bCs/>
        </w:rPr>
      </w:pPr>
      <w:r w:rsidRPr="00843F90">
        <w:rPr>
          <w:b/>
          <w:bCs/>
        </w:rPr>
        <w:t>Resumo:</w:t>
      </w:r>
      <w:r>
        <w:rPr>
          <w:b/>
          <w:bCs/>
        </w:rPr>
        <w:t xml:space="preserve">       </w:t>
      </w:r>
    </w:p>
    <w:p w14:paraId="0643A11E" w14:textId="635F61D9" w:rsidR="001F6A53" w:rsidRDefault="00A01484" w:rsidP="003C0621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ação por incumprimento </w:t>
      </w:r>
      <w:r w:rsidR="00E426A8" w:rsidRPr="001F6A53">
        <w:rPr>
          <w:rFonts w:ascii="Times New Roman" w:hAnsi="Times New Roman" w:cs="Times New Roman"/>
          <w:sz w:val="24"/>
          <w:szCs w:val="24"/>
        </w:rPr>
        <w:t>configura-se</w:t>
      </w:r>
      <w:r>
        <w:rPr>
          <w:rFonts w:ascii="Times New Roman" w:hAnsi="Times New Roman" w:cs="Times New Roman"/>
          <w:sz w:val="24"/>
          <w:szCs w:val="24"/>
        </w:rPr>
        <w:t xml:space="preserve"> com</w:t>
      </w:r>
      <w:r w:rsidR="0090150D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um dos instrumentos</w:t>
      </w:r>
      <w:r w:rsidR="003C0621">
        <w:rPr>
          <w:rFonts w:ascii="Times New Roman" w:hAnsi="Times New Roman" w:cs="Times New Roman"/>
          <w:sz w:val="24"/>
          <w:szCs w:val="24"/>
        </w:rPr>
        <w:t xml:space="preserve"> </w:t>
      </w:r>
      <w:r w:rsidR="003C0621" w:rsidRPr="001F6A53">
        <w:rPr>
          <w:rFonts w:ascii="Times New Roman" w:hAnsi="Times New Roman" w:cs="Times New Roman"/>
          <w:sz w:val="24"/>
          <w:szCs w:val="24"/>
        </w:rPr>
        <w:t>jurídico-processuais mais distintivos e</w:t>
      </w:r>
      <w:r>
        <w:rPr>
          <w:rFonts w:ascii="Times New Roman" w:hAnsi="Times New Roman" w:cs="Times New Roman"/>
          <w:sz w:val="24"/>
          <w:szCs w:val="24"/>
        </w:rPr>
        <w:t xml:space="preserve"> inovadores </w:t>
      </w:r>
      <w:r w:rsidR="003C0621" w:rsidRPr="001F6A53">
        <w:rPr>
          <w:rFonts w:ascii="Times New Roman" w:hAnsi="Times New Roman" w:cs="Times New Roman"/>
          <w:sz w:val="24"/>
          <w:szCs w:val="24"/>
        </w:rPr>
        <w:t>do ordenamento jurídico</w:t>
      </w:r>
      <w:r w:rsidR="001A6D4E">
        <w:rPr>
          <w:rFonts w:ascii="Times New Roman" w:hAnsi="Times New Roman" w:cs="Times New Roman"/>
          <w:sz w:val="24"/>
          <w:szCs w:val="24"/>
        </w:rPr>
        <w:t xml:space="preserve"> da</w:t>
      </w:r>
      <w:r>
        <w:rPr>
          <w:rFonts w:ascii="Times New Roman" w:hAnsi="Times New Roman" w:cs="Times New Roman"/>
          <w:sz w:val="24"/>
          <w:szCs w:val="24"/>
        </w:rPr>
        <w:t xml:space="preserve"> génese da União Europeia de hoje. </w:t>
      </w:r>
      <w:r w:rsidR="001F6A53" w:rsidRPr="001F6A53">
        <w:rPr>
          <w:rFonts w:ascii="Times New Roman" w:hAnsi="Times New Roman" w:cs="Times New Roman"/>
          <w:sz w:val="24"/>
          <w:szCs w:val="24"/>
        </w:rPr>
        <w:t>Instituído desde os primórdios do projeto de integração, este mecanismo evoluiu de uma garantia de estabilidade económica para um verdadeiro </w:t>
      </w:r>
      <w:r w:rsidR="001F6A53" w:rsidRPr="003C0621">
        <w:rPr>
          <w:rFonts w:ascii="Times New Roman" w:hAnsi="Times New Roman" w:cs="Times New Roman"/>
          <w:sz w:val="24"/>
          <w:szCs w:val="24"/>
        </w:rPr>
        <w:t>instrumento de salvaguarda da constitucionalidade material dos Tratados. Ao longo de mais de sete décadas de jurisprudência do Tribunal de Justiça da União Europeia (TJUE), o</w:t>
      </w:r>
      <w:r w:rsidR="001F6A53" w:rsidRPr="001F6A53">
        <w:rPr>
          <w:rFonts w:ascii="Times New Roman" w:hAnsi="Times New Roman" w:cs="Times New Roman"/>
          <w:sz w:val="24"/>
          <w:szCs w:val="24"/>
        </w:rPr>
        <w:t xml:space="preserve"> instituto sofreu aperfeiçoamentos incrementais, consolidando-se como </w:t>
      </w:r>
      <w:proofErr w:type="gramStart"/>
      <w:r w:rsidR="003C0621">
        <w:rPr>
          <w:rFonts w:ascii="Times New Roman" w:hAnsi="Times New Roman" w:cs="Times New Roman"/>
          <w:sz w:val="24"/>
          <w:szCs w:val="24"/>
        </w:rPr>
        <w:t>um</w:t>
      </w:r>
      <w:r w:rsidR="001F6A53" w:rsidRPr="001F6A53">
        <w:rPr>
          <w:rFonts w:ascii="Times New Roman" w:hAnsi="Times New Roman" w:cs="Times New Roman"/>
          <w:sz w:val="24"/>
          <w:szCs w:val="24"/>
        </w:rPr>
        <w:t>a</w:t>
      </w:r>
      <w:r w:rsidR="003C0621">
        <w:rPr>
          <w:rFonts w:ascii="Times New Roman" w:hAnsi="Times New Roman" w:cs="Times New Roman"/>
          <w:sz w:val="24"/>
          <w:szCs w:val="24"/>
        </w:rPr>
        <w:t xml:space="preserve"> relevante</w:t>
      </w:r>
      <w:proofErr w:type="gramEnd"/>
      <w:r w:rsidR="001F6A53" w:rsidRPr="001F6A53">
        <w:rPr>
          <w:rFonts w:ascii="Times New Roman" w:hAnsi="Times New Roman" w:cs="Times New Roman"/>
          <w:sz w:val="24"/>
          <w:szCs w:val="24"/>
        </w:rPr>
        <w:t xml:space="preserve"> via </w:t>
      </w:r>
      <w:r w:rsidR="003C0621">
        <w:rPr>
          <w:rFonts w:ascii="Times New Roman" w:hAnsi="Times New Roman" w:cs="Times New Roman"/>
          <w:sz w:val="24"/>
          <w:szCs w:val="24"/>
        </w:rPr>
        <w:t>de</w:t>
      </w:r>
      <w:r w:rsidR="001F6A53" w:rsidRPr="001F6A53">
        <w:rPr>
          <w:rFonts w:ascii="Times New Roman" w:hAnsi="Times New Roman" w:cs="Times New Roman"/>
          <w:sz w:val="24"/>
          <w:szCs w:val="24"/>
        </w:rPr>
        <w:t xml:space="preserve"> garant</w:t>
      </w:r>
      <w:r w:rsidR="001A6D4E">
        <w:rPr>
          <w:rFonts w:ascii="Times New Roman" w:hAnsi="Times New Roman" w:cs="Times New Roman"/>
          <w:sz w:val="24"/>
          <w:szCs w:val="24"/>
        </w:rPr>
        <w:t>ia</w:t>
      </w:r>
      <w:r w:rsidR="001F6A53" w:rsidRPr="001F6A53">
        <w:rPr>
          <w:rFonts w:ascii="Times New Roman" w:hAnsi="Times New Roman" w:cs="Times New Roman"/>
          <w:sz w:val="24"/>
          <w:szCs w:val="24"/>
        </w:rPr>
        <w:t xml:space="preserve"> </w:t>
      </w:r>
      <w:r w:rsidR="003C0621">
        <w:rPr>
          <w:rFonts w:ascii="Times New Roman" w:hAnsi="Times New Roman" w:cs="Times New Roman"/>
          <w:sz w:val="24"/>
          <w:szCs w:val="24"/>
        </w:rPr>
        <w:t>d</w:t>
      </w:r>
      <w:r w:rsidR="001F6A53" w:rsidRPr="001F6A53">
        <w:rPr>
          <w:rFonts w:ascii="Times New Roman" w:hAnsi="Times New Roman" w:cs="Times New Roman"/>
          <w:sz w:val="24"/>
          <w:szCs w:val="24"/>
        </w:rPr>
        <w:t>a uniformidade e eficácia plena (</w:t>
      </w:r>
      <w:proofErr w:type="spellStart"/>
      <w:r w:rsidR="001F6A53" w:rsidRPr="001F6A53">
        <w:rPr>
          <w:rFonts w:ascii="Times New Roman" w:hAnsi="Times New Roman" w:cs="Times New Roman"/>
          <w:i/>
          <w:iCs/>
          <w:sz w:val="24"/>
          <w:szCs w:val="24"/>
        </w:rPr>
        <w:t>effet</w:t>
      </w:r>
      <w:proofErr w:type="spellEnd"/>
      <w:r w:rsidR="001F6A53" w:rsidRPr="001F6A53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1F6A53" w:rsidRPr="001F6A53">
        <w:rPr>
          <w:rFonts w:ascii="Times New Roman" w:hAnsi="Times New Roman" w:cs="Times New Roman"/>
          <w:i/>
          <w:iCs/>
          <w:sz w:val="24"/>
          <w:szCs w:val="24"/>
        </w:rPr>
        <w:t>utile</w:t>
      </w:r>
      <w:proofErr w:type="spellEnd"/>
      <w:r w:rsidR="001F6A53" w:rsidRPr="001F6A53">
        <w:rPr>
          <w:rFonts w:ascii="Times New Roman" w:hAnsi="Times New Roman" w:cs="Times New Roman"/>
          <w:sz w:val="24"/>
          <w:szCs w:val="24"/>
        </w:rPr>
        <w:t xml:space="preserve">) do </w:t>
      </w:r>
      <w:r w:rsidR="003C0621">
        <w:rPr>
          <w:rFonts w:ascii="Times New Roman" w:hAnsi="Times New Roman" w:cs="Times New Roman"/>
          <w:sz w:val="24"/>
          <w:szCs w:val="24"/>
        </w:rPr>
        <w:t>d</w:t>
      </w:r>
      <w:r w:rsidR="001F6A53" w:rsidRPr="001F6A53">
        <w:rPr>
          <w:rFonts w:ascii="Times New Roman" w:hAnsi="Times New Roman" w:cs="Times New Roman"/>
          <w:sz w:val="24"/>
          <w:szCs w:val="24"/>
        </w:rPr>
        <w:t>ireito da União.</w:t>
      </w:r>
    </w:p>
    <w:p w14:paraId="4B076599" w14:textId="3013A50A" w:rsidR="001F6A53" w:rsidRDefault="00A01484" w:rsidP="001F6A53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Um meio contencioso da competência da instituição judicial da União Europeia, em que a legitimidade ativa cabe quase em exclusivo à Comissão Europeia, que demanda o Estado-Membro alegadamente infrator, em nome de uma cooperação leal a que todos os Estados se comprometeram no ideal dos valores proclamados. E, desses valores consta o Estado de direito, enquanto valor </w:t>
      </w:r>
      <w:r w:rsidR="001F6A53">
        <w:rPr>
          <w:rFonts w:ascii="Times New Roman" w:hAnsi="Times New Roman" w:cs="Times New Roman"/>
          <w:sz w:val="24"/>
          <w:szCs w:val="24"/>
        </w:rPr>
        <w:t xml:space="preserve">fundacional </w:t>
      </w:r>
      <w:r>
        <w:rPr>
          <w:rFonts w:ascii="Times New Roman" w:hAnsi="Times New Roman" w:cs="Times New Roman"/>
          <w:sz w:val="24"/>
          <w:szCs w:val="24"/>
        </w:rPr>
        <w:t>e princípio que orienta para o funcionamento democrático. Dessa forma, a ação por incumprimento</w:t>
      </w:r>
      <w:r w:rsidR="001F6A53">
        <w:rPr>
          <w:rFonts w:ascii="Times New Roman" w:hAnsi="Times New Roman" w:cs="Times New Roman"/>
          <w:sz w:val="24"/>
          <w:szCs w:val="24"/>
        </w:rPr>
        <w:t xml:space="preserve"> transcende uma fiscalização de legalidade e</w:t>
      </w:r>
      <w:r>
        <w:rPr>
          <w:rFonts w:ascii="Times New Roman" w:hAnsi="Times New Roman" w:cs="Times New Roman"/>
          <w:sz w:val="24"/>
          <w:szCs w:val="24"/>
        </w:rPr>
        <w:t xml:space="preserve"> é um instrumento de democracia ao garantir a correta aplicação do direito da União</w:t>
      </w:r>
      <w:r w:rsidR="001F6A53">
        <w:rPr>
          <w:rFonts w:ascii="Times New Roman" w:hAnsi="Times New Roman" w:cs="Times New Roman"/>
          <w:sz w:val="24"/>
          <w:szCs w:val="24"/>
        </w:rPr>
        <w:t xml:space="preserve"> em vestes de tribunal constitucional</w:t>
      </w:r>
      <w:r>
        <w:rPr>
          <w:rFonts w:ascii="Times New Roman" w:hAnsi="Times New Roman" w:cs="Times New Roman"/>
          <w:sz w:val="24"/>
          <w:szCs w:val="24"/>
        </w:rPr>
        <w:t>.</w:t>
      </w:r>
      <w:r w:rsidR="001F6A53">
        <w:rPr>
          <w:rFonts w:ascii="Times New Roman" w:hAnsi="Times New Roman" w:cs="Times New Roman"/>
          <w:sz w:val="24"/>
          <w:szCs w:val="24"/>
        </w:rPr>
        <w:t xml:space="preserve"> </w:t>
      </w:r>
      <w:r w:rsidR="001F6A53" w:rsidRPr="001F6A53">
        <w:rPr>
          <w:rFonts w:ascii="Times New Roman" w:hAnsi="Times New Roman" w:cs="Times New Roman"/>
          <w:sz w:val="24"/>
          <w:szCs w:val="24"/>
        </w:rPr>
        <w:t xml:space="preserve">Num sistema onde a União é </w:t>
      </w:r>
      <w:r w:rsidR="001F6A53">
        <w:rPr>
          <w:rFonts w:ascii="Times New Roman" w:hAnsi="Times New Roman" w:cs="Times New Roman"/>
          <w:sz w:val="24"/>
          <w:szCs w:val="24"/>
        </w:rPr>
        <w:t>afirmada como</w:t>
      </w:r>
      <w:r w:rsidR="001F6A53" w:rsidRPr="001F6A53">
        <w:rPr>
          <w:rFonts w:ascii="Times New Roman" w:hAnsi="Times New Roman" w:cs="Times New Roman"/>
          <w:sz w:val="24"/>
          <w:szCs w:val="24"/>
        </w:rPr>
        <w:t xml:space="preserve"> "comunidade de direito", a legitimidade democrática não reside apenas no processo legislativo, mas na garantia de que as normas democraticamente aprovadas são aplicadas</w:t>
      </w:r>
      <w:r w:rsidR="001A6D4E">
        <w:rPr>
          <w:rFonts w:ascii="Times New Roman" w:hAnsi="Times New Roman" w:cs="Times New Roman"/>
          <w:sz w:val="24"/>
          <w:szCs w:val="24"/>
        </w:rPr>
        <w:t xml:space="preserve"> de modo efetivo</w:t>
      </w:r>
      <w:r w:rsidR="001F6A53" w:rsidRPr="001F6A53">
        <w:rPr>
          <w:rFonts w:ascii="Times New Roman" w:hAnsi="Times New Roman" w:cs="Times New Roman"/>
          <w:sz w:val="24"/>
          <w:szCs w:val="24"/>
        </w:rPr>
        <w:t xml:space="preserve">. Assim, ao </w:t>
      </w:r>
      <w:r w:rsidR="001A6D4E">
        <w:rPr>
          <w:rFonts w:ascii="Times New Roman" w:hAnsi="Times New Roman" w:cs="Times New Roman"/>
          <w:sz w:val="24"/>
          <w:szCs w:val="24"/>
        </w:rPr>
        <w:t>declara</w:t>
      </w:r>
      <w:r w:rsidR="001F6A53" w:rsidRPr="001F6A53">
        <w:rPr>
          <w:rFonts w:ascii="Times New Roman" w:hAnsi="Times New Roman" w:cs="Times New Roman"/>
          <w:sz w:val="24"/>
          <w:szCs w:val="24"/>
        </w:rPr>
        <w:t xml:space="preserve"> as infrações estaduais, o TJUE atua como um garante da segurança jurídica e da igualdade dos cidadãos europeus perante a lei, impedindo que assimetrias no cumprimento dos Tratados fragilizem o edifício democrático da União.</w:t>
      </w:r>
    </w:p>
    <w:p w14:paraId="398CF811" w14:textId="5D39A15D" w:rsidR="00DC7308" w:rsidRPr="00160B76" w:rsidRDefault="00C860F5" w:rsidP="00EB38E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Por reporte às</w:t>
      </w:r>
      <w:r w:rsidRPr="00C860F5">
        <w:rPr>
          <w:rFonts w:ascii="Times New Roman" w:hAnsi="Times New Roman" w:cs="Times New Roman"/>
          <w:sz w:val="24"/>
          <w:szCs w:val="24"/>
        </w:rPr>
        <w:t xml:space="preserve"> referências diretas aos artigos dos Tratados</w:t>
      </w:r>
      <w:r w:rsidR="00160B76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no caso, os a</w:t>
      </w:r>
      <w:r w:rsidRPr="00C860F5">
        <w:rPr>
          <w:rFonts w:ascii="Times New Roman" w:hAnsi="Times New Roman" w:cs="Times New Roman"/>
          <w:sz w:val="24"/>
          <w:szCs w:val="24"/>
        </w:rPr>
        <w:t>rt</w:t>
      </w:r>
      <w:r>
        <w:rPr>
          <w:rFonts w:ascii="Times New Roman" w:hAnsi="Times New Roman" w:cs="Times New Roman"/>
          <w:sz w:val="24"/>
          <w:szCs w:val="24"/>
        </w:rPr>
        <w:t>igos</w:t>
      </w:r>
      <w:r w:rsidRPr="00C860F5">
        <w:rPr>
          <w:rFonts w:ascii="Times New Roman" w:hAnsi="Times New Roman" w:cs="Times New Roman"/>
          <w:sz w:val="24"/>
          <w:szCs w:val="24"/>
        </w:rPr>
        <w:t xml:space="preserve"> 258.º, 259.º e 260.º do T</w:t>
      </w:r>
      <w:r>
        <w:rPr>
          <w:rFonts w:ascii="Times New Roman" w:hAnsi="Times New Roman" w:cs="Times New Roman"/>
          <w:sz w:val="24"/>
          <w:szCs w:val="24"/>
        </w:rPr>
        <w:t>ratado sobre o Funcionamento da</w:t>
      </w:r>
      <w:r w:rsidRPr="00C860F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União Europeia (TFUE) e</w:t>
      </w:r>
      <w:r w:rsidRPr="00C860F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860F5">
        <w:rPr>
          <w:rFonts w:ascii="Times New Roman" w:hAnsi="Times New Roman" w:cs="Times New Roman"/>
          <w:sz w:val="24"/>
          <w:szCs w:val="24"/>
        </w:rPr>
        <w:t>rt</w:t>
      </w:r>
      <w:r>
        <w:rPr>
          <w:rFonts w:ascii="Times New Roman" w:hAnsi="Times New Roman" w:cs="Times New Roman"/>
          <w:sz w:val="24"/>
          <w:szCs w:val="24"/>
        </w:rPr>
        <w:t>igos</w:t>
      </w:r>
      <w:r w:rsidRPr="00C860F5">
        <w:rPr>
          <w:rFonts w:ascii="Times New Roman" w:hAnsi="Times New Roman" w:cs="Times New Roman"/>
          <w:sz w:val="24"/>
          <w:szCs w:val="24"/>
        </w:rPr>
        <w:t xml:space="preserve"> 2.º e 4.º do T</w:t>
      </w:r>
      <w:r>
        <w:rPr>
          <w:rFonts w:ascii="Times New Roman" w:hAnsi="Times New Roman" w:cs="Times New Roman"/>
          <w:sz w:val="24"/>
          <w:szCs w:val="24"/>
        </w:rPr>
        <w:t>ratado da</w:t>
      </w:r>
      <w:r w:rsidRPr="00C860F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União Europeia (TUE).</w:t>
      </w:r>
      <w:r w:rsidR="00160B76">
        <w:rPr>
          <w:rFonts w:ascii="Times New Roman" w:hAnsi="Times New Roman" w:cs="Times New Roman"/>
          <w:sz w:val="24"/>
          <w:szCs w:val="24"/>
        </w:rPr>
        <w:t xml:space="preserve"> Sem esquecer as regras aplicáveis às ações diretas, previstas no Estatuto do TJUE e no respetivo Regulamento de Processo do Tribunal de Justiça. Relembrando que </w:t>
      </w:r>
      <w:r w:rsidR="00160B76" w:rsidRPr="00160B76">
        <w:rPr>
          <w:rFonts w:ascii="Times New Roman" w:hAnsi="Times New Roman" w:cs="Times New Roman"/>
          <w:sz w:val="24"/>
          <w:szCs w:val="24"/>
        </w:rPr>
        <w:t>TJUE</w:t>
      </w:r>
      <w:r w:rsidR="00160B76">
        <w:rPr>
          <w:rFonts w:ascii="Times New Roman" w:hAnsi="Times New Roman" w:cs="Times New Roman"/>
          <w:sz w:val="24"/>
          <w:szCs w:val="24"/>
        </w:rPr>
        <w:t xml:space="preserve"> se</w:t>
      </w:r>
      <w:r w:rsidR="00160B76" w:rsidRPr="00160B76">
        <w:rPr>
          <w:rFonts w:ascii="Times New Roman" w:hAnsi="Times New Roman" w:cs="Times New Roman"/>
          <w:sz w:val="24"/>
          <w:szCs w:val="24"/>
        </w:rPr>
        <w:t xml:space="preserve"> divide em duas </w:t>
      </w:r>
      <w:r w:rsidR="00160B76">
        <w:rPr>
          <w:rFonts w:ascii="Times New Roman" w:hAnsi="Times New Roman" w:cs="Times New Roman"/>
          <w:sz w:val="24"/>
          <w:szCs w:val="24"/>
        </w:rPr>
        <w:t>jurisdiçõe</w:t>
      </w:r>
      <w:r w:rsidR="00160B76" w:rsidRPr="00160B76">
        <w:rPr>
          <w:rFonts w:ascii="Times New Roman" w:hAnsi="Times New Roman" w:cs="Times New Roman"/>
          <w:sz w:val="24"/>
          <w:szCs w:val="24"/>
        </w:rPr>
        <w:t>s com competências distintas para assegurar a aplicação do direito da União</w:t>
      </w:r>
      <w:r w:rsidR="00160B76">
        <w:rPr>
          <w:rFonts w:ascii="Times New Roman" w:hAnsi="Times New Roman" w:cs="Times New Roman"/>
          <w:sz w:val="24"/>
          <w:szCs w:val="24"/>
        </w:rPr>
        <w:t>: Tribunal de Justiça (TJ) e Tribunal Geral (TG), o TJ</w:t>
      </w:r>
      <w:r w:rsidR="00160B76" w:rsidRPr="00160B76">
        <w:rPr>
          <w:rFonts w:ascii="Times New Roman" w:hAnsi="Times New Roman" w:cs="Times New Roman"/>
          <w:sz w:val="24"/>
          <w:szCs w:val="24"/>
        </w:rPr>
        <w:t xml:space="preserve"> é </w:t>
      </w:r>
      <w:r w:rsidR="00160B76">
        <w:rPr>
          <w:rFonts w:ascii="Times New Roman" w:hAnsi="Times New Roman" w:cs="Times New Roman"/>
          <w:sz w:val="24"/>
          <w:szCs w:val="24"/>
        </w:rPr>
        <w:t>a</w:t>
      </w:r>
      <w:r w:rsidR="00160B76" w:rsidRPr="00160B76">
        <w:rPr>
          <w:rFonts w:ascii="Times New Roman" w:hAnsi="Times New Roman" w:cs="Times New Roman"/>
          <w:sz w:val="24"/>
          <w:szCs w:val="24"/>
        </w:rPr>
        <w:t xml:space="preserve"> competente para julgar as ações por incumprimento</w:t>
      </w:r>
      <w:r w:rsidR="00160B76">
        <w:rPr>
          <w:rFonts w:ascii="Times New Roman" w:hAnsi="Times New Roman" w:cs="Times New Roman"/>
          <w:sz w:val="24"/>
          <w:szCs w:val="24"/>
        </w:rPr>
        <w:t>.</w:t>
      </w:r>
    </w:p>
    <w:p w14:paraId="5E7CF4F4" w14:textId="56F5680B" w:rsidR="00F354E6" w:rsidRDefault="00C860F5" w:rsidP="00EB38E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 Tribunal de Justiça da União Europeia apresenta, anualmente</w:t>
      </w:r>
      <w:r w:rsidR="001A6D4E">
        <w:rPr>
          <w:rFonts w:ascii="Times New Roman" w:hAnsi="Times New Roman" w:cs="Times New Roman"/>
          <w:sz w:val="24"/>
          <w:szCs w:val="24"/>
        </w:rPr>
        <w:t>,</w:t>
      </w:r>
      <w:r w:rsidR="004D351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os dados relativos aos processos</w:t>
      </w:r>
      <w:r w:rsidR="006B2489">
        <w:rPr>
          <w:rFonts w:ascii="Times New Roman" w:hAnsi="Times New Roman" w:cs="Times New Roman"/>
          <w:sz w:val="24"/>
          <w:szCs w:val="24"/>
        </w:rPr>
        <w:t xml:space="preserve"> em relatórios de atividade, </w:t>
      </w:r>
      <w:r w:rsidR="001A6D4E">
        <w:rPr>
          <w:rFonts w:ascii="Times New Roman" w:hAnsi="Times New Roman" w:cs="Times New Roman"/>
          <w:sz w:val="24"/>
          <w:szCs w:val="24"/>
        </w:rPr>
        <w:t>ainda no primeiro semestre do ano</w:t>
      </w:r>
      <w:r w:rsidR="006B2489">
        <w:rPr>
          <w:rFonts w:ascii="Times New Roman" w:hAnsi="Times New Roman" w:cs="Times New Roman"/>
          <w:sz w:val="24"/>
          <w:szCs w:val="24"/>
        </w:rPr>
        <w:t xml:space="preserve"> quanto ao ano anterior</w:t>
      </w:r>
      <w:r>
        <w:rPr>
          <w:rFonts w:ascii="Times New Roman" w:hAnsi="Times New Roman" w:cs="Times New Roman"/>
          <w:sz w:val="24"/>
          <w:szCs w:val="24"/>
        </w:rPr>
        <w:t>.</w:t>
      </w:r>
      <w:r w:rsidR="00F354E6">
        <w:rPr>
          <w:rFonts w:ascii="Times New Roman" w:hAnsi="Times New Roman" w:cs="Times New Roman"/>
          <w:sz w:val="24"/>
          <w:szCs w:val="24"/>
        </w:rPr>
        <w:t xml:space="preserve"> São documentos belos e de conteúdo valioso, que concretizam a transparência e comunicação do seu funcionamento.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354E6">
        <w:rPr>
          <w:rFonts w:ascii="Times New Roman" w:hAnsi="Times New Roman" w:cs="Times New Roman"/>
          <w:sz w:val="24"/>
          <w:szCs w:val="24"/>
        </w:rPr>
        <w:t xml:space="preserve">Tal como noutras áreas, como é o caso da política da concorrência, desde 1952 no âmbito do relatório geral da União e, desde 1980, em publicação autónoma, consultável </w:t>
      </w:r>
      <w:proofErr w:type="spellStart"/>
      <w:r w:rsidR="00F354E6" w:rsidRPr="00F354E6">
        <w:rPr>
          <w:rFonts w:ascii="Times New Roman" w:hAnsi="Times New Roman" w:cs="Times New Roman"/>
          <w:i/>
          <w:iCs/>
          <w:sz w:val="24"/>
          <w:szCs w:val="24"/>
        </w:rPr>
        <w:t>on</w:t>
      </w:r>
      <w:proofErr w:type="spellEnd"/>
      <w:r w:rsidR="00F354E6" w:rsidRPr="00F354E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F354E6" w:rsidRPr="00F354E6">
        <w:rPr>
          <w:rFonts w:ascii="Times New Roman" w:hAnsi="Times New Roman" w:cs="Times New Roman"/>
          <w:i/>
          <w:iCs/>
          <w:sz w:val="24"/>
          <w:szCs w:val="24"/>
        </w:rPr>
        <w:t>line</w:t>
      </w:r>
      <w:proofErr w:type="spellEnd"/>
      <w:r w:rsidR="00F354E6">
        <w:rPr>
          <w:rFonts w:ascii="Times New Roman" w:hAnsi="Times New Roman" w:cs="Times New Roman"/>
          <w:sz w:val="24"/>
          <w:szCs w:val="24"/>
        </w:rPr>
        <w:t xml:space="preserve"> na edição desde 1991.</w:t>
      </w:r>
    </w:p>
    <w:p w14:paraId="4AF4E4C0" w14:textId="017FE336" w:rsidR="00A01484" w:rsidRDefault="00DC7308" w:rsidP="00EB38E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Pel</w:t>
      </w:r>
      <w:r w:rsidR="00A01484">
        <w:rPr>
          <w:rFonts w:ascii="Times New Roman" w:hAnsi="Times New Roman" w:cs="Times New Roman"/>
          <w:sz w:val="24"/>
          <w:szCs w:val="24"/>
        </w:rPr>
        <w:t>a análise d</w:t>
      </w:r>
      <w:r w:rsidR="00C860F5">
        <w:rPr>
          <w:rFonts w:ascii="Times New Roman" w:hAnsi="Times New Roman" w:cs="Times New Roman"/>
          <w:sz w:val="24"/>
          <w:szCs w:val="24"/>
        </w:rPr>
        <w:t>esse</w:t>
      </w:r>
      <w:r w:rsidR="00A01484">
        <w:rPr>
          <w:rFonts w:ascii="Times New Roman" w:hAnsi="Times New Roman" w:cs="Times New Roman"/>
          <w:sz w:val="24"/>
          <w:szCs w:val="24"/>
        </w:rPr>
        <w:t>s relatórios anuais, apresentaremos o panorama</w:t>
      </w:r>
      <w:r>
        <w:rPr>
          <w:rFonts w:ascii="Times New Roman" w:hAnsi="Times New Roman" w:cs="Times New Roman"/>
          <w:sz w:val="24"/>
          <w:szCs w:val="24"/>
        </w:rPr>
        <w:t xml:space="preserve"> jurisprudencial</w:t>
      </w:r>
      <w:r w:rsidR="00A01484">
        <w:rPr>
          <w:rFonts w:ascii="Times New Roman" w:hAnsi="Times New Roman" w:cs="Times New Roman"/>
          <w:sz w:val="24"/>
          <w:szCs w:val="24"/>
        </w:rPr>
        <w:t>, com base no número de processos desta natureza efetivamente</w:t>
      </w:r>
      <w:r>
        <w:rPr>
          <w:rFonts w:ascii="Times New Roman" w:hAnsi="Times New Roman" w:cs="Times New Roman"/>
          <w:sz w:val="24"/>
          <w:szCs w:val="24"/>
        </w:rPr>
        <w:t xml:space="preserve"> propostos</w:t>
      </w:r>
      <w:r w:rsidR="00A01484">
        <w:rPr>
          <w:rFonts w:ascii="Times New Roman" w:hAnsi="Times New Roman" w:cs="Times New Roman"/>
          <w:sz w:val="24"/>
          <w:szCs w:val="24"/>
        </w:rPr>
        <w:t>.</w:t>
      </w:r>
      <w:r w:rsidR="00C860F5">
        <w:rPr>
          <w:rFonts w:ascii="Times New Roman" w:hAnsi="Times New Roman" w:cs="Times New Roman"/>
          <w:sz w:val="24"/>
          <w:szCs w:val="24"/>
        </w:rPr>
        <w:t xml:space="preserve"> </w:t>
      </w:r>
      <w:r w:rsidRPr="00DC7308">
        <w:rPr>
          <w:rFonts w:ascii="Times New Roman" w:hAnsi="Times New Roman" w:cs="Times New Roman"/>
          <w:sz w:val="24"/>
          <w:szCs w:val="24"/>
        </w:rPr>
        <w:t>Através do escrutínio dos processos decididos, é possível identificar padrões de comportamento dos Estados-Membros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DC7308">
        <w:rPr>
          <w:rFonts w:ascii="Times New Roman" w:hAnsi="Times New Roman" w:cs="Times New Roman"/>
          <w:sz w:val="24"/>
          <w:szCs w:val="24"/>
        </w:rPr>
        <w:t xml:space="preserve"> desde o incumprimento por negligência administrativa na transposição de diretivas até às resistências sistémicas que desafiam </w:t>
      </w:r>
      <w:r w:rsidR="00C860F5">
        <w:rPr>
          <w:rFonts w:ascii="Times New Roman" w:hAnsi="Times New Roman" w:cs="Times New Roman"/>
          <w:sz w:val="24"/>
          <w:szCs w:val="24"/>
        </w:rPr>
        <w:t>o</w:t>
      </w:r>
      <w:r w:rsidRPr="00DC7308">
        <w:rPr>
          <w:rFonts w:ascii="Times New Roman" w:hAnsi="Times New Roman" w:cs="Times New Roman"/>
          <w:sz w:val="24"/>
          <w:szCs w:val="24"/>
        </w:rPr>
        <w:t xml:space="preserve"> prima</w:t>
      </w:r>
      <w:r w:rsidR="00C860F5">
        <w:rPr>
          <w:rFonts w:ascii="Times New Roman" w:hAnsi="Times New Roman" w:cs="Times New Roman"/>
          <w:sz w:val="24"/>
          <w:szCs w:val="24"/>
        </w:rPr>
        <w:t>do</w:t>
      </w:r>
      <w:r w:rsidRPr="00DC7308">
        <w:rPr>
          <w:rFonts w:ascii="Times New Roman" w:hAnsi="Times New Roman" w:cs="Times New Roman"/>
          <w:sz w:val="24"/>
          <w:szCs w:val="24"/>
        </w:rPr>
        <w:t xml:space="preserve"> 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C7308">
        <w:rPr>
          <w:rFonts w:ascii="Times New Roman" w:hAnsi="Times New Roman" w:cs="Times New Roman"/>
          <w:sz w:val="24"/>
          <w:szCs w:val="24"/>
        </w:rPr>
        <w:t>ireito da União. Este panorama permitirá aferir a resiliência do sistema jurisdicional perante as crises de soberania contemporâneas e a eficácia das sanções pecuniárias como mecanismo de coerção e dissuasão</w:t>
      </w:r>
      <w:r w:rsidR="00C860F5">
        <w:rPr>
          <w:rFonts w:ascii="Times New Roman" w:hAnsi="Times New Roman" w:cs="Times New Roman"/>
          <w:sz w:val="24"/>
          <w:szCs w:val="24"/>
        </w:rPr>
        <w:t>, aplicado</w:t>
      </w:r>
      <w:r w:rsidR="003C0621">
        <w:rPr>
          <w:rFonts w:ascii="Times New Roman" w:hAnsi="Times New Roman" w:cs="Times New Roman"/>
          <w:sz w:val="24"/>
          <w:szCs w:val="24"/>
        </w:rPr>
        <w:t xml:space="preserve"> nesta vertente</w:t>
      </w:r>
      <w:r w:rsidR="00C860F5">
        <w:rPr>
          <w:rFonts w:ascii="Times New Roman" w:hAnsi="Times New Roman" w:cs="Times New Roman"/>
          <w:sz w:val="24"/>
          <w:szCs w:val="24"/>
        </w:rPr>
        <w:t xml:space="preserve"> desde o processo contra a Grécia em 2000</w:t>
      </w:r>
      <w:r w:rsidRPr="00DC7308">
        <w:rPr>
          <w:rFonts w:ascii="Times New Roman" w:hAnsi="Times New Roman" w:cs="Times New Roman"/>
          <w:sz w:val="24"/>
          <w:szCs w:val="24"/>
        </w:rPr>
        <w:t>.</w:t>
      </w:r>
      <w:r w:rsidR="00C860F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E10FC54" w14:textId="1FE63863" w:rsidR="00EB38EE" w:rsidRDefault="0054201A" w:rsidP="00160B76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4201A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inda assim, será a</w:t>
      </w:r>
      <w:r w:rsidRPr="0054201A">
        <w:rPr>
          <w:rFonts w:ascii="Times New Roman" w:hAnsi="Times New Roman" w:cs="Times New Roman"/>
          <w:sz w:val="24"/>
          <w:szCs w:val="24"/>
        </w:rPr>
        <w:t xml:space="preserve"> ação </w:t>
      </w:r>
      <w:r>
        <w:rPr>
          <w:rFonts w:ascii="Times New Roman" w:hAnsi="Times New Roman" w:cs="Times New Roman"/>
          <w:sz w:val="24"/>
          <w:szCs w:val="24"/>
        </w:rPr>
        <w:t>por</w:t>
      </w:r>
      <w:r w:rsidRPr="0054201A">
        <w:rPr>
          <w:rFonts w:ascii="Times New Roman" w:hAnsi="Times New Roman" w:cs="Times New Roman"/>
          <w:sz w:val="24"/>
          <w:szCs w:val="24"/>
        </w:rPr>
        <w:t xml:space="preserve"> incumprimento: uma garantia suficiente da integração europeia?</w:t>
      </w:r>
      <w:r>
        <w:rPr>
          <w:rFonts w:ascii="Times New Roman" w:hAnsi="Times New Roman" w:cs="Times New Roman"/>
          <w:sz w:val="24"/>
          <w:szCs w:val="24"/>
        </w:rPr>
        <w:t xml:space="preserve"> Ainda que outros mecanismos existam para esse fim, focaremos neste pequeno estudo a atenção nesta via processual.</w:t>
      </w:r>
    </w:p>
    <w:p w14:paraId="4E6B10F6" w14:textId="6B810019" w:rsidR="00AB2EC3" w:rsidRDefault="00AB2EC3" w:rsidP="00160B76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Merece nosso destaque o </w:t>
      </w:r>
      <w:r w:rsidRPr="00AB2EC3">
        <w:rPr>
          <w:rFonts w:ascii="Times New Roman" w:hAnsi="Times New Roman" w:cs="Times New Roman"/>
          <w:sz w:val="24"/>
          <w:szCs w:val="24"/>
        </w:rPr>
        <w:t>Acórdão do Tribunal de Justiça</w:t>
      </w:r>
      <w:r w:rsidR="009B09FD">
        <w:rPr>
          <w:rFonts w:ascii="Times New Roman" w:hAnsi="Times New Roman" w:cs="Times New Roman"/>
          <w:sz w:val="24"/>
          <w:szCs w:val="24"/>
        </w:rPr>
        <w:t xml:space="preserve"> </w:t>
      </w:r>
      <w:r w:rsidR="009B09FD" w:rsidRPr="009B09FD">
        <w:rPr>
          <w:rFonts w:ascii="Times New Roman" w:hAnsi="Times New Roman" w:cs="Times New Roman"/>
          <w:sz w:val="24"/>
          <w:szCs w:val="24"/>
        </w:rPr>
        <w:t>de 18 de dezembro de 2025</w:t>
      </w:r>
      <w:r w:rsidRPr="00AB2EC3">
        <w:rPr>
          <w:rFonts w:ascii="Times New Roman" w:hAnsi="Times New Roman" w:cs="Times New Roman"/>
          <w:sz w:val="24"/>
          <w:szCs w:val="24"/>
        </w:rPr>
        <w:t xml:space="preserve"> no processo C-448/23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AB2EC3">
        <w:rPr>
          <w:rFonts w:ascii="Times New Roman" w:hAnsi="Times New Roman" w:cs="Times New Roman"/>
          <w:sz w:val="24"/>
          <w:szCs w:val="24"/>
        </w:rPr>
        <w:t>Comissão</w:t>
      </w:r>
      <w:r w:rsidR="008463F4">
        <w:rPr>
          <w:rFonts w:ascii="Times New Roman" w:hAnsi="Times New Roman" w:cs="Times New Roman"/>
          <w:sz w:val="24"/>
          <w:szCs w:val="24"/>
        </w:rPr>
        <w:t xml:space="preserve"> </w:t>
      </w:r>
      <w:r w:rsidRPr="00AB2EC3">
        <w:rPr>
          <w:rFonts w:ascii="Times New Roman" w:hAnsi="Times New Roman" w:cs="Times New Roman"/>
          <w:sz w:val="24"/>
          <w:szCs w:val="24"/>
        </w:rPr>
        <w:t>/</w:t>
      </w:r>
      <w:r w:rsidR="008463F4">
        <w:rPr>
          <w:rFonts w:ascii="Times New Roman" w:hAnsi="Times New Roman" w:cs="Times New Roman"/>
          <w:sz w:val="24"/>
          <w:szCs w:val="24"/>
        </w:rPr>
        <w:t xml:space="preserve"> </w:t>
      </w:r>
      <w:r w:rsidRPr="00AB2EC3">
        <w:rPr>
          <w:rFonts w:ascii="Times New Roman" w:hAnsi="Times New Roman" w:cs="Times New Roman"/>
          <w:sz w:val="24"/>
          <w:szCs w:val="24"/>
        </w:rPr>
        <w:t>Polónia</w:t>
      </w:r>
      <w:r>
        <w:rPr>
          <w:rFonts w:ascii="Times New Roman" w:hAnsi="Times New Roman" w:cs="Times New Roman"/>
          <w:sz w:val="24"/>
          <w:szCs w:val="24"/>
        </w:rPr>
        <w:t xml:space="preserve">, primeira </w:t>
      </w:r>
      <w:r w:rsidR="009B09FD">
        <w:rPr>
          <w:rFonts w:ascii="Times New Roman" w:hAnsi="Times New Roman" w:cs="Times New Roman"/>
          <w:sz w:val="24"/>
          <w:szCs w:val="24"/>
        </w:rPr>
        <w:t>vez que a Comissão intenta uma ação por incumprimento contra uma posição adotada por um órgão jurisdicional constitucional nacional e também contra uma jurisprudência que contesta a autoridade do Tribunal de Justiça</w:t>
      </w:r>
      <w:r w:rsidR="008463F4">
        <w:rPr>
          <w:rFonts w:ascii="Times New Roman" w:hAnsi="Times New Roman" w:cs="Times New Roman"/>
          <w:sz w:val="24"/>
          <w:szCs w:val="24"/>
        </w:rPr>
        <w:t xml:space="preserve">, onde se discutem </w:t>
      </w:r>
      <w:r w:rsidR="008463F4" w:rsidRPr="008463F4">
        <w:rPr>
          <w:rFonts w:ascii="Times New Roman" w:hAnsi="Times New Roman" w:cs="Times New Roman"/>
          <w:sz w:val="24"/>
          <w:szCs w:val="24"/>
        </w:rPr>
        <w:t xml:space="preserve">as características essenciais do ordenamento jurídico da União, </w:t>
      </w:r>
      <w:r w:rsidR="008463F4">
        <w:rPr>
          <w:rFonts w:ascii="Times New Roman" w:hAnsi="Times New Roman" w:cs="Times New Roman"/>
          <w:sz w:val="24"/>
          <w:szCs w:val="24"/>
        </w:rPr>
        <w:t>seus</w:t>
      </w:r>
      <w:r w:rsidR="008463F4" w:rsidRPr="008463F4">
        <w:rPr>
          <w:rFonts w:ascii="Times New Roman" w:hAnsi="Times New Roman" w:cs="Times New Roman"/>
          <w:sz w:val="24"/>
          <w:szCs w:val="24"/>
        </w:rPr>
        <w:t xml:space="preserve"> princípios da autonomia, do primado, da efetividade e da aplicação uniforme do Direito da União, bem como o princípio do efeito vinculativo da jurisprudência do Tribunal de Justiça, </w:t>
      </w:r>
      <w:r w:rsidR="008463F4">
        <w:rPr>
          <w:rFonts w:ascii="Times New Roman" w:hAnsi="Times New Roman" w:cs="Times New Roman"/>
          <w:sz w:val="24"/>
          <w:szCs w:val="24"/>
        </w:rPr>
        <w:t xml:space="preserve">relativamente à </w:t>
      </w:r>
      <w:r w:rsidR="008463F4" w:rsidRPr="008463F4">
        <w:rPr>
          <w:rFonts w:ascii="Times New Roman" w:hAnsi="Times New Roman" w:cs="Times New Roman"/>
          <w:sz w:val="24"/>
          <w:szCs w:val="24"/>
        </w:rPr>
        <w:t>aplica</w:t>
      </w:r>
      <w:r w:rsidR="008463F4">
        <w:rPr>
          <w:rFonts w:ascii="Times New Roman" w:hAnsi="Times New Roman" w:cs="Times New Roman"/>
          <w:sz w:val="24"/>
          <w:szCs w:val="24"/>
        </w:rPr>
        <w:t>ção de</w:t>
      </w:r>
      <w:r w:rsidR="008463F4" w:rsidRPr="008463F4">
        <w:rPr>
          <w:rFonts w:ascii="Times New Roman" w:hAnsi="Times New Roman" w:cs="Times New Roman"/>
          <w:sz w:val="24"/>
          <w:szCs w:val="24"/>
        </w:rPr>
        <w:t xml:space="preserve"> normas do direito primário da União</w:t>
      </w:r>
      <w:r w:rsidR="008463F4">
        <w:rPr>
          <w:rFonts w:ascii="Times New Roman" w:hAnsi="Times New Roman" w:cs="Times New Roman"/>
          <w:sz w:val="24"/>
          <w:szCs w:val="24"/>
        </w:rPr>
        <w:t xml:space="preserve"> pel</w:t>
      </w:r>
      <w:r w:rsidR="008463F4" w:rsidRPr="008463F4">
        <w:rPr>
          <w:rFonts w:ascii="Times New Roman" w:hAnsi="Times New Roman" w:cs="Times New Roman"/>
          <w:sz w:val="24"/>
          <w:szCs w:val="24"/>
        </w:rPr>
        <w:t xml:space="preserve">as autoridades públicas </w:t>
      </w:r>
      <w:r w:rsidR="008463F4">
        <w:rPr>
          <w:rFonts w:ascii="Times New Roman" w:hAnsi="Times New Roman" w:cs="Times New Roman"/>
          <w:sz w:val="24"/>
          <w:szCs w:val="24"/>
        </w:rPr>
        <w:t>nacionais, neste caso polacas</w:t>
      </w:r>
      <w:r w:rsidR="008463F4" w:rsidRPr="008463F4">
        <w:rPr>
          <w:rFonts w:ascii="Times New Roman" w:hAnsi="Times New Roman" w:cs="Times New Roman"/>
          <w:sz w:val="24"/>
          <w:szCs w:val="24"/>
        </w:rPr>
        <w:t>.</w:t>
      </w:r>
    </w:p>
    <w:p w14:paraId="5A9923A7" w14:textId="77777777" w:rsidR="00160B76" w:rsidRPr="00160B76" w:rsidRDefault="00160B76" w:rsidP="00160B76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DC53063" w14:textId="0F23A4AE" w:rsidR="00E75C17" w:rsidRDefault="00BF67EC">
      <w:pPr>
        <w:rPr>
          <w:b/>
          <w:bCs/>
        </w:rPr>
      </w:pPr>
      <w:r>
        <w:rPr>
          <w:b/>
          <w:bCs/>
        </w:rPr>
        <w:t>Palavras-chave</w:t>
      </w:r>
      <w:r w:rsidR="00EB38EE">
        <w:rPr>
          <w:b/>
          <w:bCs/>
        </w:rPr>
        <w:t xml:space="preserve">: </w:t>
      </w:r>
      <w:r w:rsidR="00EB38EE" w:rsidRPr="00EB38EE">
        <w:t xml:space="preserve">ação por incumprimento; </w:t>
      </w:r>
      <w:r w:rsidR="00967E50">
        <w:t>Estado-Membro</w:t>
      </w:r>
      <w:r w:rsidR="00EB38EE" w:rsidRPr="00EB38EE">
        <w:t>;</w:t>
      </w:r>
      <w:r w:rsidR="00064382">
        <w:t xml:space="preserve"> TJUE;</w:t>
      </w:r>
      <w:r w:rsidR="00EB38EE" w:rsidRPr="00EB38EE">
        <w:t xml:space="preserve"> União Europeia.</w:t>
      </w:r>
    </w:p>
    <w:p w14:paraId="562416DD" w14:textId="77777777" w:rsidR="00EB38EE" w:rsidRDefault="00EB38EE"/>
    <w:p w14:paraId="31F7E9C6" w14:textId="77777777" w:rsidR="002A031E" w:rsidRPr="00E4192F" w:rsidRDefault="002A031E" w:rsidP="002A031E">
      <w:pPr>
        <w:spacing w:line="360" w:lineRule="auto"/>
        <w:jc w:val="both"/>
        <w:rPr>
          <w:b/>
          <w:bCs/>
        </w:rPr>
      </w:pPr>
      <w:r w:rsidRPr="00F252BB">
        <w:rPr>
          <w:b/>
          <w:bCs/>
        </w:rPr>
        <w:t>Referências breves</w:t>
      </w:r>
    </w:p>
    <w:p w14:paraId="18ED026D" w14:textId="7224B87F" w:rsidR="009C6DE6" w:rsidRPr="009C6DE6" w:rsidRDefault="009C6DE6" w:rsidP="000836D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C6DE6">
        <w:rPr>
          <w:rFonts w:ascii="Times New Roman" w:hAnsi="Times New Roman" w:cs="Times New Roman"/>
          <w:sz w:val="20"/>
          <w:szCs w:val="20"/>
        </w:rPr>
        <w:t xml:space="preserve">ABREU, Joana Covelo de. </w:t>
      </w:r>
      <w:r w:rsidRPr="009C6DE6">
        <w:rPr>
          <w:rFonts w:ascii="Times New Roman" w:hAnsi="Times New Roman" w:cs="Times New Roman"/>
          <w:i/>
          <w:iCs/>
          <w:sz w:val="20"/>
          <w:szCs w:val="20"/>
          <w:lang w:eastAsia="x-none"/>
        </w:rPr>
        <w:t>Inconstitucionalidade por Omissão e Ação por Incumprimento - A Inércia do Legislador e suas Consequências</w:t>
      </w:r>
      <w:r w:rsidRPr="009C6DE6">
        <w:rPr>
          <w:rFonts w:ascii="Times New Roman" w:hAnsi="Times New Roman" w:cs="Times New Roman"/>
          <w:sz w:val="20"/>
          <w:szCs w:val="20"/>
        </w:rPr>
        <w:t xml:space="preserve">. Editora Juruá, 2011. ISBN 8536234557.  </w:t>
      </w:r>
    </w:p>
    <w:p w14:paraId="2476040B" w14:textId="77777777" w:rsidR="009C6DE6" w:rsidRDefault="009C6DE6" w:rsidP="000836D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28AB9B8B" w14:textId="119EECBE" w:rsidR="002A031E" w:rsidRDefault="000836D9" w:rsidP="000836D9">
      <w:pPr>
        <w:spacing w:after="0" w:line="240" w:lineRule="auto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0836D9">
        <w:rPr>
          <w:rFonts w:ascii="Times New Roman" w:hAnsi="Times New Roman" w:cs="Times New Roman"/>
          <w:sz w:val="20"/>
          <w:szCs w:val="20"/>
        </w:rPr>
        <w:t>ALVES, Dora Resende.</w:t>
      </w:r>
      <w:r w:rsidRPr="000836D9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r w:rsidRPr="0080052C">
        <w:rPr>
          <w:rFonts w:ascii="Times New Roman" w:hAnsi="Times New Roman" w:cs="Times New Roman"/>
          <w:i/>
          <w:iCs/>
          <w:sz w:val="20"/>
          <w:szCs w:val="20"/>
        </w:rPr>
        <w:t>Apontamentos (incompletos) de Contencioso da União Europeia</w:t>
      </w:r>
      <w:r w:rsidRPr="000836D9">
        <w:rPr>
          <w:rFonts w:ascii="Times New Roman" w:hAnsi="Times New Roman" w:cs="Times New Roman"/>
          <w:iCs/>
          <w:sz w:val="20"/>
          <w:szCs w:val="20"/>
        </w:rPr>
        <w:t xml:space="preserve">. Centro de Cópias da Universidade Portucalense, policopiado. Versão de 2017, renovada em </w:t>
      </w:r>
      <w:proofErr w:type="gramStart"/>
      <w:r w:rsidRPr="000836D9">
        <w:rPr>
          <w:rFonts w:ascii="Times New Roman" w:hAnsi="Times New Roman" w:cs="Times New Roman"/>
          <w:iCs/>
          <w:sz w:val="20"/>
          <w:szCs w:val="20"/>
        </w:rPr>
        <w:t>Ma</w:t>
      </w:r>
      <w:r w:rsidR="00967E50">
        <w:rPr>
          <w:rFonts w:ascii="Times New Roman" w:hAnsi="Times New Roman" w:cs="Times New Roman"/>
          <w:iCs/>
          <w:sz w:val="20"/>
          <w:szCs w:val="20"/>
        </w:rPr>
        <w:t>rç</w:t>
      </w:r>
      <w:r w:rsidRPr="000836D9">
        <w:rPr>
          <w:rFonts w:ascii="Times New Roman" w:hAnsi="Times New Roman" w:cs="Times New Roman"/>
          <w:iCs/>
          <w:sz w:val="20"/>
          <w:szCs w:val="20"/>
        </w:rPr>
        <w:t>o</w:t>
      </w:r>
      <w:proofErr w:type="gramEnd"/>
      <w:r w:rsidRPr="000836D9">
        <w:rPr>
          <w:rFonts w:ascii="Times New Roman" w:hAnsi="Times New Roman" w:cs="Times New Roman"/>
          <w:iCs/>
          <w:sz w:val="20"/>
          <w:szCs w:val="20"/>
        </w:rPr>
        <w:t xml:space="preserve"> de 202</w:t>
      </w:r>
      <w:r w:rsidR="00967E50">
        <w:rPr>
          <w:rFonts w:ascii="Times New Roman" w:hAnsi="Times New Roman" w:cs="Times New Roman"/>
          <w:iCs/>
          <w:sz w:val="20"/>
          <w:szCs w:val="20"/>
        </w:rPr>
        <w:t>6</w:t>
      </w:r>
      <w:r w:rsidRPr="000836D9">
        <w:rPr>
          <w:rFonts w:ascii="Times New Roman" w:hAnsi="Times New Roman" w:cs="Times New Roman"/>
          <w:iCs/>
          <w:sz w:val="20"/>
          <w:szCs w:val="20"/>
        </w:rPr>
        <w:t>.</w:t>
      </w:r>
    </w:p>
    <w:p w14:paraId="6F0BF1DF" w14:textId="77777777" w:rsidR="000836D9" w:rsidRPr="000836D9" w:rsidRDefault="000836D9" w:rsidP="000836D9">
      <w:pPr>
        <w:spacing w:after="0" w:line="240" w:lineRule="auto"/>
        <w:jc w:val="both"/>
        <w:rPr>
          <w:rFonts w:ascii="Times New Roman" w:hAnsi="Times New Roman" w:cs="Times New Roman"/>
          <w:iCs/>
          <w:sz w:val="20"/>
          <w:szCs w:val="20"/>
        </w:rPr>
      </w:pPr>
    </w:p>
    <w:p w14:paraId="20313C7F" w14:textId="77777777" w:rsidR="000836D9" w:rsidRPr="000836D9" w:rsidRDefault="000836D9" w:rsidP="000836D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836D9">
        <w:rPr>
          <w:rFonts w:ascii="Times New Roman" w:hAnsi="Times New Roman" w:cs="Times New Roman"/>
          <w:sz w:val="20"/>
          <w:szCs w:val="20"/>
        </w:rPr>
        <w:t xml:space="preserve">MESQUITA, Maria José Rangel. </w:t>
      </w:r>
      <w:bookmarkStart w:id="2" w:name="_Hlk202708384"/>
      <w:r w:rsidRPr="000836D9">
        <w:rPr>
          <w:rFonts w:ascii="Times New Roman" w:hAnsi="Times New Roman" w:cs="Times New Roman"/>
          <w:i/>
          <w:sz w:val="20"/>
          <w:szCs w:val="20"/>
        </w:rPr>
        <w:t>Introdução ao Contencioso da União Europeia</w:t>
      </w:r>
      <w:r w:rsidRPr="000836D9">
        <w:rPr>
          <w:rFonts w:ascii="Times New Roman" w:hAnsi="Times New Roman" w:cs="Times New Roman"/>
          <w:sz w:val="20"/>
          <w:szCs w:val="20"/>
        </w:rPr>
        <w:t>. 4.ª ed. Almedina, 2022.</w:t>
      </w:r>
      <w:bookmarkEnd w:id="2"/>
    </w:p>
    <w:p w14:paraId="613E36B4" w14:textId="77777777" w:rsidR="006B474A" w:rsidRPr="006B474A" w:rsidRDefault="006B474A" w:rsidP="006B474A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6B474A">
        <w:rPr>
          <w:rFonts w:ascii="Times New Roman" w:hAnsi="Times New Roman" w:cs="Times New Roman"/>
          <w:sz w:val="20"/>
          <w:szCs w:val="20"/>
        </w:rPr>
        <w:t xml:space="preserve">NEVES, Inês. </w:t>
      </w:r>
      <w:r w:rsidRPr="006B474A">
        <w:rPr>
          <w:rFonts w:ascii="Times New Roman" w:hAnsi="Times New Roman" w:cs="Times New Roman"/>
          <w:i/>
          <w:iCs/>
          <w:sz w:val="20"/>
          <w:szCs w:val="20"/>
          <w:lang w:val="pt-BR"/>
        </w:rPr>
        <w:t>O recurso de anulação no contencioso de legalidade da União Europeia</w:t>
      </w:r>
      <w:r w:rsidRPr="006B474A">
        <w:rPr>
          <w:rFonts w:ascii="Times New Roman" w:hAnsi="Times New Roman" w:cs="Times New Roman"/>
          <w:sz w:val="20"/>
          <w:szCs w:val="20"/>
          <w:lang w:val="es-ES"/>
        </w:rPr>
        <w:t xml:space="preserve">. </w:t>
      </w:r>
      <w:proofErr w:type="spellStart"/>
      <w:r w:rsidRPr="006B474A">
        <w:rPr>
          <w:rFonts w:ascii="Times New Roman" w:hAnsi="Times New Roman" w:cs="Times New Roman"/>
          <w:sz w:val="20"/>
          <w:szCs w:val="20"/>
          <w:lang w:val="es-ES"/>
        </w:rPr>
        <w:t>Ordem</w:t>
      </w:r>
      <w:proofErr w:type="spellEnd"/>
      <w:r w:rsidRPr="006B474A">
        <w:rPr>
          <w:rFonts w:ascii="Times New Roman" w:hAnsi="Times New Roman" w:cs="Times New Roman"/>
          <w:sz w:val="20"/>
          <w:szCs w:val="20"/>
          <w:lang w:val="es-ES"/>
        </w:rPr>
        <w:t xml:space="preserve"> dos </w:t>
      </w:r>
      <w:proofErr w:type="spellStart"/>
      <w:r w:rsidRPr="006B474A">
        <w:rPr>
          <w:rFonts w:ascii="Times New Roman" w:hAnsi="Times New Roman" w:cs="Times New Roman"/>
          <w:sz w:val="20"/>
          <w:szCs w:val="20"/>
          <w:lang w:val="es-ES"/>
        </w:rPr>
        <w:t>Advogados</w:t>
      </w:r>
      <w:proofErr w:type="spellEnd"/>
      <w:r w:rsidRPr="006B474A">
        <w:rPr>
          <w:rFonts w:ascii="Times New Roman" w:hAnsi="Times New Roman" w:cs="Times New Roman"/>
          <w:sz w:val="20"/>
          <w:szCs w:val="20"/>
          <w:lang w:val="es-ES"/>
        </w:rPr>
        <w:t xml:space="preserve"> portuguesa, 2024.  </w:t>
      </w:r>
      <w:r w:rsidRPr="006B474A">
        <w:rPr>
          <w:rFonts w:ascii="Times New Roman" w:hAnsi="Times New Roman" w:cs="Times New Roman"/>
          <w:sz w:val="20"/>
          <w:szCs w:val="20"/>
        </w:rPr>
        <w:t>Disponível em:</w:t>
      </w:r>
      <w:r w:rsidRPr="006B474A">
        <w:rPr>
          <w:rFonts w:ascii="Times New Roman" w:hAnsi="Times New Roman" w:cs="Times New Roman"/>
          <w:sz w:val="20"/>
          <w:szCs w:val="20"/>
          <w:lang w:val="es-ES"/>
        </w:rPr>
        <w:t xml:space="preserve"> </w:t>
      </w:r>
      <w:hyperlink r:id="rId8" w:history="1">
        <w:r w:rsidRPr="006B474A">
          <w:rPr>
            <w:rStyle w:val="Hiperligao"/>
            <w:rFonts w:ascii="Times New Roman" w:hAnsi="Times New Roman" w:cs="Times New Roman"/>
            <w:sz w:val="20"/>
            <w:szCs w:val="20"/>
            <w:lang w:val="pt-BR"/>
          </w:rPr>
          <w:t>https://crlisboa.org/wp/video/video-o-recurso-de-anulacao-no-contencioso-de-legalidade-da-uniao-europeia/</w:t>
        </w:r>
      </w:hyperlink>
      <w:r w:rsidRPr="006B474A">
        <w:rPr>
          <w:rFonts w:ascii="Times New Roman" w:hAnsi="Times New Roman" w:cs="Times New Roman"/>
          <w:sz w:val="20"/>
          <w:szCs w:val="20"/>
          <w:lang w:val="es-ES"/>
        </w:rPr>
        <w:t xml:space="preserve">. </w:t>
      </w:r>
      <w:proofErr w:type="spellStart"/>
      <w:r w:rsidRPr="006B474A">
        <w:rPr>
          <w:rFonts w:ascii="Times New Roman" w:hAnsi="Times New Roman" w:cs="Times New Roman"/>
          <w:sz w:val="20"/>
          <w:szCs w:val="20"/>
          <w:lang w:val="es-ES"/>
        </w:rPr>
        <w:t>Acesso</w:t>
      </w:r>
      <w:proofErr w:type="spellEnd"/>
      <w:r w:rsidRPr="006B474A">
        <w:rPr>
          <w:rFonts w:ascii="Times New Roman" w:hAnsi="Times New Roman" w:cs="Times New Roman"/>
          <w:sz w:val="20"/>
          <w:szCs w:val="20"/>
          <w:lang w:val="es-ES"/>
        </w:rPr>
        <w:t xml:space="preserve"> em 02 Mai 2024. </w:t>
      </w:r>
    </w:p>
    <w:p w14:paraId="04055BA5" w14:textId="77777777" w:rsidR="000836D9" w:rsidRDefault="000836D9" w:rsidP="002A031E">
      <w:pPr>
        <w:spacing w:line="240" w:lineRule="auto"/>
        <w:jc w:val="both"/>
      </w:pPr>
    </w:p>
    <w:p w14:paraId="2E184EA2" w14:textId="11670BA4" w:rsidR="00B50CAC" w:rsidRPr="00E17283" w:rsidRDefault="002A031E" w:rsidP="00E17283">
      <w:pPr>
        <w:spacing w:line="360" w:lineRule="auto"/>
        <w:jc w:val="both"/>
        <w:rPr>
          <w:b/>
          <w:bCs/>
        </w:rPr>
      </w:pPr>
      <w:r w:rsidRPr="00F252BB">
        <w:rPr>
          <w:b/>
          <w:bCs/>
        </w:rPr>
        <w:t>Documentação</w:t>
      </w:r>
    </w:p>
    <w:p w14:paraId="39EE48BB" w14:textId="2604337B" w:rsidR="00AB2EC3" w:rsidRDefault="00AB2EC3" w:rsidP="008132C3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07EC1">
        <w:rPr>
          <w:rFonts w:ascii="Times New Roman" w:hAnsi="Times New Roman" w:cs="Times New Roman"/>
          <w:sz w:val="20"/>
          <w:szCs w:val="20"/>
        </w:rPr>
        <w:t>TRIBUNAL DE JUSTIÇA DA UNIÃO EUROPEIA. </w:t>
      </w:r>
      <w:r>
        <w:rPr>
          <w:rFonts w:ascii="Times New Roman" w:hAnsi="Times New Roman" w:cs="Times New Roman"/>
          <w:sz w:val="20"/>
          <w:szCs w:val="20"/>
        </w:rPr>
        <w:t>C</w:t>
      </w:r>
      <w:r w:rsidRPr="00AB2EC3">
        <w:rPr>
          <w:rFonts w:ascii="Times New Roman" w:hAnsi="Times New Roman" w:cs="Times New Roman"/>
          <w:sz w:val="20"/>
          <w:szCs w:val="20"/>
        </w:rPr>
        <w:t xml:space="preserve">omunicado de imprensa n.º 157/25 </w:t>
      </w:r>
      <w:r>
        <w:rPr>
          <w:rFonts w:ascii="Times New Roman" w:hAnsi="Times New Roman" w:cs="Times New Roman"/>
          <w:sz w:val="20"/>
          <w:szCs w:val="20"/>
        </w:rPr>
        <w:t>de</w:t>
      </w:r>
      <w:r w:rsidRPr="00AB2EC3">
        <w:rPr>
          <w:rFonts w:ascii="Times New Roman" w:hAnsi="Times New Roman" w:cs="Times New Roman"/>
          <w:sz w:val="20"/>
          <w:szCs w:val="20"/>
        </w:rPr>
        <w:t xml:space="preserve"> 18 de dezembro de 2025</w:t>
      </w:r>
      <w:r>
        <w:rPr>
          <w:rFonts w:ascii="Times New Roman" w:hAnsi="Times New Roman" w:cs="Times New Roman"/>
          <w:sz w:val="20"/>
          <w:szCs w:val="20"/>
        </w:rPr>
        <w:t>.</w:t>
      </w:r>
      <w:r w:rsidRPr="00AB2EC3">
        <w:rPr>
          <w:rFonts w:ascii="Times New Roman" w:hAnsi="Times New Roman" w:cs="Times New Roman"/>
          <w:sz w:val="20"/>
          <w:szCs w:val="20"/>
        </w:rPr>
        <w:t xml:space="preserve"> Acórdão do Tribunal de Justiça no processo C-448/23 | Comissão/Polónia (Fiscalização </w:t>
      </w:r>
      <w:r w:rsidRPr="00AB2EC3">
        <w:rPr>
          <w:rFonts w:ascii="Times New Roman" w:hAnsi="Times New Roman" w:cs="Times New Roman"/>
          <w:i/>
          <w:iCs/>
          <w:sz w:val="20"/>
          <w:szCs w:val="20"/>
        </w:rPr>
        <w:t>ultra vires</w:t>
      </w:r>
      <w:r w:rsidRPr="00AB2EC3">
        <w:rPr>
          <w:rFonts w:ascii="Times New Roman" w:hAnsi="Times New Roman" w:cs="Times New Roman"/>
          <w:sz w:val="20"/>
          <w:szCs w:val="20"/>
        </w:rPr>
        <w:t xml:space="preserve"> da jurisprudência do Tribunal de Justiça – Primado do Direito da União)</w:t>
      </w:r>
      <w:r>
        <w:rPr>
          <w:rFonts w:ascii="Times New Roman" w:hAnsi="Times New Roman" w:cs="Times New Roman"/>
          <w:sz w:val="20"/>
          <w:szCs w:val="20"/>
        </w:rPr>
        <w:t xml:space="preserve">. Em </w:t>
      </w:r>
      <w:hyperlink r:id="rId9" w:history="1">
        <w:r w:rsidRPr="000E3234">
          <w:rPr>
            <w:rStyle w:val="Hiperligao"/>
            <w:rFonts w:ascii="Times New Roman" w:hAnsi="Times New Roman" w:cs="Times New Roman"/>
            <w:sz w:val="20"/>
            <w:szCs w:val="20"/>
          </w:rPr>
          <w:t>https://curia.europa.eu/site/upload/docs/application/pdf/2025-12/cp250157pt.pdf</w:t>
        </w:r>
      </w:hyperlink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14:paraId="26064F03" w14:textId="77777777" w:rsidR="00AB2EC3" w:rsidRDefault="00AB2EC3" w:rsidP="008132C3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53C5A1B6" w14:textId="3A1104B4" w:rsidR="008132C3" w:rsidRDefault="008132C3" w:rsidP="008132C3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07EC1">
        <w:rPr>
          <w:rFonts w:ascii="Times New Roman" w:hAnsi="Times New Roman" w:cs="Times New Roman"/>
          <w:sz w:val="20"/>
          <w:szCs w:val="20"/>
        </w:rPr>
        <w:t>TRIBUNAL DE JUSTIÇA DA UNIÃO EUROPEIA. </w:t>
      </w:r>
      <w:r w:rsidRPr="00207EC1">
        <w:rPr>
          <w:rFonts w:ascii="Times New Roman" w:hAnsi="Times New Roman" w:cs="Times New Roman"/>
          <w:i/>
          <w:iCs/>
          <w:sz w:val="20"/>
          <w:szCs w:val="20"/>
        </w:rPr>
        <w:t>Relatório anual 2024: panorama do ano</w:t>
      </w:r>
      <w:r w:rsidRPr="00207EC1">
        <w:rPr>
          <w:rFonts w:ascii="Times New Roman" w:hAnsi="Times New Roman" w:cs="Times New Roman"/>
          <w:sz w:val="20"/>
          <w:szCs w:val="20"/>
        </w:rPr>
        <w:t>. Serviço das Publicações da União Europeia, 2025. </w:t>
      </w:r>
      <w:hyperlink r:id="rId10" w:tgtFrame="_blank" w:history="1">
        <w:r w:rsidRPr="00207EC1">
          <w:rPr>
            <w:rStyle w:val="Hiperligao"/>
            <w:rFonts w:ascii="Times New Roman" w:hAnsi="Times New Roman" w:cs="Times New Roman"/>
            <w:sz w:val="20"/>
            <w:szCs w:val="20"/>
          </w:rPr>
          <w:t>https://data.europa.eu/doi/10.2862/0510611</w:t>
        </w:r>
      </w:hyperlink>
    </w:p>
    <w:p w14:paraId="696032DA" w14:textId="77777777" w:rsidR="008132C3" w:rsidRDefault="008132C3" w:rsidP="008132C3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50AEE56D" w14:textId="726AEB67" w:rsidR="008132C3" w:rsidRPr="00207EC1" w:rsidRDefault="00B56A25" w:rsidP="008132C3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07EC1">
        <w:rPr>
          <w:rFonts w:ascii="Times New Roman" w:hAnsi="Times New Roman" w:cs="Times New Roman"/>
          <w:sz w:val="20"/>
          <w:szCs w:val="20"/>
        </w:rPr>
        <w:t xml:space="preserve">TRIBUNAL DE JUSTIÇA DA UNIÃO EUROPEIA. </w:t>
      </w:r>
      <w:r w:rsidRPr="00207EC1">
        <w:rPr>
          <w:rFonts w:ascii="Times New Roman" w:hAnsi="Times New Roman" w:cs="Times New Roman"/>
          <w:i/>
          <w:iCs/>
          <w:sz w:val="20"/>
          <w:szCs w:val="20"/>
        </w:rPr>
        <w:t>Relatório anual 2024 Estatísticas judiciárias do Tribunal de Justiça</w:t>
      </w:r>
      <w:r w:rsidRPr="00207EC1">
        <w:rPr>
          <w:rFonts w:ascii="Times New Roman" w:hAnsi="Times New Roman" w:cs="Times New Roman"/>
          <w:sz w:val="20"/>
          <w:szCs w:val="20"/>
        </w:rPr>
        <w:t xml:space="preserve">. União Europeia, 2025. Disponível em:  </w:t>
      </w:r>
      <w:hyperlink r:id="rId11" w:history="1">
        <w:r w:rsidRPr="00207EC1">
          <w:rPr>
            <w:rStyle w:val="Hiperligao"/>
            <w:rFonts w:ascii="Times New Roman" w:hAnsi="Times New Roman" w:cs="Times New Roman"/>
            <w:sz w:val="20"/>
            <w:szCs w:val="20"/>
          </w:rPr>
          <w:t>https://curia.europa.eu/jcms/jcms/Jo2_7032/pt/</w:t>
        </w:r>
      </w:hyperlink>
    </w:p>
    <w:p w14:paraId="3CE9BCE0" w14:textId="77777777" w:rsidR="002A031E" w:rsidRPr="00CD2CEE" w:rsidRDefault="002A031E" w:rsidP="002A031E">
      <w:pPr>
        <w:ind w:right="-1135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3EDD570E" w14:textId="3EE7D9E4" w:rsidR="00A82D3A" w:rsidRDefault="00A82D3A" w:rsidP="002A031E">
      <w:pPr>
        <w:ind w:right="-1135"/>
        <w:jc w:val="both"/>
        <w:rPr>
          <w:b/>
          <w:bCs/>
        </w:rPr>
      </w:pPr>
      <w:r>
        <w:rPr>
          <w:b/>
          <w:bCs/>
        </w:rPr>
        <w:t>Acessos conexos</w:t>
      </w:r>
    </w:p>
    <w:p w14:paraId="271A5911" w14:textId="1D413CA3" w:rsidR="00A82D3A" w:rsidRPr="00B56A25" w:rsidRDefault="0093730E" w:rsidP="002A031E">
      <w:pPr>
        <w:ind w:right="-1135"/>
        <w:jc w:val="both"/>
        <w:rPr>
          <w:rFonts w:ascii="Times New Roman" w:hAnsi="Times New Roman" w:cs="Times New Roman"/>
          <w:sz w:val="20"/>
          <w:szCs w:val="20"/>
        </w:rPr>
      </w:pPr>
      <w:hyperlink r:id="rId12" w:history="1">
        <w:r w:rsidR="00B56A25" w:rsidRPr="00B56A25">
          <w:rPr>
            <w:rStyle w:val="Hiperligao"/>
            <w:rFonts w:ascii="Times New Roman" w:hAnsi="Times New Roman" w:cs="Times New Roman"/>
            <w:sz w:val="20"/>
            <w:szCs w:val="20"/>
          </w:rPr>
          <w:t>https://curia.europa.eu/site/jcms/d2_5085/pt/main-navigation</w:t>
        </w:r>
      </w:hyperlink>
      <w:r w:rsidR="00B56A25" w:rsidRPr="00B56A25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25C4AF8E" w14:textId="338D27B1" w:rsidR="00B56A25" w:rsidRPr="00B56A25" w:rsidRDefault="0093730E" w:rsidP="002A031E">
      <w:pPr>
        <w:ind w:right="-1135"/>
        <w:jc w:val="both"/>
        <w:rPr>
          <w:rFonts w:ascii="Times New Roman" w:hAnsi="Times New Roman" w:cs="Times New Roman"/>
          <w:sz w:val="20"/>
          <w:szCs w:val="20"/>
        </w:rPr>
      </w:pPr>
      <w:hyperlink r:id="rId13" w:history="1">
        <w:r w:rsidR="00B56A25" w:rsidRPr="00B56A25">
          <w:rPr>
            <w:rStyle w:val="Hiperligao"/>
            <w:rFonts w:ascii="Times New Roman" w:hAnsi="Times New Roman" w:cs="Times New Roman"/>
            <w:sz w:val="20"/>
            <w:szCs w:val="20"/>
          </w:rPr>
          <w:t>https://eur-lex.europa.eu/PT/legal-content/glossary/actions-for-failure-to-fulfil-an-obligation.html</w:t>
        </w:r>
      </w:hyperlink>
    </w:p>
    <w:p w14:paraId="43E7C9D2" w14:textId="41502856" w:rsidR="00B56A25" w:rsidRPr="00B56A25" w:rsidRDefault="0093730E" w:rsidP="002A031E">
      <w:pPr>
        <w:ind w:right="-1135"/>
        <w:jc w:val="both"/>
        <w:rPr>
          <w:rFonts w:ascii="Times New Roman" w:hAnsi="Times New Roman" w:cs="Times New Roman"/>
          <w:sz w:val="20"/>
          <w:szCs w:val="20"/>
        </w:rPr>
      </w:pPr>
      <w:hyperlink r:id="rId14" w:history="1">
        <w:r w:rsidR="00B56A25" w:rsidRPr="00B56A25">
          <w:rPr>
            <w:rStyle w:val="Hiperligao"/>
            <w:rFonts w:ascii="Times New Roman" w:hAnsi="Times New Roman" w:cs="Times New Roman"/>
            <w:sz w:val="20"/>
            <w:szCs w:val="20"/>
          </w:rPr>
          <w:t>https://www.europarl.europa.eu/factsheets/pt/sheet/12/competences-of-the-court-of-justice-of-the-european-union</w:t>
        </w:r>
      </w:hyperlink>
      <w:r w:rsidR="00B56A25" w:rsidRPr="00B56A25">
        <w:rPr>
          <w:rFonts w:ascii="Times New Roman" w:hAnsi="Times New Roman" w:cs="Times New Roman"/>
          <w:sz w:val="20"/>
          <w:szCs w:val="20"/>
        </w:rPr>
        <w:t xml:space="preserve">) </w:t>
      </w:r>
    </w:p>
    <w:p w14:paraId="18F8BAC1" w14:textId="77777777" w:rsidR="00B56A25" w:rsidRDefault="00B56A25" w:rsidP="002A031E">
      <w:pPr>
        <w:ind w:right="-1135"/>
        <w:jc w:val="both"/>
        <w:rPr>
          <w:b/>
          <w:bCs/>
        </w:rPr>
      </w:pPr>
    </w:p>
    <w:p w14:paraId="03B1E6D9" w14:textId="41AECF1B" w:rsidR="002A031E" w:rsidRPr="00C33E06" w:rsidRDefault="002A031E" w:rsidP="00C33E06">
      <w:pPr>
        <w:ind w:right="-1135"/>
        <w:jc w:val="both"/>
        <w:rPr>
          <w:b/>
          <w:bCs/>
        </w:rPr>
      </w:pPr>
      <w:r>
        <w:rPr>
          <w:b/>
          <w:bCs/>
        </w:rPr>
        <w:t>Breve nota académica da autora</w:t>
      </w:r>
    </w:p>
    <w:p w14:paraId="5AF1D5E4" w14:textId="77777777" w:rsidR="002A031E" w:rsidRPr="00997EDE" w:rsidRDefault="002A031E" w:rsidP="002A031E">
      <w:pPr>
        <w:rPr>
          <w:rFonts w:ascii="Times New Roman" w:hAnsi="Times New Roman" w:cs="Times New Roman"/>
          <w:b/>
          <w:bCs/>
          <w:noProof/>
          <w:sz w:val="20"/>
          <w:szCs w:val="20"/>
          <w:u w:val="single"/>
        </w:rPr>
      </w:pPr>
      <w:r w:rsidRPr="00997EDE">
        <w:rPr>
          <w:rFonts w:ascii="Times New Roman" w:hAnsi="Times New Roman" w:cs="Times New Roman"/>
          <w:b/>
          <w:bCs/>
          <w:noProof/>
          <w:sz w:val="20"/>
          <w:szCs w:val="20"/>
          <w:u w:val="single"/>
        </w:rPr>
        <w:t>DORA RESENDE ALVES</w:t>
      </w:r>
    </w:p>
    <w:p w14:paraId="0AA77B7A" w14:textId="77777777" w:rsidR="002A031E" w:rsidRPr="00997EDE" w:rsidRDefault="002A031E" w:rsidP="002A031E">
      <w:pPr>
        <w:spacing w:after="0" w:line="240" w:lineRule="auto"/>
        <w:jc w:val="both"/>
        <w:rPr>
          <w:sz w:val="20"/>
          <w:szCs w:val="20"/>
        </w:rPr>
      </w:pPr>
      <w:bookmarkStart w:id="3" w:name="_Hlk45608775"/>
      <w:r w:rsidRPr="00997EDE">
        <w:rPr>
          <w:sz w:val="20"/>
          <w:szCs w:val="20"/>
        </w:rPr>
        <w:t xml:space="preserve">Professora Associada do Departamento de Direito da Universidade Portucalense (UPT), com experiência em unidades curriculares no domínio do Direito da União Europeia, Direito Constitucional e da História do Direito, lecionando desde 1993. </w:t>
      </w:r>
      <w:proofErr w:type="gramStart"/>
      <w:r w:rsidRPr="00997EDE">
        <w:rPr>
          <w:sz w:val="20"/>
          <w:szCs w:val="20"/>
        </w:rPr>
        <w:t xml:space="preserve">Doutora pela </w:t>
      </w:r>
      <w:proofErr w:type="spellStart"/>
      <w:r w:rsidRPr="00997EDE">
        <w:rPr>
          <w:sz w:val="20"/>
          <w:szCs w:val="20"/>
        </w:rPr>
        <w:t>Universidad</w:t>
      </w:r>
      <w:proofErr w:type="spellEnd"/>
      <w:r w:rsidRPr="00997EDE">
        <w:rPr>
          <w:sz w:val="20"/>
          <w:szCs w:val="20"/>
        </w:rPr>
        <w:t xml:space="preserve"> de Vigo (Espanha)</w:t>
      </w:r>
      <w:proofErr w:type="gramEnd"/>
      <w:r w:rsidRPr="00997EDE">
        <w:rPr>
          <w:sz w:val="20"/>
          <w:szCs w:val="20"/>
        </w:rPr>
        <w:t xml:space="preserve"> com tese sobre tema do direito da concorrência da União Europeia e Mestre em Direito, área de Integração Europeia, pela Faculdade de Direito da Universidade de Coimbra. Autora de livros e artigos científicos. Orientadora de teses e dissertações. Revisora de revistas científicas. Investigadora como membro integrado do Instituto Jurídico Portucalense, na linha de investigação </w:t>
      </w:r>
      <w:proofErr w:type="spellStart"/>
      <w:r w:rsidRPr="00997EDE">
        <w:rPr>
          <w:i/>
          <w:iCs/>
          <w:sz w:val="20"/>
          <w:szCs w:val="20"/>
        </w:rPr>
        <w:t>Política</w:t>
      </w:r>
      <w:proofErr w:type="spellEnd"/>
      <w:r w:rsidRPr="00997EDE">
        <w:rPr>
          <w:i/>
          <w:iCs/>
          <w:sz w:val="20"/>
          <w:szCs w:val="20"/>
        </w:rPr>
        <w:t xml:space="preserve"> e </w:t>
      </w:r>
      <w:proofErr w:type="spellStart"/>
      <w:r w:rsidRPr="00997EDE">
        <w:rPr>
          <w:i/>
          <w:iCs/>
          <w:sz w:val="20"/>
          <w:szCs w:val="20"/>
        </w:rPr>
        <w:t>Governança</w:t>
      </w:r>
      <w:proofErr w:type="spellEnd"/>
      <w:r w:rsidRPr="00997EDE">
        <w:rPr>
          <w:i/>
          <w:iCs/>
          <w:sz w:val="20"/>
          <w:szCs w:val="20"/>
        </w:rPr>
        <w:t xml:space="preserve"> Internacional</w:t>
      </w:r>
      <w:r w:rsidRPr="00997EDE">
        <w:rPr>
          <w:sz w:val="20"/>
          <w:szCs w:val="20"/>
        </w:rPr>
        <w:t>, Centro de Investigação da Universidade Portucalense. Editora-adjunta da Revista Jurídica Portucalense.</w:t>
      </w:r>
      <w:bookmarkEnd w:id="3"/>
      <w:r w:rsidRPr="00997EDE">
        <w:rPr>
          <w:sz w:val="20"/>
          <w:szCs w:val="20"/>
        </w:rPr>
        <w:t xml:space="preserve"> </w:t>
      </w:r>
    </w:p>
    <w:p w14:paraId="56389D28" w14:textId="77777777" w:rsidR="002A031E" w:rsidRPr="00654315" w:rsidRDefault="002A031E" w:rsidP="002A031E">
      <w:pPr>
        <w:adjustRightInd w:val="0"/>
        <w:spacing w:after="0" w:line="240" w:lineRule="auto"/>
        <w:jc w:val="right"/>
        <w:rPr>
          <w:rStyle w:val="Hiperligao"/>
          <w:sz w:val="16"/>
          <w:szCs w:val="16"/>
        </w:rPr>
      </w:pPr>
      <w:r w:rsidRPr="00654315">
        <w:rPr>
          <w:sz w:val="16"/>
          <w:szCs w:val="16"/>
        </w:rPr>
        <w:t xml:space="preserve">ORCID – </w:t>
      </w:r>
      <w:r w:rsidRPr="0093730E">
        <w:rPr>
          <w:color w:val="1F497D"/>
          <w:sz w:val="16"/>
          <w:szCs w:val="16"/>
        </w:rPr>
        <w:t xml:space="preserve">0000-0003-4720-1400 </w:t>
      </w:r>
      <w:r w:rsidRPr="00654315">
        <w:rPr>
          <w:sz w:val="16"/>
          <w:szCs w:val="16"/>
        </w:rPr>
        <w:t xml:space="preserve"> </w:t>
      </w:r>
      <w:hyperlink r:id="rId15" w:tgtFrame="_blank" w:tooltip="Go to my personal page at http://orcid.org/" w:history="1">
        <w:r w:rsidRPr="00654315">
          <w:rPr>
            <w:rStyle w:val="Hiperligao"/>
            <w:rFonts w:cs="Arial"/>
            <w:sz w:val="16"/>
            <w:szCs w:val="16"/>
            <w:shd w:val="clear" w:color="auto" w:fill="FFFFFF"/>
          </w:rPr>
          <w:t>http://orcid.org/0000-0003-4720-1400</w:t>
        </w:r>
      </w:hyperlink>
    </w:p>
    <w:p w14:paraId="54F1FD51" w14:textId="77777777" w:rsidR="002A031E" w:rsidRDefault="002A031E" w:rsidP="002A031E">
      <w:pPr>
        <w:jc w:val="right"/>
        <w:rPr>
          <w:color w:val="000000"/>
          <w:sz w:val="16"/>
          <w:szCs w:val="16"/>
        </w:rPr>
      </w:pPr>
      <w:r w:rsidRPr="00654315">
        <w:rPr>
          <w:rStyle w:val="Hiperligao"/>
          <w:rFonts w:cs="Arial"/>
          <w:sz w:val="16"/>
          <w:szCs w:val="16"/>
          <w:shd w:val="clear" w:color="auto" w:fill="FFFFFF"/>
        </w:rPr>
        <w:t xml:space="preserve">Ciência Vitae - </w:t>
      </w:r>
      <w:hyperlink r:id="rId16" w:history="1">
        <w:r w:rsidRPr="00654315">
          <w:rPr>
            <w:rStyle w:val="Hiperligao"/>
            <w:sz w:val="16"/>
            <w:szCs w:val="16"/>
          </w:rPr>
          <w:t>http://www.cienciavitae.pt//CA1A-FE14-5CC1</w:t>
        </w:r>
      </w:hyperlink>
      <w:r w:rsidRPr="00654315">
        <w:rPr>
          <w:color w:val="000000"/>
          <w:sz w:val="16"/>
          <w:szCs w:val="16"/>
        </w:rPr>
        <w:t> </w:t>
      </w:r>
    </w:p>
    <w:p w14:paraId="628FFAF1" w14:textId="306521BC" w:rsidR="002A031E" w:rsidRDefault="002A031E" w:rsidP="002A031E">
      <w:pPr>
        <w:jc w:val="right"/>
        <w:rPr>
          <w:color w:val="000000"/>
          <w:sz w:val="16"/>
          <w:szCs w:val="16"/>
        </w:rPr>
      </w:pPr>
    </w:p>
    <w:p w14:paraId="489AECAE" w14:textId="77777777" w:rsidR="002A031E" w:rsidRDefault="002A031E" w:rsidP="002A031E">
      <w:pPr>
        <w:jc w:val="right"/>
        <w:rPr>
          <w:color w:val="000000"/>
          <w:sz w:val="16"/>
          <w:szCs w:val="16"/>
        </w:rPr>
      </w:pPr>
    </w:p>
    <w:p w14:paraId="373452E5" w14:textId="45D1D8BB" w:rsidR="002A031E" w:rsidRPr="00A13A58" w:rsidRDefault="002A031E" w:rsidP="00A13A58">
      <w:pPr>
        <w:spacing w:line="240" w:lineRule="auto"/>
        <w:jc w:val="both"/>
        <w:rPr>
          <w:sz w:val="18"/>
          <w:szCs w:val="18"/>
        </w:rPr>
      </w:pPr>
      <w:r w:rsidRPr="00654315">
        <w:rPr>
          <w:color w:val="000000"/>
          <w:sz w:val="16"/>
          <w:szCs w:val="16"/>
        </w:rPr>
        <w:t xml:space="preserve">    </w:t>
      </w:r>
    </w:p>
    <w:p w14:paraId="142D154B" w14:textId="27D58812" w:rsidR="00967E50" w:rsidRPr="00967E50" w:rsidRDefault="00967E50" w:rsidP="00967E50">
      <w:pPr>
        <w:pStyle w:val="NormalWeb"/>
        <w:shd w:val="clear" w:color="auto" w:fill="EFEFEF"/>
        <w:spacing w:before="0" w:after="0"/>
        <w:rPr>
          <w:rFonts w:ascii="Open Sans" w:hAnsi="Open Sans" w:cs="Open Sans"/>
          <w:color w:val="5E5E5E"/>
        </w:rPr>
      </w:pPr>
      <w:r w:rsidRPr="00967E50">
        <w:rPr>
          <w:rFonts w:ascii="Open Sans" w:hAnsi="Open Sans" w:cs="Open Sans"/>
          <w:b/>
          <w:bCs/>
          <w:color w:val="5E5E5E"/>
        </w:rPr>
        <w:t>PRAZO</w:t>
      </w:r>
      <w:r>
        <w:rPr>
          <w:rFonts w:ascii="Open Sans" w:hAnsi="Open Sans" w:cs="Open Sans"/>
          <w:b/>
          <w:bCs/>
          <w:color w:val="5E5E5E"/>
        </w:rPr>
        <w:t>S</w:t>
      </w:r>
      <w:r w:rsidRPr="00967E50">
        <w:rPr>
          <w:rFonts w:ascii="Open Sans" w:hAnsi="Open Sans" w:cs="Open Sans"/>
          <w:b/>
          <w:bCs/>
          <w:color w:val="5E5E5E"/>
        </w:rPr>
        <w:t xml:space="preserve"> </w:t>
      </w:r>
    </w:p>
    <w:p w14:paraId="2096A2CF" w14:textId="60D969CE" w:rsidR="00967E50" w:rsidRPr="00967E50" w:rsidRDefault="00967E50" w:rsidP="00967E50">
      <w:pPr>
        <w:pStyle w:val="NormalWeb"/>
        <w:shd w:val="clear" w:color="auto" w:fill="EFEFEF"/>
        <w:spacing w:after="0"/>
        <w:rPr>
          <w:rFonts w:ascii="Open Sans" w:hAnsi="Open Sans" w:cs="Open Sans"/>
          <w:color w:val="5E5E5E"/>
        </w:rPr>
      </w:pPr>
      <w:r w:rsidRPr="00967E50">
        <w:rPr>
          <w:rFonts w:ascii="Open Sans" w:hAnsi="Open Sans" w:cs="Open Sans"/>
          <w:color w:val="5E5E5E"/>
        </w:rPr>
        <w:t>o </w:t>
      </w:r>
      <w:r w:rsidRPr="00967E50">
        <w:rPr>
          <w:rFonts w:ascii="Open Sans" w:hAnsi="Open Sans" w:cs="Open Sans"/>
          <w:b/>
          <w:bCs/>
          <w:color w:val="5E5E5E"/>
        </w:rPr>
        <w:t>resumo</w:t>
      </w:r>
      <w:r w:rsidRPr="00967E50">
        <w:rPr>
          <w:rFonts w:ascii="Open Sans" w:hAnsi="Open Sans" w:cs="Open Sans"/>
          <w:color w:val="5E5E5E"/>
        </w:rPr>
        <w:t> até </w:t>
      </w:r>
      <w:r w:rsidRPr="00967E50">
        <w:rPr>
          <w:rFonts w:ascii="Open Sans" w:hAnsi="Open Sans" w:cs="Open Sans"/>
          <w:b/>
          <w:bCs/>
          <w:color w:val="5E5E5E"/>
          <w:highlight w:val="yellow"/>
        </w:rPr>
        <w:t>15.03.2026</w:t>
      </w:r>
      <w:r w:rsidRPr="00967E50">
        <w:rPr>
          <w:rFonts w:ascii="Open Sans" w:hAnsi="Open Sans" w:cs="Open Sans"/>
          <w:b/>
          <w:bCs/>
          <w:color w:val="5E5E5E"/>
        </w:rPr>
        <w:t> </w:t>
      </w:r>
      <w:r w:rsidRPr="00967E50">
        <w:rPr>
          <w:rFonts w:ascii="Open Sans" w:hAnsi="Open Sans" w:cs="Open Sans"/>
          <w:color w:val="5E5E5E"/>
        </w:rPr>
        <w:t>ao e-mail: </w:t>
      </w:r>
      <w:hyperlink r:id="rId17" w:history="1">
        <w:r w:rsidRPr="00967E50">
          <w:rPr>
            <w:rStyle w:val="Hiperligao"/>
            <w:rFonts w:ascii="Open Sans" w:hAnsi="Open Sans" w:cs="Open Sans"/>
          </w:rPr>
          <w:t>eventos@iberojur.com </w:t>
        </w:r>
      </w:hyperlink>
    </w:p>
    <w:p w14:paraId="225FDB33" w14:textId="77777777" w:rsidR="00967E50" w:rsidRPr="00967E50" w:rsidRDefault="00967E50" w:rsidP="00967E50">
      <w:pPr>
        <w:pStyle w:val="NormalWeb"/>
        <w:shd w:val="clear" w:color="auto" w:fill="EFEFEF"/>
        <w:spacing w:after="0"/>
        <w:rPr>
          <w:rFonts w:ascii="Open Sans" w:hAnsi="Open Sans" w:cs="Open Sans"/>
          <w:color w:val="5E5E5E"/>
        </w:rPr>
      </w:pPr>
      <w:r w:rsidRPr="00967E50">
        <w:rPr>
          <w:rFonts w:ascii="Open Sans" w:hAnsi="Open Sans" w:cs="Open Sans"/>
          <w:color w:val="5E5E5E"/>
        </w:rPr>
        <w:t>O Programa do evento será publicado no dia </w:t>
      </w:r>
      <w:r w:rsidRPr="00967E50">
        <w:rPr>
          <w:rFonts w:ascii="Open Sans" w:hAnsi="Open Sans" w:cs="Open Sans"/>
          <w:b/>
          <w:bCs/>
          <w:color w:val="5E5E5E"/>
        </w:rPr>
        <w:t>24.03. 202</w:t>
      </w:r>
      <w:r w:rsidRPr="00967E50">
        <w:rPr>
          <w:rFonts w:ascii="Open Sans" w:hAnsi="Open Sans" w:cs="Open Sans"/>
          <w:color w:val="5E5E5E"/>
        </w:rPr>
        <w:t>6</w:t>
      </w:r>
    </w:p>
    <w:p w14:paraId="52690A72" w14:textId="44BF5A78" w:rsidR="00967E50" w:rsidRPr="00474E40" w:rsidRDefault="00967E50" w:rsidP="00967E50">
      <w:pPr>
        <w:pStyle w:val="NormalWeb"/>
        <w:shd w:val="clear" w:color="auto" w:fill="EFEFEF"/>
        <w:spacing w:after="0"/>
        <w:rPr>
          <w:rFonts w:ascii="Open Sans" w:hAnsi="Open Sans" w:cs="Open Sans"/>
          <w:color w:val="5E5E5E"/>
        </w:rPr>
      </w:pPr>
      <w:r w:rsidRPr="00967E50">
        <w:rPr>
          <w:rFonts w:ascii="Open Sans" w:hAnsi="Open Sans" w:cs="Open Sans"/>
          <w:color w:val="5E5E5E"/>
        </w:rPr>
        <w:t>Data do evento:</w:t>
      </w:r>
      <w:r w:rsidRPr="00967E50">
        <w:rPr>
          <w:rFonts w:ascii="Open Sans" w:hAnsi="Open Sans" w:cs="Open Sans"/>
          <w:b/>
          <w:bCs/>
          <w:color w:val="5E5E5E"/>
        </w:rPr>
        <w:t> </w:t>
      </w:r>
      <w:r w:rsidRPr="00967E50">
        <w:rPr>
          <w:rFonts w:ascii="Open Sans" w:hAnsi="Open Sans" w:cs="Open Sans"/>
          <w:b/>
          <w:bCs/>
          <w:color w:val="5E5E5E"/>
          <w:highlight w:val="yellow"/>
        </w:rPr>
        <w:t>27 e 28 de março de 2026</w:t>
      </w:r>
      <w:r w:rsidRPr="00967E50">
        <w:rPr>
          <w:rFonts w:ascii="Open Sans" w:hAnsi="Open Sans" w:cs="Open Sans"/>
          <w:b/>
          <w:bCs/>
          <w:color w:val="5E5E5E"/>
        </w:rPr>
        <w:t xml:space="preserve"> </w:t>
      </w:r>
    </w:p>
    <w:sectPr w:rsidR="00967E50" w:rsidRPr="00474E4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234CD5"/>
    <w:multiLevelType w:val="multilevel"/>
    <w:tmpl w:val="0C4E483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056534C"/>
    <w:multiLevelType w:val="multilevel"/>
    <w:tmpl w:val="8C40E6A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5C17"/>
    <w:rsid w:val="00064382"/>
    <w:rsid w:val="000836D9"/>
    <w:rsid w:val="001071FE"/>
    <w:rsid w:val="001074DC"/>
    <w:rsid w:val="00160B76"/>
    <w:rsid w:val="001A6D4E"/>
    <w:rsid w:val="001E1EA4"/>
    <w:rsid w:val="001F6A53"/>
    <w:rsid w:val="00206805"/>
    <w:rsid w:val="002822D3"/>
    <w:rsid w:val="00286BFC"/>
    <w:rsid w:val="002A031E"/>
    <w:rsid w:val="002D5486"/>
    <w:rsid w:val="003160D0"/>
    <w:rsid w:val="00340666"/>
    <w:rsid w:val="003C0621"/>
    <w:rsid w:val="003D48F3"/>
    <w:rsid w:val="00432AB2"/>
    <w:rsid w:val="00455618"/>
    <w:rsid w:val="00474E40"/>
    <w:rsid w:val="00494B5D"/>
    <w:rsid w:val="004B25AC"/>
    <w:rsid w:val="004B4A59"/>
    <w:rsid w:val="004D3510"/>
    <w:rsid w:val="004F0E36"/>
    <w:rsid w:val="005031A9"/>
    <w:rsid w:val="00507D15"/>
    <w:rsid w:val="00516795"/>
    <w:rsid w:val="0054201A"/>
    <w:rsid w:val="00566B29"/>
    <w:rsid w:val="005D5B08"/>
    <w:rsid w:val="005F1A7E"/>
    <w:rsid w:val="005F30BF"/>
    <w:rsid w:val="006227D8"/>
    <w:rsid w:val="0063715B"/>
    <w:rsid w:val="00661A4F"/>
    <w:rsid w:val="006B2489"/>
    <w:rsid w:val="006B474A"/>
    <w:rsid w:val="006D08C9"/>
    <w:rsid w:val="006D395A"/>
    <w:rsid w:val="006E18E1"/>
    <w:rsid w:val="00717F91"/>
    <w:rsid w:val="0072345F"/>
    <w:rsid w:val="007316EF"/>
    <w:rsid w:val="00787D82"/>
    <w:rsid w:val="007B7F80"/>
    <w:rsid w:val="007E478F"/>
    <w:rsid w:val="0080052C"/>
    <w:rsid w:val="008132C3"/>
    <w:rsid w:val="0084462A"/>
    <w:rsid w:val="008463F4"/>
    <w:rsid w:val="00861035"/>
    <w:rsid w:val="0087344F"/>
    <w:rsid w:val="008A6CE8"/>
    <w:rsid w:val="008F11BF"/>
    <w:rsid w:val="0090150D"/>
    <w:rsid w:val="00914A3E"/>
    <w:rsid w:val="0093730E"/>
    <w:rsid w:val="00967E50"/>
    <w:rsid w:val="00974B6C"/>
    <w:rsid w:val="00995AA2"/>
    <w:rsid w:val="0099791B"/>
    <w:rsid w:val="009B09FD"/>
    <w:rsid w:val="009B5A7A"/>
    <w:rsid w:val="009B6DC8"/>
    <w:rsid w:val="009C1FC3"/>
    <w:rsid w:val="009C6DE6"/>
    <w:rsid w:val="009E677A"/>
    <w:rsid w:val="009F649D"/>
    <w:rsid w:val="00A01484"/>
    <w:rsid w:val="00A13A58"/>
    <w:rsid w:val="00A71353"/>
    <w:rsid w:val="00A82D3A"/>
    <w:rsid w:val="00AB2EC3"/>
    <w:rsid w:val="00AC2ACE"/>
    <w:rsid w:val="00B0778E"/>
    <w:rsid w:val="00B13537"/>
    <w:rsid w:val="00B14F78"/>
    <w:rsid w:val="00B50CAC"/>
    <w:rsid w:val="00B5182F"/>
    <w:rsid w:val="00B56A25"/>
    <w:rsid w:val="00B925A2"/>
    <w:rsid w:val="00BA0A5A"/>
    <w:rsid w:val="00BB396C"/>
    <w:rsid w:val="00BF67EC"/>
    <w:rsid w:val="00C04309"/>
    <w:rsid w:val="00C20F8D"/>
    <w:rsid w:val="00C33E06"/>
    <w:rsid w:val="00C71E6A"/>
    <w:rsid w:val="00C722E8"/>
    <w:rsid w:val="00C7263F"/>
    <w:rsid w:val="00C732CF"/>
    <w:rsid w:val="00C852DE"/>
    <w:rsid w:val="00C860F5"/>
    <w:rsid w:val="00D063F5"/>
    <w:rsid w:val="00D16956"/>
    <w:rsid w:val="00D80DCA"/>
    <w:rsid w:val="00DC72EC"/>
    <w:rsid w:val="00DC7308"/>
    <w:rsid w:val="00DD709A"/>
    <w:rsid w:val="00DF0C96"/>
    <w:rsid w:val="00E17283"/>
    <w:rsid w:val="00E426A8"/>
    <w:rsid w:val="00E75C17"/>
    <w:rsid w:val="00E95018"/>
    <w:rsid w:val="00E965D3"/>
    <w:rsid w:val="00EA225A"/>
    <w:rsid w:val="00EB38EE"/>
    <w:rsid w:val="00ED0A4F"/>
    <w:rsid w:val="00EE4CF5"/>
    <w:rsid w:val="00EF251A"/>
    <w:rsid w:val="00F354E6"/>
    <w:rsid w:val="00F6328E"/>
    <w:rsid w:val="00F84DEB"/>
    <w:rsid w:val="00FE5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40CD1D"/>
  <w15:chartTrackingRefBased/>
  <w15:docId w15:val="{0D8FEFE2-E831-4526-92C4-CEC1F146EB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E75C1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E75C1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E75C1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E75C1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E75C1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E75C1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E75C1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E75C1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E75C1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E75C1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E75C1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E75C1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E75C17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E75C17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E75C17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E75C17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E75C17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E75C1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E75C1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E75C1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E75C1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E75C1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E75C1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E75C17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E75C17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E75C17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E75C1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E75C17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E75C17"/>
    <w:rPr>
      <w:b/>
      <w:bCs/>
      <w:smallCaps/>
      <w:color w:val="0F4761" w:themeColor="accent1" w:themeShade="BF"/>
      <w:spacing w:val="5"/>
    </w:rPr>
  </w:style>
  <w:style w:type="character" w:styleId="Hiperligao">
    <w:name w:val="Hyperlink"/>
    <w:basedOn w:val="Tipodeletrapredefinidodopargrafo"/>
    <w:uiPriority w:val="99"/>
    <w:unhideWhenUsed/>
    <w:rsid w:val="00E75C17"/>
    <w:rPr>
      <w:color w:val="467886" w:themeColor="hyperlink"/>
      <w:u w:val="single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E75C17"/>
    <w:rPr>
      <w:color w:val="605E5C"/>
      <w:shd w:val="clear" w:color="auto" w:fill="E1DFDD"/>
    </w:rPr>
  </w:style>
  <w:style w:type="paragraph" w:customStyle="1" w:styleId="Default">
    <w:name w:val="Default"/>
    <w:rsid w:val="002A031E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kern w:val="0"/>
      <w:sz w:val="24"/>
      <w:szCs w:val="24"/>
      <w:lang w:eastAsia="pt-PT"/>
      <w14:ligatures w14:val="none"/>
    </w:rPr>
  </w:style>
  <w:style w:type="character" w:styleId="Forte">
    <w:name w:val="Strong"/>
    <w:uiPriority w:val="22"/>
    <w:qFormat/>
    <w:rsid w:val="002A031E"/>
    <w:rPr>
      <w:b/>
      <w:bCs/>
    </w:rPr>
  </w:style>
  <w:style w:type="paragraph" w:styleId="NormalWeb">
    <w:name w:val="Normal (Web)"/>
    <w:basedOn w:val="Normal"/>
    <w:uiPriority w:val="99"/>
    <w:unhideWhenUsed/>
    <w:rsid w:val="002A03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PT"/>
      <w14:ligatures w14:val="none"/>
    </w:rPr>
  </w:style>
  <w:style w:type="paragraph" w:styleId="Corpodetexto">
    <w:name w:val="Body Text"/>
    <w:basedOn w:val="Normal"/>
    <w:link w:val="CorpodetextoCarter"/>
    <w:uiPriority w:val="1"/>
    <w:qFormat/>
    <w:rsid w:val="002A031E"/>
    <w:pPr>
      <w:widowControl w:val="0"/>
      <w:autoSpaceDE w:val="0"/>
      <w:autoSpaceDN w:val="0"/>
      <w:adjustRightInd w:val="0"/>
      <w:spacing w:after="0" w:line="240" w:lineRule="auto"/>
      <w:ind w:left="122" w:firstLine="566"/>
    </w:pPr>
    <w:rPr>
      <w:rFonts w:ascii="Calibri" w:eastAsia="Times New Roman" w:hAnsi="Calibri" w:cs="Calibri"/>
      <w:kern w:val="0"/>
      <w:sz w:val="24"/>
      <w:szCs w:val="24"/>
      <w:lang w:val="pt-BR" w:eastAsia="pt-BR"/>
      <w14:ligatures w14:val="none"/>
    </w:rPr>
  </w:style>
  <w:style w:type="character" w:customStyle="1" w:styleId="CorpodetextoCarter">
    <w:name w:val="Corpo de texto Caráter"/>
    <w:basedOn w:val="Tipodeletrapredefinidodopargrafo"/>
    <w:link w:val="Corpodetexto"/>
    <w:uiPriority w:val="1"/>
    <w:rsid w:val="002A031E"/>
    <w:rPr>
      <w:rFonts w:ascii="Calibri" w:eastAsia="Times New Roman" w:hAnsi="Calibri" w:cs="Calibri"/>
      <w:kern w:val="0"/>
      <w:sz w:val="24"/>
      <w:szCs w:val="24"/>
      <w:lang w:val="pt-BR" w:eastAsia="pt-BR"/>
      <w14:ligatures w14:val="none"/>
    </w:rPr>
  </w:style>
  <w:style w:type="character" w:customStyle="1" w:styleId="text">
    <w:name w:val="text"/>
    <w:rsid w:val="002A031E"/>
    <w:rPr>
      <w:rFonts w:cs="Times New Roman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B50CAC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rlisboa.org/wp/video/video-o-recurso-de-anulacao-no-contencioso-de-legalidade-da-uniao-europeia/" TargetMode="External"/><Relationship Id="rId13" Type="http://schemas.openxmlformats.org/officeDocument/2006/relationships/hyperlink" Target="https://eur-lex.europa.eu/PT/legal-content/glossary/actions-for-failure-to-fulfil-an-obligation.html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dra@upt.pt" TargetMode="External"/><Relationship Id="rId12" Type="http://schemas.openxmlformats.org/officeDocument/2006/relationships/hyperlink" Target="https://curia.europa.eu/site/jcms/d2_5085/pt/main-navigation" TargetMode="External"/><Relationship Id="rId17" Type="http://schemas.openxmlformats.org/officeDocument/2006/relationships/hyperlink" Target="mailto:eventos@iberojur.com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cienciavitae.pt//CA1A-FE14-5CC1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eventos.iberojur.com/evento/viii-sinda/" TargetMode="External"/><Relationship Id="rId11" Type="http://schemas.openxmlformats.org/officeDocument/2006/relationships/hyperlink" Target="https://curia.europa.eu/jcms/jcms/Jo2_7032/pt/" TargetMode="External"/><Relationship Id="rId5" Type="http://schemas.openxmlformats.org/officeDocument/2006/relationships/image" Target="media/image1.png"/><Relationship Id="rId15" Type="http://schemas.openxmlformats.org/officeDocument/2006/relationships/hyperlink" Target="http://orcid.org/0000-0003-4720-1400" TargetMode="External"/><Relationship Id="rId10" Type="http://schemas.openxmlformats.org/officeDocument/2006/relationships/hyperlink" Target="https://data.europa.eu/doi/10.2862/0510611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curia.europa.eu/site/upload/docs/application/pdf/2025-12/cp250157pt.pdf" TargetMode="External"/><Relationship Id="rId14" Type="http://schemas.openxmlformats.org/officeDocument/2006/relationships/hyperlink" Target="https://www.europarl.europa.eu/factsheets/pt/sheet/12/competences-of-the-court-of-justice-of-the-european-union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1432</Words>
  <Characters>7734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Dora Resende Alves</dc:creator>
  <cp:keywords/>
  <dc:description/>
  <cp:lastModifiedBy>Filipa Maria Sousa Marinho da Silva</cp:lastModifiedBy>
  <cp:revision>2</cp:revision>
  <dcterms:created xsi:type="dcterms:W3CDTF">2026-03-30T12:46:00Z</dcterms:created>
  <dcterms:modified xsi:type="dcterms:W3CDTF">2026-03-30T12:46:00Z</dcterms:modified>
</cp:coreProperties>
</file>