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5E952" w14:textId="5ECA320A" w:rsidR="006A5EA3" w:rsidRPr="007E12AF" w:rsidRDefault="00512DB4" w:rsidP="002236F1">
      <w:pPr>
        <w:pStyle w:val="Ttulo"/>
        <w:rPr>
          <w:b w:val="0"/>
          <w:bCs w:val="0"/>
          <w:sz w:val="24"/>
          <w:szCs w:val="24"/>
          <w:u w:val="none"/>
        </w:rPr>
      </w:pPr>
      <w:bookmarkStart w:id="0" w:name="_Hlk45579958"/>
      <w:r w:rsidRPr="007E12AF">
        <w:rPr>
          <w:b w:val="0"/>
          <w:bCs w:val="0"/>
          <w:sz w:val="24"/>
          <w:szCs w:val="24"/>
          <w:u w:val="none"/>
        </w:rPr>
        <w:t xml:space="preserve">O </w:t>
      </w:r>
      <w:r w:rsidR="00E17011" w:rsidRPr="007E12AF">
        <w:rPr>
          <w:b w:val="0"/>
          <w:bCs w:val="0"/>
          <w:sz w:val="24"/>
          <w:szCs w:val="24"/>
          <w:u w:val="none"/>
        </w:rPr>
        <w:t>entendimen</w:t>
      </w:r>
      <w:r w:rsidRPr="007E12AF">
        <w:rPr>
          <w:b w:val="0"/>
          <w:bCs w:val="0"/>
          <w:sz w:val="24"/>
          <w:szCs w:val="24"/>
          <w:u w:val="none"/>
        </w:rPr>
        <w:t xml:space="preserve">to de criança </w:t>
      </w:r>
      <w:r w:rsidR="00E17011" w:rsidRPr="007E12AF">
        <w:rPr>
          <w:b w:val="0"/>
          <w:bCs w:val="0"/>
          <w:sz w:val="24"/>
          <w:szCs w:val="24"/>
          <w:u w:val="none"/>
        </w:rPr>
        <w:t>n</w:t>
      </w:r>
      <w:r w:rsidRPr="007E12AF">
        <w:rPr>
          <w:b w:val="0"/>
          <w:bCs w:val="0"/>
          <w:sz w:val="24"/>
          <w:szCs w:val="24"/>
          <w:u w:val="none"/>
        </w:rPr>
        <w:t xml:space="preserve">as Ordenações </w:t>
      </w:r>
      <w:r w:rsidR="00E17011" w:rsidRPr="007E12AF">
        <w:rPr>
          <w:b w:val="0"/>
          <w:bCs w:val="0"/>
          <w:sz w:val="24"/>
          <w:szCs w:val="24"/>
          <w:u w:val="none"/>
        </w:rPr>
        <w:t>p</w:t>
      </w:r>
      <w:r w:rsidRPr="007E12AF">
        <w:rPr>
          <w:b w:val="0"/>
          <w:bCs w:val="0"/>
          <w:sz w:val="24"/>
          <w:szCs w:val="24"/>
          <w:u w:val="none"/>
        </w:rPr>
        <w:t>ortug</w:t>
      </w:r>
      <w:r w:rsidR="00E17011" w:rsidRPr="007E12AF">
        <w:rPr>
          <w:b w:val="0"/>
          <w:bCs w:val="0"/>
          <w:sz w:val="24"/>
          <w:szCs w:val="24"/>
          <w:u w:val="none"/>
        </w:rPr>
        <w:t>uesas de ontem e na</w:t>
      </w:r>
      <w:r w:rsidRPr="007E12AF">
        <w:rPr>
          <w:b w:val="0"/>
          <w:bCs w:val="0"/>
          <w:sz w:val="24"/>
          <w:szCs w:val="24"/>
          <w:u w:val="none"/>
        </w:rPr>
        <w:t xml:space="preserve"> União </w:t>
      </w:r>
      <w:r w:rsidR="002A3103" w:rsidRPr="007E12AF">
        <w:rPr>
          <w:b w:val="0"/>
          <w:bCs w:val="0"/>
          <w:sz w:val="24"/>
          <w:szCs w:val="24"/>
          <w:u w:val="none"/>
        </w:rPr>
        <w:t>E</w:t>
      </w:r>
      <w:r w:rsidRPr="007E12AF">
        <w:rPr>
          <w:b w:val="0"/>
          <w:bCs w:val="0"/>
          <w:sz w:val="24"/>
          <w:szCs w:val="24"/>
          <w:u w:val="none"/>
        </w:rPr>
        <w:t>uropeia</w:t>
      </w:r>
      <w:r w:rsidR="00E17011" w:rsidRPr="007E12AF">
        <w:rPr>
          <w:b w:val="0"/>
          <w:bCs w:val="0"/>
          <w:sz w:val="24"/>
          <w:szCs w:val="24"/>
          <w:u w:val="none"/>
        </w:rPr>
        <w:t xml:space="preserve"> de hoje</w:t>
      </w:r>
      <w:r w:rsidR="005B53DE" w:rsidRPr="007E12AF">
        <w:rPr>
          <w:rStyle w:val="Refdenotaderodap"/>
          <w:rFonts w:eastAsiaTheme="minorHAnsi"/>
          <w:b w:val="0"/>
          <w:bCs w:val="0"/>
          <w:sz w:val="24"/>
          <w:szCs w:val="24"/>
          <w:u w:val="none"/>
        </w:rPr>
        <w:footnoteReference w:id="1"/>
      </w:r>
    </w:p>
    <w:p w14:paraId="358358C6" w14:textId="7E9C0759" w:rsidR="003C22A8" w:rsidRPr="007E12AF" w:rsidRDefault="007E12AF" w:rsidP="00FD388C">
      <w:pPr>
        <w:shd w:val="clear" w:color="auto" w:fill="FFFFFF"/>
        <w:jc w:val="center"/>
        <w:textAlignment w:val="top"/>
        <w:rPr>
          <w:lang w:val="en-US"/>
        </w:rPr>
      </w:pPr>
      <w:r w:rsidRPr="007E12AF">
        <w:rPr>
          <w:lang w:val="en-US"/>
        </w:rPr>
        <w:t>The understanding of the child in the Portuguese Ordinances of yesterday and in the European Union of today</w:t>
      </w:r>
    </w:p>
    <w:p w14:paraId="5EA3C1EE" w14:textId="77777777" w:rsidR="002236F1" w:rsidRPr="007E12AF" w:rsidRDefault="002236F1" w:rsidP="00B3040C">
      <w:pPr>
        <w:jc w:val="right"/>
        <w:rPr>
          <w:lang w:val="en-US"/>
        </w:rPr>
      </w:pPr>
    </w:p>
    <w:p w14:paraId="338D436A" w14:textId="04E79F83" w:rsidR="002236F1" w:rsidRPr="007E12AF" w:rsidRDefault="002236F1" w:rsidP="002236F1">
      <w:pPr>
        <w:jc w:val="right"/>
      </w:pPr>
      <w:r w:rsidRPr="007E12AF">
        <w:t>Dora Resende Alves</w:t>
      </w:r>
      <w:r w:rsidRPr="007E12AF">
        <w:rPr>
          <w:rStyle w:val="Refdenotaderodap"/>
        </w:rPr>
        <w:footnoteReference w:id="2"/>
      </w:r>
    </w:p>
    <w:p w14:paraId="3D211C0E" w14:textId="77777777" w:rsidR="00CA5194" w:rsidRPr="007E12AF" w:rsidRDefault="00CA5194" w:rsidP="00CA5194">
      <w:pPr>
        <w:jc w:val="right"/>
      </w:pPr>
      <w:r w:rsidRPr="007E12AF">
        <w:t>Isabel Freitas</w:t>
      </w:r>
      <w:r w:rsidRPr="007E12AF">
        <w:rPr>
          <w:rStyle w:val="Refdenotaderodap"/>
        </w:rPr>
        <w:t xml:space="preserve"> </w:t>
      </w:r>
      <w:r w:rsidRPr="007E12AF">
        <w:rPr>
          <w:rStyle w:val="Refdenotaderodap"/>
        </w:rPr>
        <w:footnoteReference w:id="3"/>
      </w:r>
    </w:p>
    <w:p w14:paraId="44DF1478" w14:textId="77777777" w:rsidR="00CA5194" w:rsidRPr="007E12AF" w:rsidRDefault="00CA5194" w:rsidP="002236F1">
      <w:pPr>
        <w:jc w:val="right"/>
      </w:pPr>
    </w:p>
    <w:p w14:paraId="78320F98" w14:textId="77777777" w:rsidR="002236F1" w:rsidRPr="007E12AF" w:rsidRDefault="002236F1" w:rsidP="00B3040C">
      <w:pPr>
        <w:jc w:val="right"/>
      </w:pPr>
    </w:p>
    <w:p w14:paraId="46E95C45" w14:textId="77777777" w:rsidR="00491690" w:rsidRPr="007E12AF" w:rsidRDefault="00491690" w:rsidP="008553E0">
      <w:pPr>
        <w:rPr>
          <w:b/>
          <w:bCs/>
        </w:rPr>
      </w:pPr>
    </w:p>
    <w:p w14:paraId="56086D54" w14:textId="251045D1" w:rsidR="00E67F63" w:rsidRPr="007E12AF" w:rsidRDefault="008553E0" w:rsidP="00E911D4">
      <w:pPr>
        <w:rPr>
          <w:b/>
          <w:bCs/>
          <w:sz w:val="20"/>
          <w:szCs w:val="20"/>
        </w:rPr>
      </w:pPr>
      <w:r w:rsidRPr="007E12AF">
        <w:rPr>
          <w:b/>
          <w:bCs/>
          <w:sz w:val="20"/>
          <w:szCs w:val="20"/>
        </w:rPr>
        <w:t>Sumário</w:t>
      </w:r>
      <w:r w:rsidRPr="007E12AF">
        <w:rPr>
          <w:sz w:val="20"/>
          <w:szCs w:val="20"/>
        </w:rPr>
        <w:t xml:space="preserve">: Introdução; </w:t>
      </w:r>
      <w:r w:rsidR="007C453D" w:rsidRPr="007E12AF">
        <w:rPr>
          <w:sz w:val="20"/>
          <w:szCs w:val="20"/>
        </w:rPr>
        <w:t>1. As Ordenações do Reino de Portuga</w:t>
      </w:r>
      <w:r w:rsidR="00350487" w:rsidRPr="007E12AF">
        <w:rPr>
          <w:sz w:val="20"/>
          <w:szCs w:val="20"/>
        </w:rPr>
        <w:t>l</w:t>
      </w:r>
      <w:r w:rsidR="00564425" w:rsidRPr="007E12AF">
        <w:rPr>
          <w:sz w:val="20"/>
          <w:szCs w:val="20"/>
        </w:rPr>
        <w:t xml:space="preserve"> – ontem</w:t>
      </w:r>
      <w:r w:rsidR="00E911D4" w:rsidRPr="007E12AF">
        <w:rPr>
          <w:sz w:val="20"/>
          <w:szCs w:val="20"/>
        </w:rPr>
        <w:t>;</w:t>
      </w:r>
      <w:r w:rsidR="007C453D" w:rsidRPr="007E12AF">
        <w:rPr>
          <w:sz w:val="20"/>
          <w:szCs w:val="20"/>
        </w:rPr>
        <w:t xml:space="preserve"> 1.1. A presença da criança nos textos das Ordenações portuguesas; 1.1.1. Nas Ordenações </w:t>
      </w:r>
      <w:r w:rsidR="00827BE8" w:rsidRPr="007E12AF">
        <w:rPr>
          <w:sz w:val="20"/>
          <w:szCs w:val="20"/>
        </w:rPr>
        <w:t xml:space="preserve">de D. Duarte; 1.1.2. Nas Ordenações </w:t>
      </w:r>
      <w:r w:rsidR="007C453D" w:rsidRPr="007E12AF">
        <w:rPr>
          <w:sz w:val="20"/>
          <w:szCs w:val="20"/>
        </w:rPr>
        <w:t>Afonsinas; 1.1.</w:t>
      </w:r>
      <w:r w:rsidR="00827BE8" w:rsidRPr="007E12AF">
        <w:rPr>
          <w:sz w:val="20"/>
          <w:szCs w:val="20"/>
        </w:rPr>
        <w:t>3</w:t>
      </w:r>
      <w:r w:rsidR="007C453D" w:rsidRPr="007E12AF">
        <w:rPr>
          <w:sz w:val="20"/>
          <w:szCs w:val="20"/>
        </w:rPr>
        <w:t>. Nas Ordenações Manuelinas;</w:t>
      </w:r>
      <w:r w:rsidR="00E911D4" w:rsidRPr="007E12AF">
        <w:rPr>
          <w:sz w:val="20"/>
          <w:szCs w:val="20"/>
        </w:rPr>
        <w:t xml:space="preserve"> </w:t>
      </w:r>
      <w:r w:rsidR="00827BE8" w:rsidRPr="007E12AF">
        <w:rPr>
          <w:sz w:val="20"/>
          <w:szCs w:val="20"/>
        </w:rPr>
        <w:t>1.1.4. D. Afonso V</w:t>
      </w:r>
      <w:r w:rsidR="00877909" w:rsidRPr="007E12AF">
        <w:rPr>
          <w:sz w:val="20"/>
          <w:szCs w:val="20"/>
        </w:rPr>
        <w:t>, exemplo no tema</w:t>
      </w:r>
      <w:r w:rsidR="00827BE8" w:rsidRPr="007E12AF">
        <w:rPr>
          <w:sz w:val="20"/>
          <w:szCs w:val="20"/>
        </w:rPr>
        <w:t xml:space="preserve">; </w:t>
      </w:r>
      <w:r w:rsidR="007C453D" w:rsidRPr="007E12AF">
        <w:rPr>
          <w:sz w:val="20"/>
          <w:szCs w:val="20"/>
        </w:rPr>
        <w:t xml:space="preserve">2. A criança nos textos jurídicos – hoje; 3. A crianças nos textos da União Europeia; </w:t>
      </w:r>
      <w:r w:rsidRPr="007E12AF">
        <w:rPr>
          <w:sz w:val="20"/>
          <w:szCs w:val="20"/>
        </w:rPr>
        <w:t>Notas conclusivas</w:t>
      </w:r>
      <w:r w:rsidR="007C453D" w:rsidRPr="007E12AF">
        <w:rPr>
          <w:sz w:val="20"/>
          <w:szCs w:val="20"/>
        </w:rPr>
        <w:t>; Referências bibliográficas</w:t>
      </w:r>
      <w:r w:rsidRPr="007E12AF">
        <w:rPr>
          <w:sz w:val="20"/>
          <w:szCs w:val="20"/>
        </w:rPr>
        <w:tab/>
      </w:r>
    </w:p>
    <w:p w14:paraId="562DAA44" w14:textId="77777777" w:rsidR="00E67F63" w:rsidRPr="007E12AF" w:rsidRDefault="00E67F63" w:rsidP="00E67F63"/>
    <w:p w14:paraId="0D2DF53A" w14:textId="0EF32D50" w:rsidR="00E67F63" w:rsidRPr="007E12AF" w:rsidRDefault="003C22A8" w:rsidP="00E67F63">
      <w:pPr>
        <w:rPr>
          <w:b/>
          <w:bCs/>
          <w:sz w:val="20"/>
          <w:szCs w:val="20"/>
        </w:rPr>
      </w:pPr>
      <w:r w:rsidRPr="007E12AF">
        <w:rPr>
          <w:b/>
          <w:bCs/>
          <w:sz w:val="20"/>
          <w:szCs w:val="20"/>
        </w:rPr>
        <w:t>R</w:t>
      </w:r>
      <w:r w:rsidR="00D63C7B" w:rsidRPr="007E12AF">
        <w:rPr>
          <w:b/>
          <w:bCs/>
          <w:sz w:val="20"/>
          <w:szCs w:val="20"/>
        </w:rPr>
        <w:t>esumo</w:t>
      </w:r>
      <w:r w:rsidRPr="007E12AF">
        <w:rPr>
          <w:sz w:val="20"/>
          <w:szCs w:val="20"/>
        </w:rPr>
        <w:t xml:space="preserve">: </w:t>
      </w:r>
      <w:r w:rsidR="00303FC8" w:rsidRPr="007E12AF">
        <w:rPr>
          <w:kern w:val="24"/>
          <w:sz w:val="20"/>
          <w:szCs w:val="20"/>
        </w:rPr>
        <w:t xml:space="preserve">Duas autoras que conciliam entre si a História e o Direito, apresentam um estudo sobre o entendimento da ideia de criança na legislação medieval portuguesa e no direito da União Europeia. Dois momentos tão afastados e aparentemente tão </w:t>
      </w:r>
      <w:r w:rsidR="00CA5194" w:rsidRPr="007E12AF">
        <w:rPr>
          <w:kern w:val="24"/>
          <w:sz w:val="20"/>
          <w:szCs w:val="20"/>
        </w:rPr>
        <w:t>díspares,</w:t>
      </w:r>
      <w:r w:rsidR="00303FC8" w:rsidRPr="007E12AF">
        <w:rPr>
          <w:kern w:val="24"/>
          <w:sz w:val="20"/>
          <w:szCs w:val="20"/>
        </w:rPr>
        <w:t xml:space="preserve"> mas ambos estruturantes e criadores de uma nova ordem jurídica</w:t>
      </w:r>
      <w:r w:rsidR="00D63C7B" w:rsidRPr="007E12AF">
        <w:rPr>
          <w:kern w:val="24"/>
          <w:sz w:val="20"/>
          <w:szCs w:val="20"/>
        </w:rPr>
        <w:t>.</w:t>
      </w:r>
      <w:r w:rsidR="00303FC8" w:rsidRPr="007E12AF">
        <w:rPr>
          <w:kern w:val="24"/>
          <w:sz w:val="20"/>
          <w:szCs w:val="20"/>
        </w:rPr>
        <w:t xml:space="preserve"> E a presença da criança enquanto sujeito de direitos está presente nas duas épocas, curiosamente com algum possível paralelo.</w:t>
      </w:r>
    </w:p>
    <w:p w14:paraId="301484C6" w14:textId="77777777" w:rsidR="00E67F63" w:rsidRPr="007E12AF" w:rsidRDefault="00E67F63" w:rsidP="00D63C7B">
      <w:pPr>
        <w:pStyle w:val="NormalWeb"/>
        <w:spacing w:before="0" w:beforeAutospacing="0" w:after="0" w:afterAutospacing="0"/>
        <w:rPr>
          <w:rFonts w:eastAsia="Times New Roman"/>
          <w:color w:val="404040"/>
          <w:kern w:val="24"/>
          <w:sz w:val="20"/>
          <w:szCs w:val="20"/>
        </w:rPr>
      </w:pPr>
    </w:p>
    <w:p w14:paraId="00B10E51" w14:textId="7E71ADE4" w:rsidR="003C22A8" w:rsidRPr="007E12AF" w:rsidRDefault="00CD208D" w:rsidP="00E048A4">
      <w:pPr>
        <w:pStyle w:val="NormalWeb"/>
        <w:spacing w:before="0" w:beforeAutospacing="0" w:after="0" w:afterAutospacing="0"/>
      </w:pPr>
      <w:r w:rsidRPr="007E12AF">
        <w:rPr>
          <w:rFonts w:eastAsia="Times New Roman"/>
          <w:b/>
          <w:bCs/>
          <w:kern w:val="24"/>
          <w:sz w:val="20"/>
          <w:szCs w:val="20"/>
        </w:rPr>
        <w:t>Palavras-chave</w:t>
      </w:r>
      <w:r w:rsidRPr="007E12AF">
        <w:rPr>
          <w:rFonts w:eastAsia="Times New Roman"/>
          <w:kern w:val="24"/>
          <w:sz w:val="20"/>
          <w:szCs w:val="20"/>
        </w:rPr>
        <w:t>:</w:t>
      </w:r>
      <w:r w:rsidR="007E12AF">
        <w:rPr>
          <w:rFonts w:eastAsia="Times New Roman"/>
          <w:kern w:val="24"/>
          <w:sz w:val="20"/>
          <w:szCs w:val="20"/>
        </w:rPr>
        <w:t xml:space="preserve"> </w:t>
      </w:r>
      <w:r w:rsidR="00E048A4" w:rsidRPr="007E12AF">
        <w:rPr>
          <w:rFonts w:eastAsia="Times New Roman"/>
          <w:kern w:val="24"/>
          <w:sz w:val="20"/>
          <w:szCs w:val="20"/>
        </w:rPr>
        <w:t>União Europeia</w:t>
      </w:r>
      <w:r w:rsidR="00CA5194" w:rsidRPr="007E12AF">
        <w:rPr>
          <w:rFonts w:eastAsia="Times New Roman"/>
          <w:kern w:val="24"/>
          <w:sz w:val="20"/>
          <w:szCs w:val="20"/>
        </w:rPr>
        <w:t>, direitos da criança, Idade Média</w:t>
      </w:r>
    </w:p>
    <w:p w14:paraId="72D44D99" w14:textId="77777777" w:rsidR="00E17011" w:rsidRPr="007E12AF" w:rsidRDefault="00E17011" w:rsidP="00491690">
      <w:pPr>
        <w:pStyle w:val="Default"/>
        <w:jc w:val="both"/>
        <w:rPr>
          <w:rFonts w:ascii="Times New Roman" w:hAnsi="Times New Roman" w:cs="Times New Roman"/>
          <w:b/>
          <w:bCs/>
          <w:sz w:val="20"/>
          <w:szCs w:val="20"/>
        </w:rPr>
      </w:pPr>
    </w:p>
    <w:p w14:paraId="255ECEB5" w14:textId="616C7F7E" w:rsidR="003C22A8" w:rsidRDefault="00033A4B" w:rsidP="007E12AF">
      <w:pPr>
        <w:pStyle w:val="Default"/>
        <w:jc w:val="both"/>
        <w:rPr>
          <w:rFonts w:ascii="Times New Roman" w:hAnsi="Times New Roman" w:cs="Times New Roman"/>
          <w:sz w:val="20"/>
          <w:szCs w:val="20"/>
          <w:lang w:val="en-US"/>
        </w:rPr>
      </w:pPr>
      <w:r w:rsidRPr="007E12AF">
        <w:rPr>
          <w:rFonts w:ascii="Times New Roman" w:hAnsi="Times New Roman" w:cs="Times New Roman"/>
          <w:b/>
          <w:bCs/>
          <w:sz w:val="20"/>
          <w:szCs w:val="20"/>
          <w:lang w:val="en-US"/>
        </w:rPr>
        <w:t>Abstract</w:t>
      </w:r>
      <w:r w:rsidRPr="007E12AF">
        <w:rPr>
          <w:rFonts w:ascii="Times New Roman" w:hAnsi="Times New Roman" w:cs="Times New Roman"/>
          <w:sz w:val="20"/>
          <w:szCs w:val="20"/>
          <w:lang w:val="en-US"/>
        </w:rPr>
        <w:t xml:space="preserve">: </w:t>
      </w:r>
      <w:r w:rsidR="007E12AF" w:rsidRPr="007E12AF">
        <w:rPr>
          <w:rFonts w:ascii="Times New Roman" w:hAnsi="Times New Roman" w:cs="Times New Roman"/>
          <w:sz w:val="20"/>
          <w:szCs w:val="20"/>
          <w:lang w:val="en-US"/>
        </w:rPr>
        <w:t>Two authors who reconcile History and Law present a study on the understanding of the idea of child in medieval Portuguese legislation and in European Union law. Two moments so far apart and apparently so disparate, but both structuring and creating a new legal order. And the presence of the child as a subject of rights is present in both eras, curiously with some possible parallel</w:t>
      </w:r>
      <w:r w:rsidR="007E12AF">
        <w:rPr>
          <w:rFonts w:ascii="Times New Roman" w:hAnsi="Times New Roman" w:cs="Times New Roman"/>
          <w:sz w:val="20"/>
          <w:szCs w:val="20"/>
          <w:lang w:val="en-US"/>
        </w:rPr>
        <w:t>.</w:t>
      </w:r>
    </w:p>
    <w:p w14:paraId="22599316" w14:textId="77777777" w:rsidR="007E12AF" w:rsidRPr="007E12AF" w:rsidRDefault="007E12AF" w:rsidP="007E12AF">
      <w:pPr>
        <w:pStyle w:val="Default"/>
        <w:jc w:val="both"/>
        <w:rPr>
          <w:rFonts w:ascii="Times New Roman" w:hAnsi="Times New Roman" w:cs="Times New Roman"/>
          <w:sz w:val="20"/>
          <w:szCs w:val="20"/>
          <w:lang w:val="en-US"/>
        </w:rPr>
      </w:pPr>
    </w:p>
    <w:p w14:paraId="1792A0D0" w14:textId="2A3A37CA" w:rsidR="00491690" w:rsidRPr="007E12AF" w:rsidRDefault="00152076" w:rsidP="00491690">
      <w:pPr>
        <w:shd w:val="clear" w:color="auto" w:fill="FFFFFF"/>
        <w:textAlignment w:val="top"/>
        <w:rPr>
          <w:sz w:val="20"/>
          <w:szCs w:val="20"/>
          <w:lang w:val="en-US"/>
        </w:rPr>
      </w:pPr>
      <w:r w:rsidRPr="007E12AF">
        <w:rPr>
          <w:b/>
          <w:bCs/>
          <w:sz w:val="20"/>
          <w:szCs w:val="20"/>
          <w:lang w:val="en-US"/>
        </w:rPr>
        <w:t>Keywords</w:t>
      </w:r>
      <w:r w:rsidR="003C22A8" w:rsidRPr="007E12AF">
        <w:rPr>
          <w:sz w:val="20"/>
          <w:szCs w:val="20"/>
          <w:lang w:val="en-US"/>
        </w:rPr>
        <w:t>:</w:t>
      </w:r>
      <w:r w:rsidR="00D019D2" w:rsidRPr="007E12AF">
        <w:rPr>
          <w:sz w:val="20"/>
          <w:szCs w:val="20"/>
          <w:lang w:val="en-US"/>
        </w:rPr>
        <w:t xml:space="preserve"> </w:t>
      </w:r>
      <w:r w:rsidR="007E12AF">
        <w:rPr>
          <w:sz w:val="20"/>
          <w:szCs w:val="20"/>
          <w:lang w:val="en-US"/>
        </w:rPr>
        <w:t xml:space="preserve">European Union, </w:t>
      </w:r>
      <w:proofErr w:type="spellStart"/>
      <w:r w:rsidR="007E12AF">
        <w:rPr>
          <w:sz w:val="20"/>
          <w:szCs w:val="20"/>
          <w:lang w:val="en-US"/>
        </w:rPr>
        <w:t>chrildren’s</w:t>
      </w:r>
      <w:proofErr w:type="spellEnd"/>
      <w:r w:rsidR="007E12AF">
        <w:rPr>
          <w:sz w:val="20"/>
          <w:szCs w:val="20"/>
          <w:lang w:val="en-US"/>
        </w:rPr>
        <w:t xml:space="preserve"> rights, </w:t>
      </w:r>
      <w:proofErr w:type="gramStart"/>
      <w:r w:rsidR="007E12AF">
        <w:rPr>
          <w:sz w:val="20"/>
          <w:szCs w:val="20"/>
          <w:lang w:val="en-US"/>
        </w:rPr>
        <w:t>middle ages</w:t>
      </w:r>
      <w:proofErr w:type="gramEnd"/>
    </w:p>
    <w:p w14:paraId="3600E2A3" w14:textId="77777777" w:rsidR="00F5674F" w:rsidRPr="007E12AF" w:rsidRDefault="00F5674F" w:rsidP="00491690">
      <w:pPr>
        <w:shd w:val="clear" w:color="auto" w:fill="FFFFFF"/>
        <w:textAlignment w:val="top"/>
        <w:rPr>
          <w:b/>
          <w:bCs/>
          <w:lang w:val="en-US"/>
        </w:rPr>
      </w:pPr>
    </w:p>
    <w:p w14:paraId="35D23492" w14:textId="16AA6039" w:rsidR="003C22A8" w:rsidRPr="00AF28F7" w:rsidRDefault="003C22A8" w:rsidP="007E12AF">
      <w:pPr>
        <w:pStyle w:val="Ttulo1"/>
        <w:rPr>
          <w:sz w:val="20"/>
          <w:szCs w:val="20"/>
        </w:rPr>
      </w:pPr>
      <w:r w:rsidRPr="00AF28F7">
        <w:lastRenderedPageBreak/>
        <w:t>Introdução</w:t>
      </w:r>
    </w:p>
    <w:bookmarkEnd w:id="0"/>
    <w:p w14:paraId="7F1C9718" w14:textId="0A3A934C" w:rsidR="00316B79" w:rsidRPr="007E12AF" w:rsidRDefault="00316B79" w:rsidP="007E12AF">
      <w:r w:rsidRPr="007E12AF">
        <w:t xml:space="preserve">O entendimento de criança como entidade autónoma e objeto de preocupação específica é algo de muito recente. Na História e no Direito assim acontece. Com autoras provenientes dessas duas áreas de distinta </w:t>
      </w:r>
      <w:r w:rsidR="00CA5194" w:rsidRPr="007E12AF">
        <w:t>abordagem,</w:t>
      </w:r>
      <w:r w:rsidRPr="007E12AF">
        <w:t xml:space="preserve"> mas tão complementares entre si, foi intenção mostrar um possível ponto de partida e o ponto de chegada num hiato temporal </w:t>
      </w:r>
      <w:r w:rsidR="00CA5194" w:rsidRPr="007E12AF">
        <w:t>enorme,</w:t>
      </w:r>
      <w:r w:rsidRPr="007E12AF">
        <w:t xml:space="preserve"> mas assumido.</w:t>
      </w:r>
      <w:r w:rsidR="00A23288" w:rsidRPr="007E12AF">
        <w:t xml:space="preserve"> Um tema ainda tão pouco trabalhado em ambas as áreas.</w:t>
      </w:r>
    </w:p>
    <w:p w14:paraId="06DD5E6C" w14:textId="77808B64" w:rsidR="00316B79" w:rsidRPr="007E12AF" w:rsidRDefault="00A23288" w:rsidP="007E12AF">
      <w:r w:rsidRPr="007E12AF">
        <w:t>Como ponto de partida, as</w:t>
      </w:r>
      <w:r w:rsidR="00316B79" w:rsidRPr="007E12AF">
        <w:t xml:space="preserve"> Ordenações do Reino de Portugal </w:t>
      </w:r>
      <w:r w:rsidRPr="007E12AF">
        <w:t xml:space="preserve">que </w:t>
      </w:r>
      <w:r w:rsidR="00316B79" w:rsidRPr="007E12AF">
        <w:t>surgem no Direito do século XV</w:t>
      </w:r>
      <w:r w:rsidRPr="007E12AF">
        <w:t>, somente</w:t>
      </w:r>
      <w:r w:rsidR="00316B79" w:rsidRPr="007E12AF">
        <w:t xml:space="preserve">. Oferecidas pela intenção de D. João I em resposta a </w:t>
      </w:r>
      <w:r w:rsidR="00CA5194" w:rsidRPr="007E12AF">
        <w:t>Cortes,</w:t>
      </w:r>
      <w:r w:rsidR="00316B79" w:rsidRPr="007E12AF">
        <w:t xml:space="preserve"> mas apenas concretizadas com D. Afonso V. São elas o primeiro corpo de leis coeso do Reino de </w:t>
      </w:r>
      <w:r w:rsidR="00CA5194" w:rsidRPr="007E12AF">
        <w:t>Portugal,</w:t>
      </w:r>
      <w:r w:rsidR="00316B79" w:rsidRPr="007E12AF">
        <w:t xml:space="preserve"> mas</w:t>
      </w:r>
      <w:r w:rsidR="00CA5194" w:rsidRPr="007E12AF">
        <w:t>,</w:t>
      </w:r>
      <w:r w:rsidR="00316B79" w:rsidRPr="007E12AF">
        <w:t xml:space="preserve"> apenas com a sua alteração orientada por D. Manuel se tornam efetivas. Das Ordenações Manuelinas</w:t>
      </w:r>
      <w:r w:rsidRPr="007E12AF">
        <w:t>, o texto</w:t>
      </w:r>
      <w:r w:rsidR="00316B79" w:rsidRPr="007E12AF">
        <w:t xml:space="preserve"> pouco evolui para as Ordenações Filipinas, que atravessam a História portuguesa até à segunda metade do século XIX</w:t>
      </w:r>
      <w:r w:rsidRPr="007E12AF">
        <w:t xml:space="preserve"> (1867)</w:t>
      </w:r>
      <w:r w:rsidR="00316B79" w:rsidRPr="007E12AF">
        <w:t>.</w:t>
      </w:r>
    </w:p>
    <w:p w14:paraId="757BFB85" w14:textId="68D3BA02" w:rsidR="00316B79" w:rsidRPr="007E12AF" w:rsidRDefault="00316B79" w:rsidP="00316B79">
      <w:pPr>
        <w:ind w:firstLine="708"/>
      </w:pPr>
      <w:r w:rsidRPr="007E12AF">
        <w:t>C</w:t>
      </w:r>
      <w:r w:rsidR="00B5770C" w:rsidRPr="007E12AF">
        <w:t>omo ponto de chegada, c</w:t>
      </w:r>
      <w:r w:rsidRPr="007E12AF">
        <w:t>á bem longe, em 1950, na Europa, pela mão da França com a adesão de seis Estados fundadores, surge um novo projeto de integração regional entre os Estados a recuperar da II Guerra Mundial que crescerá pela paz por 70 anos até à União Europeia de 27 Estados hoje. Formando um acervo documental que cria uma ordem jurídica ímpar.</w:t>
      </w:r>
    </w:p>
    <w:p w14:paraId="306D168D" w14:textId="1E6EE800" w:rsidR="00316B79" w:rsidRPr="007E12AF" w:rsidRDefault="00316B79" w:rsidP="00316B79">
      <w:pPr>
        <w:ind w:firstLine="708"/>
      </w:pPr>
      <w:r w:rsidRPr="007E12AF">
        <w:t xml:space="preserve">Nas Ordenações Portuguesas de ontem e na União Europeia de hoje podemos encontrar a criança com um estatuto próprio? Foi o </w:t>
      </w:r>
      <w:r w:rsidR="00303FC8" w:rsidRPr="007E12AF">
        <w:t>rumo</w:t>
      </w:r>
      <w:r w:rsidRPr="007E12AF">
        <w:t xml:space="preserve"> para uma viagem de História do Direito.</w:t>
      </w:r>
    </w:p>
    <w:p w14:paraId="6406F52A" w14:textId="77777777" w:rsidR="00316B79" w:rsidRPr="007E12AF" w:rsidRDefault="00316B79" w:rsidP="00316B79">
      <w:pPr>
        <w:ind w:firstLine="708"/>
      </w:pPr>
      <w:r w:rsidRPr="007E12AF">
        <w:t>Da análise documental das Ordenações Afonsinas e das Ordenações Manuelinas saem breves indicações sobre o entendimento de criança ao tempo.</w:t>
      </w:r>
    </w:p>
    <w:p w14:paraId="79F83335" w14:textId="518F35C1" w:rsidR="00316B79" w:rsidRPr="007E12AF" w:rsidRDefault="00316B79" w:rsidP="00316B79">
      <w:pPr>
        <w:ind w:firstLine="708"/>
      </w:pPr>
      <w:r w:rsidRPr="007E12AF">
        <w:t xml:space="preserve">Depois, já nos dias presentes, da análise dos Tratados </w:t>
      </w:r>
      <w:proofErr w:type="spellStart"/>
      <w:r w:rsidRPr="007E12AF">
        <w:t>institutivos</w:t>
      </w:r>
      <w:proofErr w:type="spellEnd"/>
      <w:r w:rsidRPr="007E12AF">
        <w:t xml:space="preserve"> da União Europeia – o Tratado da União Europeia (TUE) e o Tratado sobre o Funcionamento da União Europeia (TFUE) – resulta a presença da criança nas competências desta organização de Estados e de cidadãos. Ainda, </w:t>
      </w:r>
      <w:r w:rsidR="00303FC8" w:rsidRPr="007E12AF">
        <w:t>const</w:t>
      </w:r>
      <w:r w:rsidRPr="007E12AF">
        <w:t>a</w:t>
      </w:r>
      <w:r w:rsidR="00303FC8" w:rsidRPr="007E12AF">
        <w:t xml:space="preserve"> na</w:t>
      </w:r>
      <w:r w:rsidRPr="007E12AF">
        <w:t xml:space="preserve"> Carta dos Direitos Fundamentais da União Europeia (CDFUE) e em crescente documentação institucional.</w:t>
      </w:r>
    </w:p>
    <w:p w14:paraId="41D1681F" w14:textId="77777777" w:rsidR="00316B79" w:rsidRPr="007E12AF" w:rsidRDefault="00316B79" w:rsidP="00316B79">
      <w:pPr>
        <w:ind w:firstLine="708"/>
      </w:pPr>
      <w:r w:rsidRPr="007E12AF">
        <w:t>Uma viagem através de documentos fundadores, em cada época, ontem em Portugal e hoje na Europa.</w:t>
      </w:r>
    </w:p>
    <w:p w14:paraId="558EE528" w14:textId="2BBEF79E" w:rsidR="007C453D" w:rsidRPr="007E12AF" w:rsidRDefault="007C453D" w:rsidP="00316B79">
      <w:pPr>
        <w:ind w:firstLine="708"/>
      </w:pPr>
      <w:r w:rsidRPr="007E12AF">
        <w:t>Como tantas vezes acontece no estudo da História, o que importa é mais o processo do que o resultado. Até porque, neste tema, o resultado está no Direito, nos textos legislativos de cada época. O gratificante é o processo de análise dos mesmos.</w:t>
      </w:r>
    </w:p>
    <w:p w14:paraId="4BE312CD" w14:textId="5702FD15" w:rsidR="00E870BC" w:rsidRPr="007E12AF" w:rsidRDefault="004170BE" w:rsidP="007E12AF">
      <w:pPr>
        <w:pStyle w:val="Ttulo1"/>
        <w:rPr>
          <w:sz w:val="20"/>
          <w:szCs w:val="20"/>
        </w:rPr>
      </w:pPr>
      <w:r w:rsidRPr="007E12AF">
        <w:lastRenderedPageBreak/>
        <w:t xml:space="preserve">1. </w:t>
      </w:r>
      <w:r w:rsidR="00E55B6E" w:rsidRPr="007E12AF">
        <w:t>As Ordenações do Reino de Portugal</w:t>
      </w:r>
      <w:r w:rsidR="00564425" w:rsidRPr="007E12AF">
        <w:t xml:space="preserve"> – ontem </w:t>
      </w:r>
    </w:p>
    <w:p w14:paraId="1B092545" w14:textId="63FCBC44" w:rsidR="00E870BC" w:rsidRPr="00B24F48" w:rsidRDefault="000F65CC" w:rsidP="004170BE">
      <w:pPr>
        <w:rPr>
          <w:bCs/>
        </w:rPr>
      </w:pPr>
      <w:r w:rsidRPr="007E12AF">
        <w:rPr>
          <w:bCs/>
        </w:rPr>
        <w:t>Com uma das</w:t>
      </w:r>
      <w:r w:rsidR="002A3103" w:rsidRPr="007E12AF">
        <w:rPr>
          <w:bCs/>
        </w:rPr>
        <w:t xml:space="preserve"> autora</w:t>
      </w:r>
      <w:r w:rsidRPr="007E12AF">
        <w:rPr>
          <w:bCs/>
        </w:rPr>
        <w:t>s</w:t>
      </w:r>
      <w:r w:rsidR="002A3103" w:rsidRPr="007E12AF">
        <w:rPr>
          <w:bCs/>
        </w:rPr>
        <w:t xml:space="preserve"> da área do Direito, como tal, busca</w:t>
      </w:r>
      <w:r w:rsidRPr="007E12AF">
        <w:rPr>
          <w:bCs/>
        </w:rPr>
        <w:t>ndo</w:t>
      </w:r>
      <w:r w:rsidR="002A3103" w:rsidRPr="007E12AF">
        <w:rPr>
          <w:bCs/>
        </w:rPr>
        <w:t xml:space="preserve"> sempre a base dos textos jurídicos para análise nos temas escolhidos</w:t>
      </w:r>
      <w:r w:rsidRPr="007E12AF">
        <w:rPr>
          <w:bCs/>
        </w:rPr>
        <w:t>, cumpre</w:t>
      </w:r>
      <w:r w:rsidR="002A3103" w:rsidRPr="007E12AF">
        <w:rPr>
          <w:bCs/>
        </w:rPr>
        <w:t>, i</w:t>
      </w:r>
      <w:r w:rsidRPr="007E12AF">
        <w:rPr>
          <w:bCs/>
        </w:rPr>
        <w:t>r</w:t>
      </w:r>
      <w:r w:rsidR="002A3103" w:rsidRPr="007E12AF">
        <w:rPr>
          <w:bCs/>
        </w:rPr>
        <w:t xml:space="preserve"> à menção do primeiro corpo de leis coeso do Reino de Portugal – as Ordenações Portuguesas. Primeira compilação oficial do direito vigente, resultante de repetidos pedidos em Cortes a que D. João I</w:t>
      </w:r>
      <w:r w:rsidR="003723A6" w:rsidRPr="007E12AF">
        <w:rPr>
          <w:bCs/>
        </w:rPr>
        <w:t xml:space="preserve">, </w:t>
      </w:r>
      <w:r w:rsidR="003723A6" w:rsidRPr="007E12AF">
        <w:rPr>
          <w:bCs/>
          <w:i/>
          <w:iCs/>
        </w:rPr>
        <w:t>O de Boa Memória</w:t>
      </w:r>
      <w:r w:rsidR="003723A6" w:rsidRPr="007E12AF">
        <w:rPr>
          <w:bCs/>
        </w:rPr>
        <w:t xml:space="preserve"> (</w:t>
      </w:r>
      <w:r w:rsidRPr="007E12AF">
        <w:t>10.º rei de Portugal</w:t>
      </w:r>
      <w:r w:rsidR="00AE6A04" w:rsidRPr="007E12AF">
        <w:t>,</w:t>
      </w:r>
      <w:r w:rsidRPr="007E12AF">
        <w:t xml:space="preserve"> 1385-1433</w:t>
      </w:r>
      <w:r w:rsidR="003723A6" w:rsidRPr="007E12AF">
        <w:rPr>
          <w:bCs/>
        </w:rPr>
        <w:t xml:space="preserve">) </w:t>
      </w:r>
      <w:r w:rsidR="002A3103" w:rsidRPr="007E12AF">
        <w:rPr>
          <w:bCs/>
        </w:rPr>
        <w:t>atende</w:t>
      </w:r>
      <w:r w:rsidRPr="007E12AF">
        <w:rPr>
          <w:bCs/>
        </w:rPr>
        <w:t>, desde 1385</w:t>
      </w:r>
      <w:r w:rsidR="002A3103" w:rsidRPr="007E12AF">
        <w:rPr>
          <w:bCs/>
        </w:rPr>
        <w:t>, ficarão apenas concluídas</w:t>
      </w:r>
      <w:r w:rsidR="00E9166D" w:rsidRPr="007E12AF">
        <w:rPr>
          <w:bCs/>
        </w:rPr>
        <w:t xml:space="preserve"> supõe-se que em 1446</w:t>
      </w:r>
      <w:r w:rsidR="002A3103" w:rsidRPr="007E12AF">
        <w:rPr>
          <w:bCs/>
        </w:rPr>
        <w:t xml:space="preserve"> já no reinado de D. Afonso V</w:t>
      </w:r>
      <w:r w:rsidR="003723A6" w:rsidRPr="007E12AF">
        <w:rPr>
          <w:bCs/>
        </w:rPr>
        <w:t xml:space="preserve">, </w:t>
      </w:r>
      <w:r w:rsidR="003723A6" w:rsidRPr="007E12AF">
        <w:rPr>
          <w:bCs/>
          <w:i/>
          <w:iCs/>
        </w:rPr>
        <w:t>O Africano</w:t>
      </w:r>
      <w:r w:rsidR="003723A6" w:rsidRPr="007E12AF">
        <w:rPr>
          <w:bCs/>
        </w:rPr>
        <w:t xml:space="preserve"> (</w:t>
      </w:r>
      <w:r w:rsidR="00247CA0" w:rsidRPr="007E12AF">
        <w:t>1438-14</w:t>
      </w:r>
      <w:r w:rsidR="00C7060F">
        <w:t>8</w:t>
      </w:r>
      <w:r w:rsidR="00247CA0" w:rsidRPr="007E12AF">
        <w:t>1</w:t>
      </w:r>
      <w:r w:rsidR="003723A6" w:rsidRPr="007E12AF">
        <w:rPr>
          <w:bCs/>
        </w:rPr>
        <w:t xml:space="preserve">) </w:t>
      </w:r>
      <w:r w:rsidR="006357F3" w:rsidRPr="007E12AF">
        <w:rPr>
          <w:bCs/>
        </w:rPr>
        <w:t>e, como enorme feito</w:t>
      </w:r>
      <w:r w:rsidR="00E9166D" w:rsidRPr="007E12AF">
        <w:rPr>
          <w:bCs/>
        </w:rPr>
        <w:t>, só poderiam levar a denominação de Ordenações Afonsinas</w:t>
      </w:r>
      <w:r w:rsidR="00247CA0" w:rsidRPr="007E12AF">
        <w:rPr>
          <w:bCs/>
        </w:rPr>
        <w:t xml:space="preserve">, celebrando </w:t>
      </w:r>
      <w:r w:rsidR="00247CA0" w:rsidRPr="00B24F48">
        <w:rPr>
          <w:bCs/>
        </w:rPr>
        <w:t>o feito e o reinado</w:t>
      </w:r>
      <w:r w:rsidR="00E9166D" w:rsidRPr="00B24F48">
        <w:rPr>
          <w:bCs/>
        </w:rPr>
        <w:t>.</w:t>
      </w:r>
    </w:p>
    <w:p w14:paraId="4D09A9A8" w14:textId="2E5A2D1A" w:rsidR="00E9166D" w:rsidRPr="00B24F48" w:rsidRDefault="00E9166D" w:rsidP="004170BE">
      <w:pPr>
        <w:rPr>
          <w:bCs/>
        </w:rPr>
      </w:pPr>
      <w:r w:rsidRPr="00B24F48">
        <w:rPr>
          <w:bCs/>
        </w:rPr>
        <w:t>Obra de extraordinário significado para a História do Direito</w:t>
      </w:r>
      <w:r w:rsidR="00AA768A" w:rsidRPr="00B24F48">
        <w:rPr>
          <w:rStyle w:val="Refdenotaderodap"/>
          <w:bCs/>
        </w:rPr>
        <w:footnoteReference w:id="4"/>
      </w:r>
      <w:r w:rsidRPr="00B24F48">
        <w:rPr>
          <w:bCs/>
        </w:rPr>
        <w:t>, de grande dimensão nos seus cinco Livros, divididos em Títulos e estes em Capítulos, não permitia, à data, de forma de divulgação eficaz. A sua aplicação por todo o Reino vem a acontecer apenas a partir de 1514, com a edição impressa por meio da introdução da imprensa no Reino em volta de 1497.</w:t>
      </w:r>
    </w:p>
    <w:p w14:paraId="0491C83D" w14:textId="54810387" w:rsidR="00E9166D" w:rsidRPr="00B24F48" w:rsidRDefault="00E9166D" w:rsidP="004170BE">
      <w:pPr>
        <w:rPr>
          <w:bCs/>
        </w:rPr>
      </w:pPr>
      <w:r w:rsidRPr="00B24F48">
        <w:rPr>
          <w:bCs/>
        </w:rPr>
        <w:t>Este imenso corpo de leis resultou de recolha com base em fontes variadas como o costume,</w:t>
      </w:r>
      <w:r w:rsidR="00571548" w:rsidRPr="00B24F48">
        <w:rPr>
          <w:bCs/>
        </w:rPr>
        <w:t xml:space="preserve"> o Código Visigótico de 654,</w:t>
      </w:r>
      <w:r w:rsidRPr="00B24F48">
        <w:rPr>
          <w:bCs/>
        </w:rPr>
        <w:t xml:space="preserve"> direito castelhano, leis gerais do Reino anteriores, </w:t>
      </w:r>
      <w:r w:rsidR="00571548" w:rsidRPr="00B24F48">
        <w:rPr>
          <w:bCs/>
        </w:rPr>
        <w:t>capítulos de Cortes, entre outras</w:t>
      </w:r>
      <w:r w:rsidRPr="00B24F48">
        <w:rPr>
          <w:bCs/>
        </w:rPr>
        <w:t>.</w:t>
      </w:r>
      <w:r w:rsidR="003362BC" w:rsidRPr="00B24F48">
        <w:rPr>
          <w:bCs/>
        </w:rPr>
        <w:t xml:space="preserve"> Também se apoia em alguns (poucos) trabalhos de compilação não oficiais como</w:t>
      </w:r>
      <w:r w:rsidR="00571548" w:rsidRPr="00B24F48">
        <w:rPr>
          <w:bCs/>
        </w:rPr>
        <w:t xml:space="preserve"> </w:t>
      </w:r>
      <w:r w:rsidR="00571548" w:rsidRPr="00B24F48">
        <w:t xml:space="preserve">o </w:t>
      </w:r>
      <w:r w:rsidR="00571548" w:rsidRPr="00B24F48">
        <w:rPr>
          <w:i/>
        </w:rPr>
        <w:t>Livro das Leis e Posturas</w:t>
      </w:r>
      <w:r w:rsidR="00571548" w:rsidRPr="00B24F48">
        <w:t>, dos finais do século XIV, ou</w:t>
      </w:r>
      <w:r w:rsidR="003362BC" w:rsidRPr="00B24F48">
        <w:rPr>
          <w:bCs/>
        </w:rPr>
        <w:t xml:space="preserve"> as Ordenações </w:t>
      </w:r>
      <w:proofErr w:type="spellStart"/>
      <w:r w:rsidR="003362BC" w:rsidRPr="00B24F48">
        <w:rPr>
          <w:bCs/>
        </w:rPr>
        <w:t>del</w:t>
      </w:r>
      <w:proofErr w:type="spellEnd"/>
      <w:r w:rsidR="003362BC" w:rsidRPr="00B24F48">
        <w:rPr>
          <w:bCs/>
        </w:rPr>
        <w:t xml:space="preserve"> rei D. Duarte, que citaremos.</w:t>
      </w:r>
      <w:r w:rsidRPr="00B24F48">
        <w:rPr>
          <w:bCs/>
        </w:rPr>
        <w:t xml:space="preserve"> Sofreu alterações de revisão acentuada a mando de D. Manuel</w:t>
      </w:r>
      <w:r w:rsidR="003328E2" w:rsidRPr="00B24F48">
        <w:rPr>
          <w:bCs/>
        </w:rPr>
        <w:t xml:space="preserve">, </w:t>
      </w:r>
      <w:r w:rsidR="003328E2" w:rsidRPr="00B24F48">
        <w:rPr>
          <w:bCs/>
          <w:i/>
          <w:iCs/>
        </w:rPr>
        <w:t>O Venturoso</w:t>
      </w:r>
      <w:r w:rsidR="003328E2" w:rsidRPr="00B24F48">
        <w:t xml:space="preserve"> </w:t>
      </w:r>
      <w:r w:rsidR="00FC3A9E" w:rsidRPr="00B24F48">
        <w:rPr>
          <w:bCs/>
        </w:rPr>
        <w:t>(</w:t>
      </w:r>
      <w:r w:rsidR="00FC3A9E" w:rsidRPr="00B24F48">
        <w:t>14.º rei de Portugal, 1495-1521</w:t>
      </w:r>
      <w:r w:rsidR="003328E2" w:rsidRPr="00B24F48">
        <w:rPr>
          <w:bCs/>
        </w:rPr>
        <w:t>)</w:t>
      </w:r>
      <w:r w:rsidRPr="00B24F48">
        <w:rPr>
          <w:bCs/>
        </w:rPr>
        <w:t>, em 1521, passando a Ordenações Manuelinas e, nova revisão, no possível do contexto político de união real, a mando de Filipe I de Portugal</w:t>
      </w:r>
      <w:r w:rsidR="0072633F" w:rsidRPr="00B24F48">
        <w:rPr>
          <w:bCs/>
        </w:rPr>
        <w:t xml:space="preserve">, </w:t>
      </w:r>
      <w:r w:rsidR="0072633F" w:rsidRPr="00B24F48">
        <w:rPr>
          <w:bCs/>
          <w:i/>
          <w:iCs/>
        </w:rPr>
        <w:t>O Prudente</w:t>
      </w:r>
      <w:r w:rsidR="0072633F" w:rsidRPr="00B24F48">
        <w:rPr>
          <w:bCs/>
        </w:rPr>
        <w:t xml:space="preserve"> (</w:t>
      </w:r>
      <w:r w:rsidR="00FC3A9E" w:rsidRPr="00B24F48">
        <w:t>18.º rei de Portugal, 1580-1598</w:t>
      </w:r>
      <w:r w:rsidR="0072633F" w:rsidRPr="00B24F48">
        <w:rPr>
          <w:bCs/>
        </w:rPr>
        <w:t>), também Filipe II de Espanha</w:t>
      </w:r>
      <w:r w:rsidRPr="00B24F48">
        <w:rPr>
          <w:bCs/>
        </w:rPr>
        <w:t>, ficando então como Ordenações Filipinas, em 1603.</w:t>
      </w:r>
      <w:r w:rsidR="003723A6" w:rsidRPr="00B24F48">
        <w:rPr>
          <w:bCs/>
        </w:rPr>
        <w:t xml:space="preserve"> Nessa versão terá a sua vigência mais longa, até 1867 no Reino de Portugal e até 1917 no Brasil.</w:t>
      </w:r>
    </w:p>
    <w:p w14:paraId="6CB99BB4" w14:textId="5CC0C74B" w:rsidR="001E13EF" w:rsidRPr="00B24F48" w:rsidRDefault="00A4463C" w:rsidP="007E12AF">
      <w:pPr>
        <w:pStyle w:val="Ttulo2"/>
      </w:pPr>
      <w:bookmarkStart w:id="2" w:name="_Hlk158105011"/>
      <w:r w:rsidRPr="00B24F48">
        <w:t xml:space="preserve">1.1. </w:t>
      </w:r>
      <w:r w:rsidR="00E55B6E" w:rsidRPr="00B24F48">
        <w:t>A presença da criança nos textos das Ordenações portuguesas</w:t>
      </w:r>
      <w:bookmarkEnd w:id="2"/>
    </w:p>
    <w:p w14:paraId="4BFE3888" w14:textId="77B55096" w:rsidR="006E1BC4" w:rsidRPr="00B24F48" w:rsidRDefault="00A44332" w:rsidP="006E1BC4">
      <w:pPr>
        <w:ind w:firstLine="708"/>
        <w:rPr>
          <w:color w:val="202122"/>
          <w:shd w:val="clear" w:color="auto" w:fill="FFFFFF"/>
        </w:rPr>
      </w:pPr>
      <w:r w:rsidRPr="00B24F48">
        <w:t xml:space="preserve">A ideia de infância </w:t>
      </w:r>
      <w:r w:rsidR="00A030B9" w:rsidRPr="00B24F48">
        <w:t>na História tem sido estudada.</w:t>
      </w:r>
      <w:r w:rsidR="003723A6" w:rsidRPr="00B24F48">
        <w:t xml:space="preserve"> Mas pouco.</w:t>
      </w:r>
      <w:r w:rsidR="003D18E9" w:rsidRPr="00B24F48">
        <w:rPr>
          <w:rStyle w:val="Refdenotaderodap"/>
        </w:rPr>
        <w:footnoteReference w:id="5"/>
      </w:r>
      <w:r w:rsidR="00A030B9" w:rsidRPr="00B24F48">
        <w:t xml:space="preserve"> </w:t>
      </w:r>
      <w:r w:rsidRPr="00B24F48">
        <w:t xml:space="preserve">O primeiro grande estudo sobre a Infância </w:t>
      </w:r>
      <w:r w:rsidRPr="00B24F48">
        <w:softHyphen/>
      </w:r>
      <w:r w:rsidRPr="00B24F48">
        <w:softHyphen/>
      </w:r>
      <w:r w:rsidRPr="00B24F48">
        <w:softHyphen/>
        <w:t xml:space="preserve">na Idade Média foi o realizado por Philippe </w:t>
      </w:r>
      <w:proofErr w:type="spellStart"/>
      <w:r w:rsidRPr="00B24F48">
        <w:t>Ariès</w:t>
      </w:r>
      <w:proofErr w:type="spellEnd"/>
      <w:r w:rsidRPr="00B24F48">
        <w:t xml:space="preserve">: </w:t>
      </w:r>
      <w:proofErr w:type="spellStart"/>
      <w:r w:rsidRPr="00B24F48">
        <w:rPr>
          <w:i/>
          <w:iCs/>
          <w:color w:val="202122"/>
          <w:shd w:val="clear" w:color="auto" w:fill="FFFFFF"/>
        </w:rPr>
        <w:t>L'enfant</w:t>
      </w:r>
      <w:proofErr w:type="spellEnd"/>
      <w:r w:rsidRPr="00B24F48">
        <w:rPr>
          <w:i/>
          <w:iCs/>
          <w:color w:val="202122"/>
          <w:shd w:val="clear" w:color="auto" w:fill="FFFFFF"/>
        </w:rPr>
        <w:t xml:space="preserve"> </w:t>
      </w:r>
      <w:proofErr w:type="spellStart"/>
      <w:r w:rsidRPr="00B24F48">
        <w:rPr>
          <w:i/>
          <w:iCs/>
          <w:color w:val="202122"/>
          <w:shd w:val="clear" w:color="auto" w:fill="FFFFFF"/>
        </w:rPr>
        <w:t>et</w:t>
      </w:r>
      <w:proofErr w:type="spellEnd"/>
      <w:r w:rsidRPr="00B24F48">
        <w:rPr>
          <w:i/>
          <w:iCs/>
          <w:color w:val="202122"/>
          <w:shd w:val="clear" w:color="auto" w:fill="FFFFFF"/>
        </w:rPr>
        <w:t xml:space="preserve"> la </w:t>
      </w:r>
      <w:proofErr w:type="spellStart"/>
      <w:r w:rsidRPr="00B24F48">
        <w:rPr>
          <w:i/>
          <w:iCs/>
          <w:color w:val="202122"/>
          <w:shd w:val="clear" w:color="auto" w:fill="FFFFFF"/>
        </w:rPr>
        <w:lastRenderedPageBreak/>
        <w:t>vie</w:t>
      </w:r>
      <w:proofErr w:type="spellEnd"/>
      <w:r w:rsidRPr="00B24F48">
        <w:rPr>
          <w:i/>
          <w:iCs/>
          <w:color w:val="202122"/>
          <w:shd w:val="clear" w:color="auto" w:fill="FFFFFF"/>
        </w:rPr>
        <w:t xml:space="preserve"> </w:t>
      </w:r>
      <w:proofErr w:type="spellStart"/>
      <w:r w:rsidRPr="00B24F48">
        <w:rPr>
          <w:i/>
          <w:iCs/>
          <w:color w:val="202122"/>
          <w:shd w:val="clear" w:color="auto" w:fill="FFFFFF"/>
        </w:rPr>
        <w:t>familiale</w:t>
      </w:r>
      <w:proofErr w:type="spellEnd"/>
      <w:r w:rsidRPr="00B24F48">
        <w:rPr>
          <w:i/>
          <w:iCs/>
          <w:color w:val="202122"/>
          <w:shd w:val="clear" w:color="auto" w:fill="FFFFFF"/>
        </w:rPr>
        <w:t xml:space="preserve"> </w:t>
      </w:r>
      <w:proofErr w:type="spellStart"/>
      <w:r w:rsidRPr="00B24F48">
        <w:rPr>
          <w:i/>
          <w:iCs/>
          <w:color w:val="202122"/>
          <w:shd w:val="clear" w:color="auto" w:fill="FFFFFF"/>
        </w:rPr>
        <w:t>sous</w:t>
      </w:r>
      <w:proofErr w:type="spellEnd"/>
      <w:r w:rsidRPr="00B24F48">
        <w:rPr>
          <w:i/>
          <w:iCs/>
          <w:color w:val="202122"/>
          <w:shd w:val="clear" w:color="auto" w:fill="FFFFFF"/>
        </w:rPr>
        <w:t xml:space="preserve"> </w:t>
      </w:r>
      <w:proofErr w:type="spellStart"/>
      <w:r w:rsidRPr="00B24F48">
        <w:rPr>
          <w:i/>
          <w:iCs/>
          <w:color w:val="202122"/>
          <w:shd w:val="clear" w:color="auto" w:fill="FFFFFF"/>
        </w:rPr>
        <w:t>l'Ancien</w:t>
      </w:r>
      <w:proofErr w:type="spellEnd"/>
      <w:r w:rsidRPr="00B24F48">
        <w:rPr>
          <w:i/>
          <w:iCs/>
          <w:color w:val="202122"/>
          <w:shd w:val="clear" w:color="auto" w:fill="FFFFFF"/>
        </w:rPr>
        <w:t xml:space="preserve"> </w:t>
      </w:r>
      <w:proofErr w:type="spellStart"/>
      <w:r w:rsidRPr="00B24F48">
        <w:rPr>
          <w:i/>
          <w:iCs/>
          <w:color w:val="202122"/>
          <w:shd w:val="clear" w:color="auto" w:fill="FFFFFF"/>
        </w:rPr>
        <w:t>Régime</w:t>
      </w:r>
      <w:proofErr w:type="spellEnd"/>
      <w:r w:rsidRPr="00B24F48">
        <w:rPr>
          <w:color w:val="202122"/>
          <w:shd w:val="clear" w:color="auto" w:fill="FFFFFF"/>
        </w:rPr>
        <w:t> publicado em 1960</w:t>
      </w:r>
      <w:r w:rsidR="00877909" w:rsidRPr="00B24F48">
        <w:rPr>
          <w:rStyle w:val="Refdenotaderodap"/>
          <w:color w:val="202122"/>
          <w:shd w:val="clear" w:color="auto" w:fill="FFFFFF"/>
        </w:rPr>
        <w:footnoteReference w:id="6"/>
      </w:r>
      <w:r w:rsidRPr="00B24F48">
        <w:rPr>
          <w:color w:val="202122"/>
          <w:shd w:val="clear" w:color="auto" w:fill="FFFFFF"/>
        </w:rPr>
        <w:t>.</w:t>
      </w:r>
      <w:r w:rsidR="006E1BC4" w:rsidRPr="00B24F48">
        <w:rPr>
          <w:color w:val="202122"/>
          <w:shd w:val="clear" w:color="auto" w:fill="FFFFFF"/>
        </w:rPr>
        <w:t xml:space="preserve"> Apesar de não se encontrarem </w:t>
      </w:r>
      <w:r w:rsidR="003723A6" w:rsidRPr="00B24F48">
        <w:rPr>
          <w:color w:val="202122"/>
          <w:shd w:val="clear" w:color="auto" w:fill="FFFFFF"/>
        </w:rPr>
        <w:t>muitos documentos legislativos</w:t>
      </w:r>
      <w:r w:rsidR="006E1BC4" w:rsidRPr="00B24F48">
        <w:rPr>
          <w:color w:val="202122"/>
          <w:shd w:val="clear" w:color="auto" w:fill="FFFFFF"/>
        </w:rPr>
        <w:t xml:space="preserve"> sobre a vida infantil na Idade Média, é possível verificar que a legislação é parca em tratar o tema da infância e da sua proteção</w:t>
      </w:r>
      <w:r w:rsidR="006705B5" w:rsidRPr="00B24F48">
        <w:rPr>
          <w:rStyle w:val="Refdenotaderodap"/>
          <w:color w:val="202122"/>
          <w:shd w:val="clear" w:color="auto" w:fill="FFFFFF"/>
        </w:rPr>
        <w:footnoteReference w:id="7"/>
      </w:r>
      <w:r w:rsidR="006E1BC4" w:rsidRPr="00B24F48">
        <w:rPr>
          <w:color w:val="202122"/>
          <w:shd w:val="clear" w:color="auto" w:fill="FFFFFF"/>
        </w:rPr>
        <w:t>.</w:t>
      </w:r>
      <w:r w:rsidR="003723A6" w:rsidRPr="00B24F48">
        <w:rPr>
          <w:color w:val="202122"/>
          <w:shd w:val="clear" w:color="auto" w:fill="FFFFFF"/>
        </w:rPr>
        <w:t xml:space="preserve"> De modo que se apresenta ainda como um tema de estudo a desenvolver.</w:t>
      </w:r>
    </w:p>
    <w:p w14:paraId="2FFB193F" w14:textId="2793BAF2" w:rsidR="00824D3E" w:rsidRPr="00B24F48" w:rsidRDefault="00D3576C" w:rsidP="001B75EE">
      <w:pPr>
        <w:ind w:firstLine="708"/>
        <w:rPr>
          <w:bCs/>
        </w:rPr>
      </w:pPr>
      <w:r w:rsidRPr="00B24F48">
        <w:rPr>
          <w:color w:val="202122"/>
          <w:shd w:val="clear" w:color="auto" w:fill="FFFFFF"/>
        </w:rPr>
        <w:t xml:space="preserve">Uma das questões levantadas pelas Ordenações de D. Duarte, tema repetido nas Ordenações subsequentes, prende-se com o entendimento das fases de vida que se inicia na infância e das responsabilidades ou direitos respetivos. </w:t>
      </w:r>
      <w:r w:rsidR="00A44332" w:rsidRPr="00B24F48">
        <w:rPr>
          <w:color w:val="202122"/>
          <w:shd w:val="clear" w:color="auto" w:fill="FFFFFF"/>
        </w:rPr>
        <w:t>O Direito Canónico fixava a maior idade para as mulheres em 12 anos e para os homens em 14 anos</w:t>
      </w:r>
      <w:r w:rsidR="006705B5" w:rsidRPr="00B24F48">
        <w:rPr>
          <w:rStyle w:val="Refdenotaderodap"/>
          <w:color w:val="202122"/>
          <w:shd w:val="clear" w:color="auto" w:fill="FFFFFF"/>
        </w:rPr>
        <w:footnoteReference w:id="8"/>
      </w:r>
      <w:r w:rsidR="00A44332" w:rsidRPr="00B24F48">
        <w:rPr>
          <w:color w:val="202122"/>
          <w:shd w:val="clear" w:color="auto" w:fill="FFFFFF"/>
        </w:rPr>
        <w:t xml:space="preserve">. </w:t>
      </w:r>
      <w:r w:rsidRPr="00B24F48">
        <w:rPr>
          <w:color w:val="202122"/>
          <w:shd w:val="clear" w:color="auto" w:fill="FFFFFF"/>
        </w:rPr>
        <w:t>Este entendimento está também explicito n</w:t>
      </w:r>
      <w:r w:rsidR="00A030B9" w:rsidRPr="00B24F48">
        <w:rPr>
          <w:color w:val="202122"/>
          <w:shd w:val="clear" w:color="auto" w:fill="FFFFFF"/>
        </w:rPr>
        <w:t>a</w:t>
      </w:r>
      <w:r w:rsidR="00A44332" w:rsidRPr="00B24F48">
        <w:rPr>
          <w:color w:val="202122"/>
          <w:shd w:val="clear" w:color="auto" w:fill="FFFFFF"/>
        </w:rPr>
        <w:t xml:space="preserve">s </w:t>
      </w:r>
      <w:r w:rsidR="00A030B9" w:rsidRPr="00B24F48">
        <w:rPr>
          <w:color w:val="202122"/>
          <w:shd w:val="clear" w:color="auto" w:fill="FFFFFF"/>
        </w:rPr>
        <w:t>O</w:t>
      </w:r>
      <w:r w:rsidR="00A44332" w:rsidRPr="00B24F48">
        <w:rPr>
          <w:color w:val="202122"/>
          <w:shd w:val="clear" w:color="auto" w:fill="FFFFFF"/>
        </w:rPr>
        <w:t>rdenações de D. Duarte</w:t>
      </w:r>
      <w:r w:rsidRPr="00B24F48">
        <w:rPr>
          <w:color w:val="202122"/>
          <w:shd w:val="clear" w:color="auto" w:fill="FFFFFF"/>
        </w:rPr>
        <w:t xml:space="preserve"> que </w:t>
      </w:r>
      <w:r w:rsidR="00A44332" w:rsidRPr="00B24F48">
        <w:rPr>
          <w:color w:val="202122"/>
          <w:shd w:val="clear" w:color="auto" w:fill="FFFFFF"/>
        </w:rPr>
        <w:t>são elucidativas quanto a esta</w:t>
      </w:r>
      <w:r w:rsidRPr="00B24F48">
        <w:rPr>
          <w:color w:val="202122"/>
          <w:shd w:val="clear" w:color="auto" w:fill="FFFFFF"/>
        </w:rPr>
        <w:t>s balizas da maior idade,</w:t>
      </w:r>
      <w:r w:rsidR="00A44332" w:rsidRPr="00B24F48">
        <w:rPr>
          <w:color w:val="202122"/>
          <w:shd w:val="clear" w:color="auto" w:fill="FFFFFF"/>
        </w:rPr>
        <w:t xml:space="preserve"> referindo-se à idade </w:t>
      </w:r>
      <w:r w:rsidR="00A44332" w:rsidRPr="00B24F48">
        <w:rPr>
          <w:i/>
          <w:iCs/>
          <w:color w:val="202122"/>
          <w:shd w:val="clear" w:color="auto" w:fill="FFFFFF"/>
        </w:rPr>
        <w:t xml:space="preserve">de </w:t>
      </w:r>
      <w:proofErr w:type="spellStart"/>
      <w:r w:rsidR="00A44332" w:rsidRPr="00B24F48">
        <w:rPr>
          <w:i/>
          <w:iCs/>
          <w:color w:val="202122"/>
          <w:shd w:val="clear" w:color="auto" w:fill="FFFFFF"/>
        </w:rPr>
        <w:t>révora</w:t>
      </w:r>
      <w:proofErr w:type="spellEnd"/>
      <w:r w:rsidR="00A44332" w:rsidRPr="00B24F48">
        <w:rPr>
          <w:color w:val="202122"/>
          <w:shd w:val="clear" w:color="auto" w:fill="FFFFFF"/>
        </w:rPr>
        <w:t xml:space="preserve"> como uma idade em que se alcança uma certa autonomia podendo decidir sobre </w:t>
      </w:r>
      <w:r w:rsidR="00CA5194" w:rsidRPr="00B24F48">
        <w:rPr>
          <w:color w:val="202122"/>
          <w:shd w:val="clear" w:color="auto" w:fill="FFFFFF"/>
        </w:rPr>
        <w:t xml:space="preserve">algumas </w:t>
      </w:r>
      <w:r w:rsidR="00A44332" w:rsidRPr="00B24F48">
        <w:rPr>
          <w:color w:val="202122"/>
          <w:shd w:val="clear" w:color="auto" w:fill="FFFFFF"/>
        </w:rPr>
        <w:t>questões patrimoniais</w:t>
      </w:r>
      <w:r w:rsidR="00CA5194" w:rsidRPr="00B24F48">
        <w:rPr>
          <w:rStyle w:val="Refdenotaderodap"/>
          <w:color w:val="202122"/>
          <w:shd w:val="clear" w:color="auto" w:fill="FFFFFF"/>
        </w:rPr>
        <w:footnoteReference w:id="9"/>
      </w:r>
      <w:r w:rsidR="00A44332" w:rsidRPr="00B24F48">
        <w:rPr>
          <w:color w:val="202122"/>
          <w:shd w:val="clear" w:color="auto" w:fill="FFFFFF"/>
        </w:rPr>
        <w:t xml:space="preserve">. </w:t>
      </w:r>
      <w:r w:rsidRPr="00B24F48">
        <w:rPr>
          <w:color w:val="202122"/>
          <w:shd w:val="clear" w:color="auto" w:fill="FFFFFF"/>
        </w:rPr>
        <w:t xml:space="preserve">Serão marcos importantes de vida que permitem antever a passagem da infância para uma nova fase de vida, mais responsável, mais autónoma. </w:t>
      </w:r>
      <w:r w:rsidR="00A44332" w:rsidRPr="00B24F48">
        <w:rPr>
          <w:color w:val="202122"/>
          <w:shd w:val="clear" w:color="auto" w:fill="FFFFFF"/>
        </w:rPr>
        <w:t>Permite-nos observar que</w:t>
      </w:r>
      <w:r w:rsidR="00CA5194" w:rsidRPr="00B24F48">
        <w:rPr>
          <w:color w:val="202122"/>
          <w:shd w:val="clear" w:color="auto" w:fill="FFFFFF"/>
        </w:rPr>
        <w:t>, pelas Ordenações Afonsinas,</w:t>
      </w:r>
      <w:r w:rsidR="00A44332" w:rsidRPr="00B24F48">
        <w:rPr>
          <w:color w:val="202122"/>
          <w:shd w:val="clear" w:color="auto" w:fill="FFFFFF"/>
        </w:rPr>
        <w:t xml:space="preserve"> homens e mulheres alcançam a autonomia em idades diferenciadas</w:t>
      </w:r>
      <w:r w:rsidR="00CA5194" w:rsidRPr="00B24F48">
        <w:rPr>
          <w:color w:val="202122"/>
          <w:shd w:val="clear" w:color="auto" w:fill="FFFFFF"/>
        </w:rPr>
        <w:t>, acompanhando o previsto no Direito Canónico. A</w:t>
      </w:r>
      <w:r w:rsidR="00A44332" w:rsidRPr="00B24F48">
        <w:rPr>
          <w:color w:val="202122"/>
          <w:shd w:val="clear" w:color="auto" w:fill="FFFFFF"/>
        </w:rPr>
        <w:t xml:space="preserve"> partir destas idades já é possível considerar que têm direito a decisão própria</w:t>
      </w:r>
      <w:r w:rsidR="00CA5194" w:rsidRPr="00B24F48">
        <w:rPr>
          <w:color w:val="202122"/>
          <w:shd w:val="clear" w:color="auto" w:fill="FFFFFF"/>
        </w:rPr>
        <w:t>, de acordo com as Ordenações</w:t>
      </w:r>
      <w:r w:rsidR="00AD611F" w:rsidRPr="00B24F48">
        <w:rPr>
          <w:rStyle w:val="Refdenotaderodap"/>
          <w:color w:val="202122"/>
          <w:shd w:val="clear" w:color="auto" w:fill="FFFFFF"/>
        </w:rPr>
        <w:footnoteReference w:id="10"/>
      </w:r>
      <w:r w:rsidR="00A44332" w:rsidRPr="00B24F48">
        <w:rPr>
          <w:color w:val="202122"/>
          <w:shd w:val="clear" w:color="auto" w:fill="FFFFFF"/>
        </w:rPr>
        <w:t>.</w:t>
      </w:r>
      <w:r w:rsidR="00824D3E" w:rsidRPr="00B24F48">
        <w:rPr>
          <w:color w:val="202122"/>
          <w:shd w:val="clear" w:color="auto" w:fill="FFFFFF"/>
        </w:rPr>
        <w:t xml:space="preserve"> </w:t>
      </w:r>
      <w:r w:rsidR="00824D3E" w:rsidRPr="00B24F48">
        <w:rPr>
          <w:bCs/>
        </w:rPr>
        <w:t>Ao longo dos diversos títulos</w:t>
      </w:r>
      <w:r w:rsidR="00896123" w:rsidRPr="00B24F48">
        <w:rPr>
          <w:bCs/>
        </w:rPr>
        <w:t>,</w:t>
      </w:r>
      <w:r w:rsidR="00824D3E" w:rsidRPr="00B24F48">
        <w:rPr>
          <w:bCs/>
        </w:rPr>
        <w:t xml:space="preserve"> as Ordenações Afonsinas e Manuelinas, vão </w:t>
      </w:r>
      <w:r w:rsidR="00896123" w:rsidRPr="00B24F48">
        <w:rPr>
          <w:bCs/>
        </w:rPr>
        <w:t>definindo</w:t>
      </w:r>
      <w:r w:rsidR="00824D3E" w:rsidRPr="00B24F48">
        <w:rPr>
          <w:bCs/>
        </w:rPr>
        <w:t xml:space="preserve"> as várias etapas da vida da criança</w:t>
      </w:r>
      <w:r w:rsidR="00896123" w:rsidRPr="00B24F48">
        <w:rPr>
          <w:bCs/>
        </w:rPr>
        <w:t xml:space="preserve"> estabelecendo normas e condutas quer para familiares quer para tutores na salvaguarda dos bens e direitos fundamentais. P</w:t>
      </w:r>
      <w:r w:rsidR="00880DFE" w:rsidRPr="00B24F48">
        <w:rPr>
          <w:bCs/>
        </w:rPr>
        <w:t>odem ser identificadas algumas dessas etapas de vida nos diferentes títulos das ordenações</w:t>
      </w:r>
      <w:r w:rsidR="00880DFE" w:rsidRPr="00B24F48">
        <w:rPr>
          <w:rStyle w:val="Refdenotaderodap"/>
          <w:bCs/>
        </w:rPr>
        <w:footnoteReference w:id="11"/>
      </w:r>
      <w:r w:rsidR="00880DFE" w:rsidRPr="00B24F48">
        <w:rPr>
          <w:bCs/>
        </w:rPr>
        <w:t>:</w:t>
      </w:r>
    </w:p>
    <w:p w14:paraId="4F0455E9" w14:textId="2C9ED351" w:rsidR="00824D3E" w:rsidRPr="00B24F48" w:rsidRDefault="00824D3E" w:rsidP="00824D3E">
      <w:pPr>
        <w:pStyle w:val="PargrafodaLista"/>
        <w:numPr>
          <w:ilvl w:val="0"/>
          <w:numId w:val="16"/>
        </w:numPr>
        <w:rPr>
          <w:bCs/>
        </w:rPr>
      </w:pPr>
      <w:r w:rsidRPr="00B24F48">
        <w:rPr>
          <w:bCs/>
        </w:rPr>
        <w:t>até aos 3 anos são educados pela mãe na falta do pai</w:t>
      </w:r>
    </w:p>
    <w:p w14:paraId="7460A52E" w14:textId="6C61530F" w:rsidR="00824D3E" w:rsidRPr="00B24F48" w:rsidRDefault="00824D3E" w:rsidP="00824D3E">
      <w:pPr>
        <w:pStyle w:val="PargrafodaLista"/>
        <w:numPr>
          <w:ilvl w:val="0"/>
          <w:numId w:val="16"/>
        </w:numPr>
        <w:rPr>
          <w:bCs/>
        </w:rPr>
      </w:pPr>
      <w:r w:rsidRPr="00B24F48">
        <w:rPr>
          <w:bCs/>
        </w:rPr>
        <w:t>7 anos podem ser prometidos em casamento</w:t>
      </w:r>
    </w:p>
    <w:p w14:paraId="3AADD83D" w14:textId="6CBC5A96" w:rsidR="00824D3E" w:rsidRPr="00B24F48" w:rsidRDefault="00824D3E" w:rsidP="00824D3E">
      <w:pPr>
        <w:pStyle w:val="PargrafodaLista"/>
        <w:numPr>
          <w:ilvl w:val="0"/>
          <w:numId w:val="16"/>
        </w:numPr>
        <w:rPr>
          <w:bCs/>
        </w:rPr>
      </w:pPr>
      <w:r w:rsidRPr="00B24F48">
        <w:rPr>
          <w:bCs/>
        </w:rPr>
        <w:t xml:space="preserve">12 (mulheres) ou 14 anos (homens), idade de </w:t>
      </w:r>
      <w:proofErr w:type="spellStart"/>
      <w:r w:rsidRPr="00B24F48">
        <w:rPr>
          <w:bCs/>
          <w:i/>
          <w:iCs/>
        </w:rPr>
        <w:t>révora</w:t>
      </w:r>
      <w:proofErr w:type="spellEnd"/>
      <w:r w:rsidRPr="00B24F48">
        <w:rPr>
          <w:bCs/>
        </w:rPr>
        <w:t xml:space="preserve"> em que adquire uma primeira autonomia</w:t>
      </w:r>
      <w:r w:rsidR="004B281C" w:rsidRPr="00B24F48">
        <w:rPr>
          <w:bCs/>
        </w:rPr>
        <w:t xml:space="preserve"> na pu</w:t>
      </w:r>
      <w:r w:rsidR="00896123" w:rsidRPr="00B24F48">
        <w:rPr>
          <w:bCs/>
        </w:rPr>
        <w:t>b</w:t>
      </w:r>
      <w:r w:rsidR="004B281C" w:rsidRPr="00B24F48">
        <w:rPr>
          <w:bCs/>
        </w:rPr>
        <w:t>erdade</w:t>
      </w:r>
      <w:r w:rsidR="00AD611F" w:rsidRPr="00B24F48">
        <w:rPr>
          <w:bCs/>
        </w:rPr>
        <w:t>.</w:t>
      </w:r>
    </w:p>
    <w:p w14:paraId="3A4D5FD2" w14:textId="10EC1B50" w:rsidR="00824D3E" w:rsidRPr="00B24F48" w:rsidRDefault="00824D3E" w:rsidP="00824D3E">
      <w:pPr>
        <w:pStyle w:val="PargrafodaLista"/>
        <w:numPr>
          <w:ilvl w:val="0"/>
          <w:numId w:val="16"/>
        </w:numPr>
        <w:rPr>
          <w:bCs/>
        </w:rPr>
      </w:pPr>
      <w:r w:rsidRPr="00B24F48">
        <w:rPr>
          <w:bCs/>
        </w:rPr>
        <w:t>18 anos idade de casamento</w:t>
      </w:r>
    </w:p>
    <w:p w14:paraId="4561D5F4" w14:textId="77777777" w:rsidR="00824D3E" w:rsidRPr="00B24F48" w:rsidRDefault="00824D3E" w:rsidP="00824D3E">
      <w:pPr>
        <w:pStyle w:val="PargrafodaLista"/>
        <w:numPr>
          <w:ilvl w:val="0"/>
          <w:numId w:val="16"/>
        </w:numPr>
        <w:rPr>
          <w:bCs/>
        </w:rPr>
      </w:pPr>
      <w:r w:rsidRPr="00B24F48">
        <w:rPr>
          <w:bCs/>
        </w:rPr>
        <w:lastRenderedPageBreak/>
        <w:t xml:space="preserve">18 (mulheres) ou 20 (homens) anos pode ser dada carta de </w:t>
      </w:r>
      <w:r w:rsidRPr="00B24F48">
        <w:t>carta de suprimento de idade dada pelos oficiais régios</w:t>
      </w:r>
    </w:p>
    <w:p w14:paraId="5559C33D" w14:textId="76B93794" w:rsidR="00824D3E" w:rsidRPr="00B24F48" w:rsidRDefault="00824D3E" w:rsidP="00824D3E">
      <w:pPr>
        <w:pStyle w:val="PargrafodaLista"/>
        <w:numPr>
          <w:ilvl w:val="0"/>
          <w:numId w:val="16"/>
        </w:numPr>
        <w:rPr>
          <w:bCs/>
        </w:rPr>
      </w:pPr>
      <w:r w:rsidRPr="00B24F48">
        <w:t>25 anos assume plenamente a maior idade.</w:t>
      </w:r>
    </w:p>
    <w:p w14:paraId="5A8BDAAE" w14:textId="77777777" w:rsidR="00DA36AB" w:rsidRPr="00B24F48" w:rsidRDefault="00DA36AB" w:rsidP="001B75EE">
      <w:pPr>
        <w:ind w:firstLine="708"/>
        <w:rPr>
          <w:bCs/>
        </w:rPr>
      </w:pPr>
    </w:p>
    <w:p w14:paraId="218CC1FF" w14:textId="7B9692D4" w:rsidR="00824D3E" w:rsidRPr="00B24F48" w:rsidRDefault="00824D3E" w:rsidP="001B75EE">
      <w:pPr>
        <w:ind w:firstLine="708"/>
        <w:rPr>
          <w:bCs/>
        </w:rPr>
      </w:pPr>
      <w:r w:rsidRPr="00B24F48">
        <w:rPr>
          <w:bCs/>
        </w:rPr>
        <w:t>Note-se que a mulher tem tempos diferenciados, sendo considerada maior aos 12 anos e não aos 14 ou com 18 anos pode solicitar carta de suprimento para obtenção de bens</w:t>
      </w:r>
      <w:r w:rsidR="00643F11" w:rsidRPr="00B24F48">
        <w:rPr>
          <w:bCs/>
        </w:rPr>
        <w:t>, numa etapa sempre 2 anos mais cedo com a ideia de emancipação que lhe permite constituir família</w:t>
      </w:r>
      <w:r w:rsidRPr="00B24F48">
        <w:rPr>
          <w:bCs/>
        </w:rPr>
        <w:t>.</w:t>
      </w:r>
    </w:p>
    <w:p w14:paraId="122A5384" w14:textId="2D248534" w:rsidR="00A030B9" w:rsidRPr="00B24F48" w:rsidRDefault="00A030B9" w:rsidP="00A030B9">
      <w:r w:rsidRPr="00B24F48">
        <w:rPr>
          <w:bCs/>
        </w:rPr>
        <w:t>Sem abordar</w:t>
      </w:r>
      <w:r w:rsidR="00824D3E" w:rsidRPr="00B24F48">
        <w:rPr>
          <w:bCs/>
        </w:rPr>
        <w:t xml:space="preserve"> ainda</w:t>
      </w:r>
      <w:r w:rsidRPr="00B24F48">
        <w:rPr>
          <w:bCs/>
        </w:rPr>
        <w:t xml:space="preserve"> em especial o regime de cada norma aplicável a crianças, refere-se </w:t>
      </w:r>
      <w:r w:rsidR="00824D3E" w:rsidRPr="00B24F48">
        <w:rPr>
          <w:bCs/>
        </w:rPr>
        <w:t>por vezes</w:t>
      </w:r>
      <w:r w:rsidRPr="00B24F48">
        <w:rPr>
          <w:bCs/>
        </w:rPr>
        <w:t xml:space="preserve"> a dificuldade de as determinar na medida em que encontramos previsões relativas às crianças com diversas denominações: </w:t>
      </w:r>
      <w:r w:rsidRPr="00B24F48">
        <w:t>criança, “</w:t>
      </w:r>
      <w:proofErr w:type="spellStart"/>
      <w:r w:rsidRPr="00B24F48">
        <w:t>horfõos</w:t>
      </w:r>
      <w:proofErr w:type="spellEnd"/>
      <w:r w:rsidRPr="00B24F48">
        <w:t>”, “</w:t>
      </w:r>
      <w:proofErr w:type="spellStart"/>
      <w:r w:rsidRPr="00B24F48">
        <w:t>meor</w:t>
      </w:r>
      <w:proofErr w:type="spellEnd"/>
      <w:r w:rsidRPr="00B24F48">
        <w:t xml:space="preserve"> d'</w:t>
      </w:r>
      <w:proofErr w:type="spellStart"/>
      <w:r w:rsidRPr="00B24F48">
        <w:t>hidade</w:t>
      </w:r>
      <w:proofErr w:type="spellEnd"/>
      <w:r w:rsidRPr="00B24F48">
        <w:t xml:space="preserve">”, “moço de </w:t>
      </w:r>
      <w:proofErr w:type="spellStart"/>
      <w:r w:rsidRPr="00B24F48">
        <w:t>hidade</w:t>
      </w:r>
      <w:proofErr w:type="spellEnd"/>
      <w:r w:rsidRPr="00B24F48">
        <w:t xml:space="preserve"> de doze </w:t>
      </w:r>
      <w:proofErr w:type="spellStart"/>
      <w:r w:rsidRPr="00B24F48">
        <w:t>annos</w:t>
      </w:r>
      <w:proofErr w:type="spellEnd"/>
      <w:r w:rsidRPr="00B24F48">
        <w:t xml:space="preserve">”, “homem, que </w:t>
      </w:r>
      <w:proofErr w:type="spellStart"/>
      <w:r w:rsidRPr="00B24F48">
        <w:t>feja</w:t>
      </w:r>
      <w:proofErr w:type="spellEnd"/>
      <w:r w:rsidRPr="00B24F48">
        <w:t xml:space="preserve"> </w:t>
      </w:r>
      <w:proofErr w:type="spellStart"/>
      <w:r w:rsidRPr="00B24F48">
        <w:t>meor</w:t>
      </w:r>
      <w:proofErr w:type="spellEnd"/>
      <w:r w:rsidRPr="00B24F48">
        <w:t xml:space="preserve"> (a) de quatorze </w:t>
      </w:r>
      <w:proofErr w:type="spellStart"/>
      <w:r w:rsidRPr="00B24F48">
        <w:t>annos</w:t>
      </w:r>
      <w:proofErr w:type="spellEnd"/>
      <w:r w:rsidRPr="00B24F48">
        <w:t xml:space="preserve">”. </w:t>
      </w:r>
    </w:p>
    <w:p w14:paraId="6D16D92E" w14:textId="445C376D" w:rsidR="00DA36AB" w:rsidRPr="00B24F48" w:rsidRDefault="00DA36AB" w:rsidP="00A030B9">
      <w:r w:rsidRPr="00B24F48">
        <w:t xml:space="preserve">Uma segunda questão a ser tratada nas Ordenações, com maior ou menos intensidade desde D. Duarte a D. Manuel, prende-se com a questão da proteção das crianças e o direito que têm sobre o seu património. Como exemplos, de salientar o </w:t>
      </w:r>
      <w:r w:rsidR="00995527" w:rsidRPr="00B24F48">
        <w:t>título</w:t>
      </w:r>
      <w:r w:rsidRPr="00B24F48">
        <w:t xml:space="preserve"> XXXIX do Livro 1 das Ordenações Afonsinas que refere explicitamente que se faça inventário dos bens dos órfãos para que se mantenha o direito ao seu património. Cabe aos escrivães dos órfãos proceder a esse inventário e à nomeação de tutor que acompanhará todo o processo.</w:t>
      </w:r>
      <w:r w:rsidR="007110BB" w:rsidRPr="00B24F48">
        <w:t xml:space="preserve"> Neste contexto de proteção à infância aos seus direitos as Ordenações Manuelinas são detalhadas nas descrições</w:t>
      </w:r>
      <w:r w:rsidR="007110BB" w:rsidRPr="00B24F48">
        <w:rPr>
          <w:rStyle w:val="Refdenotaderodap"/>
        </w:rPr>
        <w:footnoteReference w:id="12"/>
      </w:r>
      <w:r w:rsidR="007110BB" w:rsidRPr="00B24F48">
        <w:t xml:space="preserve">. Os tutores são obrigados a registos e ações em prol da defesa dos menores de idade e são punidas as negligências e abusos que referem muito detalhadamente. Neste artigo, são </w:t>
      </w:r>
      <w:proofErr w:type="gramStart"/>
      <w:r w:rsidR="003A6419" w:rsidRPr="00B24F48">
        <w:t>referidas</w:t>
      </w:r>
      <w:proofErr w:type="gramEnd"/>
      <w:r w:rsidR="007110BB" w:rsidRPr="00B24F48">
        <w:t xml:space="preserve"> obrigatoriedades e serviços que tutores, amas, juízes dos órfãos e a própria comunidade tem em apoiar o crescimento, a educação das crianças e a integração na sua vida adulta e ativa.</w:t>
      </w:r>
      <w:r w:rsidR="003A6419" w:rsidRPr="00B24F48">
        <w:t xml:space="preserve"> A condição social ditará a integração na escrita e na leitura e no seguimento de estudos. Todos têm direito a essa proteção quer tenham bens, quer sejam descendentes de oficiais mecânicos.</w:t>
      </w:r>
    </w:p>
    <w:p w14:paraId="249F1B58" w14:textId="36E81A66" w:rsidR="005233C1" w:rsidRPr="005233C1" w:rsidRDefault="00995527" w:rsidP="005233C1">
      <w:r w:rsidRPr="00B24F48">
        <w:t>As penalizações contidas neste referido T</w:t>
      </w:r>
      <w:r w:rsidR="005B5ED5" w:rsidRPr="00B24F48">
        <w:t>í</w:t>
      </w:r>
      <w:r w:rsidRPr="00B24F48">
        <w:t>tulo das Ordenações Manuelinas</w:t>
      </w:r>
      <w:r w:rsidRPr="00B24F48">
        <w:rPr>
          <w:rStyle w:val="Refdenotaderodap"/>
        </w:rPr>
        <w:footnoteReference w:id="13"/>
      </w:r>
      <w:r w:rsidRPr="00B24F48">
        <w:t xml:space="preserve">, anunciam uma enorme preocupação pelo </w:t>
      </w:r>
      <w:r w:rsidR="005B5ED5" w:rsidRPr="00B24F48">
        <w:t>bem-estar</w:t>
      </w:r>
      <w:r w:rsidRPr="00B24F48">
        <w:t xml:space="preserve"> das crianças, em particular os mais indefesos. </w:t>
      </w:r>
      <w:r w:rsidR="005233C1" w:rsidRPr="00B24F48">
        <w:t xml:space="preserve">Prevê-se a possibilidade de se aceder a uma tutoria de órfãos como forma de </w:t>
      </w:r>
      <w:r w:rsidR="005233C1" w:rsidRPr="00B24F48">
        <w:lastRenderedPageBreak/>
        <w:t>obtenção de mais um braço de trabalho na família, facto que é penalizado, ou situações de usurpação de bens de órfãos como forma de autossustento ou ainda, casos de abusos sexuais que são altamente punidos.</w:t>
      </w:r>
    </w:p>
    <w:p w14:paraId="7CD2B96E" w14:textId="61759546" w:rsidR="00A030B9" w:rsidRPr="007E12AF" w:rsidRDefault="00A030B9" w:rsidP="00A030B9">
      <w:pPr>
        <w:ind w:firstLine="708"/>
      </w:pPr>
      <w:r w:rsidRPr="007E12AF">
        <w:t>Ref</w:t>
      </w:r>
      <w:r w:rsidR="00824D3E" w:rsidRPr="007E12AF">
        <w:t>e</w:t>
      </w:r>
      <w:r w:rsidRPr="007E12AF">
        <w:t>r</w:t>
      </w:r>
      <w:r w:rsidR="00824D3E" w:rsidRPr="007E12AF">
        <w:t>e</w:t>
      </w:r>
      <w:r w:rsidRPr="007E12AF">
        <w:t>m-se a</w:t>
      </w:r>
      <w:r w:rsidR="00824D3E" w:rsidRPr="007E12AF">
        <w:t>lguma</w:t>
      </w:r>
      <w:r w:rsidRPr="007E12AF">
        <w:t xml:space="preserve">s leis das Ordenações </w:t>
      </w:r>
      <w:r w:rsidR="00824D3E" w:rsidRPr="007E12AF">
        <w:t>portuguesas</w:t>
      </w:r>
      <w:r w:rsidRPr="007E12AF">
        <w:t>. Como sabemos, haverá uma continuidade, com alterações e modificações de colocação nas subsequentes</w:t>
      </w:r>
      <w:r w:rsidR="00032990" w:rsidRPr="007E12AF">
        <w:t xml:space="preserve"> Ordenações Filipinas</w:t>
      </w:r>
      <w:r w:rsidR="0071223A" w:rsidRPr="007E12AF">
        <w:rPr>
          <w:rStyle w:val="Refdenotaderodap"/>
        </w:rPr>
        <w:footnoteReference w:id="14"/>
      </w:r>
      <w:r w:rsidRPr="007E12AF">
        <w:t>.</w:t>
      </w:r>
    </w:p>
    <w:p w14:paraId="34D9E110" w14:textId="4073E11D" w:rsidR="0053346A" w:rsidRDefault="00A030B9" w:rsidP="0090659E">
      <w:pPr>
        <w:ind w:firstLine="708"/>
      </w:pPr>
      <w:r w:rsidRPr="007E12AF">
        <w:t>O ponto comum é, como não podia deixar de ser, a não uniformidade porque a infância não era um estatuto considerado</w:t>
      </w:r>
      <w:r w:rsidR="00032990" w:rsidRPr="007E12AF">
        <w:t xml:space="preserve"> por si mesmo</w:t>
      </w:r>
      <w:r w:rsidRPr="007E12AF">
        <w:t xml:space="preserve"> à época e muito menos merecedora de </w:t>
      </w:r>
      <w:r w:rsidR="00032990" w:rsidRPr="007E12AF">
        <w:t>previs</w:t>
      </w:r>
      <w:r w:rsidRPr="007E12AF">
        <w:t>ão legal</w:t>
      </w:r>
      <w:r w:rsidR="001B75EE" w:rsidRPr="007E12AF">
        <w:t xml:space="preserve"> como um todo</w:t>
      </w:r>
      <w:r w:rsidR="004B113F" w:rsidRPr="007E12AF">
        <w:t>, desvalorizado a pontos de ser encarado como natural o desaparecimento da criança, voluntário ou involuntário</w:t>
      </w:r>
      <w:r w:rsidR="00877909" w:rsidRPr="007E12AF">
        <w:rPr>
          <w:rStyle w:val="Refdenotaderodap"/>
        </w:rPr>
        <w:footnoteReference w:id="15"/>
      </w:r>
      <w:r w:rsidRPr="007E12AF">
        <w:t>. Entendida</w:t>
      </w:r>
      <w:r w:rsidR="004B113F" w:rsidRPr="007E12AF">
        <w:t xml:space="preserve"> a criança</w:t>
      </w:r>
      <w:r w:rsidRPr="007E12AF">
        <w:t xml:space="preserve"> como</w:t>
      </w:r>
      <w:r w:rsidR="00BB7C7B" w:rsidRPr="007E12AF">
        <w:t xml:space="preserve"> brinquedo na tenra infância</w:t>
      </w:r>
      <w:r w:rsidR="00877909" w:rsidRPr="007E12AF">
        <w:rPr>
          <w:rStyle w:val="Refdenotaderodap"/>
        </w:rPr>
        <w:footnoteReference w:id="16"/>
      </w:r>
      <w:r w:rsidR="00BB7C7B" w:rsidRPr="007E12AF">
        <w:t xml:space="preserve">, passa diretamente para serviçal ou elemento de trabalho numa época em que </w:t>
      </w:r>
      <w:r w:rsidR="003D5299" w:rsidRPr="007E12AF">
        <w:t>a idade não era um dado muito importante nem certo</w:t>
      </w:r>
      <w:r w:rsidR="00474914" w:rsidRPr="007E12AF">
        <w:rPr>
          <w:rStyle w:val="Refdenotaderodap"/>
        </w:rPr>
        <w:footnoteReference w:id="17"/>
      </w:r>
      <w:r w:rsidR="009A35CE" w:rsidRPr="007E12AF">
        <w:t xml:space="preserve">. Difícil de generalizar a abordagem </w:t>
      </w:r>
      <w:r w:rsidR="001B75EE" w:rsidRPr="007E12AF">
        <w:t xml:space="preserve">entre as várias ordens </w:t>
      </w:r>
      <w:proofErr w:type="gramStart"/>
      <w:r w:rsidR="001B75EE" w:rsidRPr="007E12AF">
        <w:t>sociais</w:t>
      </w:r>
      <w:proofErr w:type="gramEnd"/>
      <w:r w:rsidR="001B75EE" w:rsidRPr="007E12AF">
        <w:t xml:space="preserve"> </w:t>
      </w:r>
      <w:r w:rsidR="009A35CE" w:rsidRPr="007E12AF">
        <w:t>mas</w:t>
      </w:r>
      <w:r w:rsidR="001B75EE" w:rsidRPr="007E12AF">
        <w:t xml:space="preserve"> procura-se o que</w:t>
      </w:r>
      <w:r w:rsidR="009A35CE" w:rsidRPr="007E12AF">
        <w:t xml:space="preserve"> seria </w:t>
      </w:r>
      <w:r w:rsidR="001B75EE" w:rsidRPr="007E12AF">
        <w:t>um</w:t>
      </w:r>
      <w:r w:rsidR="009A35CE" w:rsidRPr="007E12AF">
        <w:t xml:space="preserve">a tendência. Só a partir do século </w:t>
      </w:r>
      <w:r w:rsidR="00C84CD0" w:rsidRPr="007E12AF">
        <w:t>XIII se poderá sentir uma alteração pelo papel do ensino resultante da formação das universidades europeias</w:t>
      </w:r>
      <w:r w:rsidR="0090659E" w:rsidRPr="007E12AF">
        <w:t xml:space="preserve"> – Bolonha em 1088, Oxford em 1096, Paris em 1170, </w:t>
      </w:r>
      <w:proofErr w:type="spellStart"/>
      <w:r w:rsidR="00474914" w:rsidRPr="007E12AF">
        <w:t>Palência</w:t>
      </w:r>
      <w:proofErr w:type="spellEnd"/>
      <w:r w:rsidR="00474914" w:rsidRPr="007E12AF">
        <w:t xml:space="preserve"> em 1212, </w:t>
      </w:r>
      <w:r w:rsidR="0090659E" w:rsidRPr="007E12AF">
        <w:t>Salamanca em 1218, Valladolid em 1241</w:t>
      </w:r>
      <w:r w:rsidR="00474914" w:rsidRPr="007E12AF">
        <w:rPr>
          <w:rStyle w:val="Refdenotaderodap"/>
        </w:rPr>
        <w:footnoteReference w:id="18"/>
      </w:r>
      <w:r w:rsidR="0090659E" w:rsidRPr="007E12AF">
        <w:t xml:space="preserve"> –</w:t>
      </w:r>
      <w:r w:rsidR="00646EC6" w:rsidRPr="007E12AF">
        <w:t xml:space="preserve"> e só a partir do século XVI, lentamente, se começa a dar outra importância à infância</w:t>
      </w:r>
      <w:r w:rsidR="00877909" w:rsidRPr="007E12AF">
        <w:rPr>
          <w:rStyle w:val="Refdenotaderodap"/>
        </w:rPr>
        <w:footnoteReference w:id="19"/>
      </w:r>
      <w:r w:rsidR="00BB7C7B" w:rsidRPr="007E12AF">
        <w:t>.</w:t>
      </w:r>
    </w:p>
    <w:p w14:paraId="6DA447BF" w14:textId="64114A41" w:rsidR="00A030B9" w:rsidRPr="007E12AF" w:rsidRDefault="00A030B9" w:rsidP="00A030B9">
      <w:pPr>
        <w:ind w:firstLine="708"/>
      </w:pPr>
      <w:r w:rsidRPr="007E12AF">
        <w:t>Não se avança</w:t>
      </w:r>
      <w:r w:rsidR="00C84CD0" w:rsidRPr="007E12AF">
        <w:t xml:space="preserve"> na análise</w:t>
      </w:r>
      <w:r w:rsidRPr="007E12AF">
        <w:t xml:space="preserve"> para as Ordenações Filipinas visto que, apesar de acrescentarem legislação posterior, não alteram a anterior. Por razões políticas da União real com a Espanha, </w:t>
      </w:r>
      <w:r w:rsidR="0090659E" w:rsidRPr="007E12AF">
        <w:t>com a prudência de D. Filipe I em respeitar a tradição portuguesa</w:t>
      </w:r>
      <w:r w:rsidR="00474914" w:rsidRPr="007E12AF">
        <w:t>, a técnica legislativa das alterações às ordenações do Reino de Portugal não foi a mais eficaz, ainda que tenham sido as que mais perduraram</w:t>
      </w:r>
      <w:r w:rsidR="0090659E" w:rsidRPr="007E12AF">
        <w:t>.</w:t>
      </w:r>
    </w:p>
    <w:p w14:paraId="6081B6FA" w14:textId="77777777" w:rsidR="009873F2" w:rsidRPr="007E12AF" w:rsidRDefault="009873F2" w:rsidP="009873F2">
      <w:pPr>
        <w:ind w:firstLine="708"/>
        <w:rPr>
          <w:bCs/>
        </w:rPr>
      </w:pPr>
      <w:r w:rsidRPr="00C93614">
        <w:rPr>
          <w:bCs/>
        </w:rPr>
        <w:t xml:space="preserve">Em modo de registo singelo, seguem-se algumas transcrições escolhidas dos textos consultados e considerações sobre os mesmos, relativamente ao </w:t>
      </w:r>
      <w:proofErr w:type="spellStart"/>
      <w:r w:rsidRPr="00C93614">
        <w:rPr>
          <w:bCs/>
        </w:rPr>
        <w:t>objecto</w:t>
      </w:r>
      <w:proofErr w:type="spellEnd"/>
      <w:r w:rsidRPr="00C93614">
        <w:rPr>
          <w:bCs/>
        </w:rPr>
        <w:t xml:space="preserve"> delimitado.</w:t>
      </w:r>
    </w:p>
    <w:p w14:paraId="760BD982" w14:textId="740E6405" w:rsidR="008702AA" w:rsidRPr="007E12AF" w:rsidRDefault="008702AA" w:rsidP="003D18E9">
      <w:pPr>
        <w:pStyle w:val="Ttulo3"/>
      </w:pPr>
      <w:r w:rsidRPr="007E12AF">
        <w:lastRenderedPageBreak/>
        <w:t xml:space="preserve">1.1.1. Nas Ordenações </w:t>
      </w:r>
      <w:proofErr w:type="spellStart"/>
      <w:r w:rsidR="00C1578D" w:rsidRPr="007E12AF">
        <w:t>del</w:t>
      </w:r>
      <w:proofErr w:type="spellEnd"/>
      <w:r w:rsidR="00C1578D" w:rsidRPr="007E12AF">
        <w:t xml:space="preserve"> rei D. Duarte</w:t>
      </w:r>
    </w:p>
    <w:p w14:paraId="5BF7BCC4" w14:textId="5B2A3288" w:rsidR="00F92FC4" w:rsidRPr="007E12AF" w:rsidRDefault="00EE779A" w:rsidP="008702AA">
      <w:r w:rsidRPr="007E12AF">
        <w:rPr>
          <w:bCs/>
        </w:rPr>
        <w:t>Partindo da</w:t>
      </w:r>
      <w:r w:rsidR="0090659E" w:rsidRPr="007E12AF">
        <w:rPr>
          <w:bCs/>
        </w:rPr>
        <w:t xml:space="preserve"> fonte e anteriores</w:t>
      </w:r>
      <w:r w:rsidRPr="007E12AF">
        <w:rPr>
          <w:bCs/>
        </w:rPr>
        <w:t xml:space="preserve"> Ordenações de D. Duarte,</w:t>
      </w:r>
      <w:r w:rsidR="00781AAF" w:rsidRPr="007E12AF">
        <w:rPr>
          <w:bCs/>
        </w:rPr>
        <w:t xml:space="preserve"> </w:t>
      </w:r>
      <w:r w:rsidR="00AD6792" w:rsidRPr="007E12AF">
        <w:rPr>
          <w:bCs/>
        </w:rPr>
        <w:t xml:space="preserve">coletânea ainda sem valor </w:t>
      </w:r>
      <w:proofErr w:type="gramStart"/>
      <w:r w:rsidR="00AD6792" w:rsidRPr="007E12AF">
        <w:rPr>
          <w:bCs/>
        </w:rPr>
        <w:t>oficial</w:t>
      </w:r>
      <w:proofErr w:type="gramEnd"/>
      <w:r w:rsidR="00AD6792" w:rsidRPr="007E12AF">
        <w:rPr>
          <w:bCs/>
        </w:rPr>
        <w:t xml:space="preserve"> mas, </w:t>
      </w:r>
      <w:r w:rsidR="00781AAF" w:rsidRPr="007E12AF">
        <w:rPr>
          <w:bCs/>
        </w:rPr>
        <w:t>nas palavras de Martim de Albuquerque</w:t>
      </w:r>
      <w:r w:rsidR="00AD6792" w:rsidRPr="007E12AF">
        <w:rPr>
          <w:bCs/>
        </w:rPr>
        <w:t>,</w:t>
      </w:r>
      <w:r w:rsidR="00781AAF" w:rsidRPr="007E12AF">
        <w:rPr>
          <w:bCs/>
        </w:rPr>
        <w:t xml:space="preserve"> “um dos mais importantes monumentos legislativos nacionais”</w:t>
      </w:r>
      <w:r w:rsidR="00877909" w:rsidRPr="007E12AF">
        <w:rPr>
          <w:rStyle w:val="Refdenotaderodap"/>
          <w:bCs/>
        </w:rPr>
        <w:footnoteReference w:id="20"/>
      </w:r>
      <w:r w:rsidRPr="007E12AF">
        <w:rPr>
          <w:bCs/>
        </w:rPr>
        <w:t xml:space="preserve"> </w:t>
      </w:r>
      <w:r w:rsidR="00071F07" w:rsidRPr="007E12AF">
        <w:rPr>
          <w:bCs/>
        </w:rPr>
        <w:t>(</w:t>
      </w:r>
      <w:r w:rsidR="00071F07" w:rsidRPr="007E12AF">
        <w:t xml:space="preserve">Ordenações </w:t>
      </w:r>
      <w:proofErr w:type="spellStart"/>
      <w:r w:rsidR="00071F07" w:rsidRPr="007E12AF">
        <w:t>Del-Rei</w:t>
      </w:r>
      <w:proofErr w:type="spellEnd"/>
      <w:r w:rsidR="00071F07" w:rsidRPr="007E12AF">
        <w:t xml:space="preserve"> Dom Duarte, 1988</w:t>
      </w:r>
      <w:r w:rsidR="00781AAF" w:rsidRPr="007E12AF">
        <w:t>, p. V</w:t>
      </w:r>
      <w:r w:rsidR="00071F07" w:rsidRPr="007E12AF">
        <w:t>)</w:t>
      </w:r>
      <w:r w:rsidR="0081398D" w:rsidRPr="007E12AF">
        <w:t>. D. Duarte</w:t>
      </w:r>
      <w:r w:rsidR="005D7508" w:rsidRPr="007E12AF">
        <w:t xml:space="preserve">, </w:t>
      </w:r>
      <w:r w:rsidR="005D7508" w:rsidRPr="007E12AF">
        <w:rPr>
          <w:i/>
          <w:iCs/>
        </w:rPr>
        <w:t>O Eloquente</w:t>
      </w:r>
      <w:r w:rsidR="005D7508" w:rsidRPr="007E12AF">
        <w:t xml:space="preserve"> (11.º rei de Portugal, 1391-1438, e rei 1433-1438)</w:t>
      </w:r>
      <w:r w:rsidR="0081398D" w:rsidRPr="007E12AF">
        <w:t xml:space="preserve"> chega ao trono já adulto</w:t>
      </w:r>
      <w:r w:rsidR="00AD6792" w:rsidRPr="007E12AF">
        <w:t xml:space="preserve">, rei </w:t>
      </w:r>
      <w:r w:rsidR="00AD6792" w:rsidRPr="00B24F48">
        <w:t xml:space="preserve">bastante instruído e com gosto pela literatura, organiza compilação da legislação real </w:t>
      </w:r>
      <w:r w:rsidR="005B5ED5" w:rsidRPr="00B24F48">
        <w:t xml:space="preserve">parcial </w:t>
      </w:r>
      <w:r w:rsidR="00AD6792" w:rsidRPr="00B24F48">
        <w:t xml:space="preserve">de </w:t>
      </w:r>
      <w:r w:rsidR="005B5ED5" w:rsidRPr="00B24F48">
        <w:t>reinados anteriores</w:t>
      </w:r>
      <w:r w:rsidR="0081398D" w:rsidRPr="00B24F48">
        <w:t xml:space="preserve"> e </w:t>
      </w:r>
      <w:r w:rsidR="00F92FC4" w:rsidRPr="00B24F48">
        <w:t xml:space="preserve">terá a compilação sido publicada talvez em </w:t>
      </w:r>
      <w:r w:rsidR="002D7D1F" w:rsidRPr="00B24F48">
        <w:t>1436</w:t>
      </w:r>
      <w:r w:rsidR="0081398D" w:rsidRPr="00B24F48">
        <w:t>.</w:t>
      </w:r>
      <w:r w:rsidR="002B0543" w:rsidRPr="007E12AF">
        <w:t xml:space="preserve"> </w:t>
      </w:r>
    </w:p>
    <w:p w14:paraId="4AD9531B" w14:textId="6257C399" w:rsidR="00C1578D" w:rsidRDefault="0081398D" w:rsidP="00F92FC4">
      <w:pPr>
        <w:ind w:firstLine="708"/>
      </w:pPr>
      <w:r w:rsidRPr="007E12AF">
        <w:t>P</w:t>
      </w:r>
      <w:r w:rsidR="002B0543" w:rsidRPr="007E12AF">
        <w:t>odemos encontrar algumas menções à criança e seu estatuto:</w:t>
      </w:r>
      <w:r w:rsidR="00071F07" w:rsidRPr="007E12AF">
        <w:t xml:space="preserve"> </w:t>
      </w:r>
    </w:p>
    <w:p w14:paraId="6B3216AC" w14:textId="77777777" w:rsidR="00C93614" w:rsidRPr="007E12AF" w:rsidRDefault="00C93614" w:rsidP="00F92FC4">
      <w:pPr>
        <w:ind w:firstLine="708"/>
        <w:rPr>
          <w:bCs/>
        </w:rPr>
      </w:pPr>
    </w:p>
    <w:p w14:paraId="2F320E45" w14:textId="5053AF6B" w:rsidR="00C93614" w:rsidRDefault="00EE779A" w:rsidP="00C93614">
      <w:pPr>
        <w:spacing w:line="240" w:lineRule="auto"/>
        <w:ind w:left="709" w:right="709" w:firstLine="0"/>
        <w:rPr>
          <w:bCs/>
        </w:rPr>
      </w:pPr>
      <w:r w:rsidRPr="00C93614">
        <w:rPr>
          <w:bCs/>
          <w:sz w:val="22"/>
          <w:szCs w:val="22"/>
        </w:rPr>
        <w:t xml:space="preserve">- </w:t>
      </w:r>
      <w:r w:rsidRPr="00C93614">
        <w:rPr>
          <w:i/>
          <w:iCs/>
          <w:sz w:val="22"/>
          <w:szCs w:val="22"/>
        </w:rPr>
        <w:t xml:space="preserve">Se pais venderem vinha ou casa ou outro herdamento no dia do nascimento de uma criança podem novamente demandar pelo mesmo valor, uma vez que foi vendida depois do nascimento e devem ter um ano e um dia da </w:t>
      </w:r>
      <w:proofErr w:type="spellStart"/>
      <w:r w:rsidRPr="00C93614">
        <w:rPr>
          <w:i/>
          <w:iCs/>
          <w:sz w:val="22"/>
          <w:szCs w:val="22"/>
        </w:rPr>
        <w:t>révora</w:t>
      </w:r>
      <w:proofErr w:type="spellEnd"/>
      <w:r w:rsidRPr="00C93614">
        <w:rPr>
          <w:i/>
          <w:iCs/>
          <w:sz w:val="22"/>
          <w:szCs w:val="22"/>
        </w:rPr>
        <w:t xml:space="preserve"> (saída da tutoria, idade da autonomia ou de puberdade) para poder fazer a demanda e ter o herdamento pelo mesmo valor. A menina é de </w:t>
      </w:r>
      <w:proofErr w:type="spellStart"/>
      <w:r w:rsidRPr="00C93614">
        <w:rPr>
          <w:i/>
          <w:iCs/>
          <w:sz w:val="22"/>
          <w:szCs w:val="22"/>
        </w:rPr>
        <w:t>révora</w:t>
      </w:r>
      <w:proofErr w:type="spellEnd"/>
      <w:r w:rsidRPr="00C93614">
        <w:rPr>
          <w:i/>
          <w:iCs/>
          <w:sz w:val="22"/>
          <w:szCs w:val="22"/>
        </w:rPr>
        <w:t xml:space="preserve"> (saída da tutoria, idade da autonomia) de 12 anos e o menino de 14 anos</w:t>
      </w:r>
      <w:r w:rsidRPr="007E12AF">
        <w:rPr>
          <w:i/>
          <w:iCs/>
        </w:rPr>
        <w:t>.</w:t>
      </w:r>
      <w:r w:rsidR="00C93614" w:rsidRPr="00C93614">
        <w:rPr>
          <w:rStyle w:val="Refdenotaderodap"/>
        </w:rPr>
        <w:footnoteReference w:id="21"/>
      </w:r>
    </w:p>
    <w:p w14:paraId="4869034D" w14:textId="77777777" w:rsidR="00C93614" w:rsidRDefault="00C93614" w:rsidP="00EE779A">
      <w:pPr>
        <w:rPr>
          <w:bCs/>
        </w:rPr>
      </w:pPr>
    </w:p>
    <w:p w14:paraId="062BF586" w14:textId="7B9CC61B" w:rsidR="00EE779A" w:rsidRPr="007E12AF" w:rsidRDefault="00EE779A" w:rsidP="00EE779A">
      <w:pPr>
        <w:rPr>
          <w:bCs/>
        </w:rPr>
      </w:pPr>
      <w:r w:rsidRPr="007E12AF">
        <w:rPr>
          <w:bCs/>
        </w:rPr>
        <w:t xml:space="preserve">Aqui </w:t>
      </w:r>
      <w:r w:rsidR="006C22C7" w:rsidRPr="007E12AF">
        <w:rPr>
          <w:bCs/>
        </w:rPr>
        <w:t xml:space="preserve">presente </w:t>
      </w:r>
      <w:r w:rsidRPr="007E12AF">
        <w:rPr>
          <w:bCs/>
        </w:rPr>
        <w:t>uma proteção aos bens dos pais que admitem a pertença da criança a partir do seu nascimento. Depois da idade considerada para a criança se autonomizar, superior nos filhos (14 anos) e inferior nas filhas (12 anos). Interessante a aceitação dos direitos da criança e da aceitação de uma decisão em idades diferenciadas.</w:t>
      </w:r>
    </w:p>
    <w:p w14:paraId="1195AF3E" w14:textId="77777777" w:rsidR="00C93614" w:rsidRDefault="00F92FC4" w:rsidP="00EE779A">
      <w:r w:rsidRPr="007E12AF">
        <w:t xml:space="preserve">Direito da criança desde o seu nascimento e proteção dos seus bens de tal forma que: </w:t>
      </w:r>
    </w:p>
    <w:p w14:paraId="616EBC8F" w14:textId="38B1A1B7" w:rsidR="00F92FC4" w:rsidRPr="00C93614" w:rsidRDefault="00F92FC4" w:rsidP="00C93614">
      <w:pPr>
        <w:spacing w:line="240" w:lineRule="auto"/>
        <w:ind w:left="709" w:right="709" w:firstLine="0"/>
        <w:rPr>
          <w:i/>
          <w:iCs/>
          <w:sz w:val="22"/>
          <w:szCs w:val="22"/>
        </w:rPr>
      </w:pPr>
      <w:r w:rsidRPr="00C93614">
        <w:rPr>
          <w:i/>
          <w:iCs/>
          <w:sz w:val="22"/>
          <w:szCs w:val="22"/>
        </w:rPr>
        <w:t>Se pais venderem vinha ou casa ou outro herdamento no dia do nascimento de uma criança podem novamente demandar pelo mesmo valor, uma vez que foi vendida depois do nascimento</w:t>
      </w:r>
      <w:r w:rsidR="00C93614" w:rsidRPr="00C93614">
        <w:rPr>
          <w:rStyle w:val="Refdenotaderodap"/>
          <w:i/>
          <w:iCs/>
          <w:sz w:val="22"/>
          <w:szCs w:val="22"/>
        </w:rPr>
        <w:footnoteReference w:id="22"/>
      </w:r>
      <w:r w:rsidRPr="00C93614">
        <w:rPr>
          <w:i/>
          <w:iCs/>
          <w:sz w:val="22"/>
          <w:szCs w:val="22"/>
        </w:rPr>
        <w:t>.</w:t>
      </w:r>
    </w:p>
    <w:p w14:paraId="18159790" w14:textId="4A7B9B0B" w:rsidR="00C93614" w:rsidRPr="00C93614" w:rsidRDefault="006C22C7" w:rsidP="00C93614">
      <w:pPr>
        <w:spacing w:line="240" w:lineRule="auto"/>
        <w:ind w:left="709" w:right="709" w:firstLine="0"/>
        <w:rPr>
          <w:bCs/>
          <w:i/>
          <w:iCs/>
          <w:sz w:val="22"/>
          <w:szCs w:val="22"/>
        </w:rPr>
      </w:pPr>
      <w:r w:rsidRPr="00C93614">
        <w:rPr>
          <w:bCs/>
          <w:i/>
          <w:iCs/>
          <w:sz w:val="22"/>
          <w:szCs w:val="22"/>
        </w:rPr>
        <w:t>Porque a palavra “avô” e a palavra “neto” são relativas. Neto ou neta têm de ser legítimos do avô. O mesmo relativo ao bisneto. Até aos 14 anos têm de ter tutor e não podem agir autonomamente e a poder agir sobre bens de família em sucessão, depois de completados os 14 anos. No entanto, terá de esperar mais 1 ano e 1 dia para o poder fazer com autonomia e agir sobre bens em demanda com total autonomia</w:t>
      </w:r>
      <w:r w:rsidR="00C93614" w:rsidRPr="00C93614">
        <w:rPr>
          <w:rStyle w:val="Refdenotaderodap"/>
          <w:bCs/>
          <w:i/>
          <w:iCs/>
          <w:sz w:val="22"/>
          <w:szCs w:val="22"/>
        </w:rPr>
        <w:footnoteReference w:id="23"/>
      </w:r>
      <w:r w:rsidRPr="00C93614">
        <w:rPr>
          <w:bCs/>
          <w:i/>
          <w:iCs/>
          <w:sz w:val="22"/>
          <w:szCs w:val="22"/>
        </w:rPr>
        <w:t xml:space="preserve">. </w:t>
      </w:r>
    </w:p>
    <w:p w14:paraId="1023FEE7" w14:textId="77777777" w:rsidR="00C93614" w:rsidRDefault="00C93614" w:rsidP="006C22C7">
      <w:pPr>
        <w:rPr>
          <w:bCs/>
        </w:rPr>
      </w:pPr>
    </w:p>
    <w:p w14:paraId="14422DBE" w14:textId="4ADCB54C" w:rsidR="00861C18" w:rsidRPr="007E12AF" w:rsidRDefault="006C22C7" w:rsidP="006C22C7">
      <w:pPr>
        <w:rPr>
          <w:bCs/>
        </w:rPr>
      </w:pPr>
      <w:r w:rsidRPr="007E12AF">
        <w:rPr>
          <w:bCs/>
        </w:rPr>
        <w:lastRenderedPageBreak/>
        <w:t xml:space="preserve">A ideia da sucessão familiar por nascimento </w:t>
      </w:r>
      <w:r w:rsidR="00071F07" w:rsidRPr="007E12AF">
        <w:rPr>
          <w:bCs/>
        </w:rPr>
        <w:t>legítimo</w:t>
      </w:r>
      <w:r w:rsidR="00081AB0" w:rsidRPr="007E12AF">
        <w:rPr>
          <w:bCs/>
        </w:rPr>
        <w:t xml:space="preserve"> que protege a legitimação não apenas na geração pai e filho, mas prolonga este conceito a longo </w:t>
      </w:r>
      <w:r w:rsidR="00667AB0" w:rsidRPr="007E12AF">
        <w:rPr>
          <w:bCs/>
        </w:rPr>
        <w:t>tempo, como é o caso da ligação entre avô/neto ou bisavô/bisneto</w:t>
      </w:r>
      <w:r w:rsidRPr="007E12AF">
        <w:rPr>
          <w:bCs/>
        </w:rPr>
        <w:t xml:space="preserve">. </w:t>
      </w:r>
      <w:r w:rsidR="00667AB0" w:rsidRPr="007E12AF">
        <w:rPr>
          <w:bCs/>
        </w:rPr>
        <w:t xml:space="preserve">Sendo a mortalidade elevada, haveria que assegurar as ligações da linha sucessória de forma mais alargada no tempo. </w:t>
      </w:r>
      <w:r w:rsidR="00D24FB4" w:rsidRPr="007E12AF">
        <w:rPr>
          <w:bCs/>
        </w:rPr>
        <w:t xml:space="preserve">Esta é a noção de família geracional na linha do tempo, muito evidente entre a nobreza, mas que se torna também clara para outros grupos sociais. </w:t>
      </w:r>
      <w:r w:rsidRPr="007E12AF">
        <w:rPr>
          <w:bCs/>
        </w:rPr>
        <w:t>Mais uma vez a questão da autonomia e da maior idade a partir dos 14 anos. Aos 15 anos têm completa autonomia para fazer demandas sobre património vendido ou alheado.</w:t>
      </w:r>
    </w:p>
    <w:p w14:paraId="411F0A9C" w14:textId="594DD22D" w:rsidR="00307BFC" w:rsidRPr="007E12AF" w:rsidRDefault="00307BFC" w:rsidP="006C22C7">
      <w:pPr>
        <w:rPr>
          <w:bCs/>
        </w:rPr>
      </w:pPr>
      <w:r w:rsidRPr="007E12AF">
        <w:rPr>
          <w:bCs/>
        </w:rPr>
        <w:t xml:space="preserve">Preocupações que revelam </w:t>
      </w:r>
      <w:r w:rsidR="00B24F48">
        <w:rPr>
          <w:bCs/>
        </w:rPr>
        <w:t xml:space="preserve">grande semelhança com os processos de sucessão da nobreza que </w:t>
      </w:r>
      <w:r w:rsidRPr="007E12AF">
        <w:rPr>
          <w:bCs/>
        </w:rPr>
        <w:t xml:space="preserve">protege </w:t>
      </w:r>
      <w:r w:rsidR="00B24F48">
        <w:rPr>
          <w:bCs/>
        </w:rPr>
        <w:t xml:space="preserve">continuação geracional. Há uma expressão na legislação e nos comportamentos </w:t>
      </w:r>
      <w:r w:rsidR="007B7C3E">
        <w:rPr>
          <w:bCs/>
        </w:rPr>
        <w:t>de todos os grupos sociais que assemelha comportamentos de sucessão geracional</w:t>
      </w:r>
      <w:r w:rsidRPr="007E12AF">
        <w:rPr>
          <w:bCs/>
        </w:rPr>
        <w:t xml:space="preserve">. </w:t>
      </w:r>
      <w:r w:rsidR="007B7C3E">
        <w:rPr>
          <w:bCs/>
        </w:rPr>
        <w:t>Este facto reflete-se numa</w:t>
      </w:r>
      <w:r w:rsidRPr="007E12AF">
        <w:rPr>
          <w:bCs/>
        </w:rPr>
        <w:t xml:space="preserve"> continuidade </w:t>
      </w:r>
      <w:r w:rsidR="007B7C3E">
        <w:rPr>
          <w:bCs/>
        </w:rPr>
        <w:t>familiar em</w:t>
      </w:r>
      <w:r w:rsidRPr="007E12AF">
        <w:rPr>
          <w:bCs/>
        </w:rPr>
        <w:t xml:space="preserve"> cargos</w:t>
      </w:r>
      <w:r w:rsidR="007B7C3E">
        <w:rPr>
          <w:bCs/>
        </w:rPr>
        <w:t xml:space="preserve"> municipais ou em atividades profissionais</w:t>
      </w:r>
      <w:r w:rsidR="00877909" w:rsidRPr="007E12AF">
        <w:rPr>
          <w:rStyle w:val="Refdenotaderodap"/>
          <w:bCs/>
        </w:rPr>
        <w:footnoteReference w:id="24"/>
      </w:r>
      <w:r w:rsidRPr="007E12AF">
        <w:rPr>
          <w:bCs/>
        </w:rPr>
        <w:t>.</w:t>
      </w:r>
    </w:p>
    <w:p w14:paraId="26BBCC2C" w14:textId="614C47B5" w:rsidR="00A95F41" w:rsidRPr="007E12AF" w:rsidRDefault="00A95F41" w:rsidP="003D18E9">
      <w:pPr>
        <w:pStyle w:val="Ttulo3"/>
      </w:pPr>
      <w:r w:rsidRPr="007E12AF">
        <w:t>1.1.2. Nas Ordenações Afonsinas</w:t>
      </w:r>
    </w:p>
    <w:p w14:paraId="397955AC" w14:textId="21FA790E" w:rsidR="00EE779A" w:rsidRPr="007E12AF" w:rsidRDefault="00EE779A" w:rsidP="00B14624">
      <w:pPr>
        <w:ind w:firstLine="708"/>
      </w:pPr>
      <w:r w:rsidRPr="007E12AF">
        <w:rPr>
          <w:bCs/>
        </w:rPr>
        <w:t xml:space="preserve">Já então o próprio texto das </w:t>
      </w:r>
      <w:r w:rsidRPr="007E12AF">
        <w:t>Ordenações Afonsinas</w:t>
      </w:r>
      <w:r w:rsidR="002B0543" w:rsidRPr="007E12AF">
        <w:t xml:space="preserve"> de 1446</w:t>
      </w:r>
      <w:r w:rsidR="008A30F4" w:rsidRPr="007E12AF">
        <w:t>, de pendor oficial no Reino de Portugal,</w:t>
      </w:r>
      <w:r w:rsidR="00B14624" w:rsidRPr="007E12AF">
        <w:t xml:space="preserve"> repete os textos anteriores, visto que utiliza as</w:t>
      </w:r>
      <w:r w:rsidR="0081398D" w:rsidRPr="007E12AF">
        <w:t xml:space="preserve"> Ordenações de D. Duarte</w:t>
      </w:r>
      <w:r w:rsidR="00B14624" w:rsidRPr="007E12AF">
        <w:t xml:space="preserve"> como</w:t>
      </w:r>
      <w:r w:rsidR="008A30F4" w:rsidRPr="007E12AF">
        <w:t xml:space="preserve"> uma das</w:t>
      </w:r>
      <w:r w:rsidR="00B14624" w:rsidRPr="007E12AF">
        <w:t xml:space="preserve"> fonte</w:t>
      </w:r>
      <w:r w:rsidR="008A30F4" w:rsidRPr="007E12AF">
        <w:t>s</w:t>
      </w:r>
      <w:r w:rsidR="00877909" w:rsidRPr="007E12AF">
        <w:rPr>
          <w:rStyle w:val="Refdenotaderodap"/>
        </w:rPr>
        <w:footnoteReference w:id="25"/>
      </w:r>
      <w:r w:rsidR="00B14624" w:rsidRPr="007E12AF">
        <w:t>.</w:t>
      </w:r>
      <w:r w:rsidR="0081398D" w:rsidRPr="007E12AF">
        <w:t xml:space="preserve"> Adequado referir que estas primeiras Ordenações do Reino levam o nome de D. Afonso V, precisamente um rei que sobe ao trono com seis anos</w:t>
      </w:r>
      <w:r w:rsidR="00877909" w:rsidRPr="007E12AF">
        <w:rPr>
          <w:rStyle w:val="Refdenotaderodap"/>
        </w:rPr>
        <w:footnoteReference w:id="26"/>
      </w:r>
      <w:r w:rsidR="00A44516" w:rsidRPr="007E12AF">
        <w:t>, como iremos salientar mais adiante</w:t>
      </w:r>
      <w:r w:rsidR="0081398D" w:rsidRPr="007E12AF">
        <w:t>.</w:t>
      </w:r>
      <w:r w:rsidRPr="007E12AF">
        <w:t xml:space="preserve"> </w:t>
      </w:r>
      <w:r w:rsidR="00B14624" w:rsidRPr="007E12AF">
        <w:t>Pode-se encontrar</w:t>
      </w:r>
      <w:r w:rsidRPr="007E12AF">
        <w:t>:</w:t>
      </w:r>
    </w:p>
    <w:p w14:paraId="0CB81DE3" w14:textId="45EDC2D7" w:rsidR="00EE779A" w:rsidRPr="007E12AF" w:rsidRDefault="00EE779A" w:rsidP="00B14624">
      <w:r w:rsidRPr="007E12AF">
        <w:t xml:space="preserve">- </w:t>
      </w:r>
      <w:r w:rsidRPr="007E12AF">
        <w:rPr>
          <w:i/>
          <w:iCs/>
        </w:rPr>
        <w:t>Os que ficarem órfãos se faça inventário de bens para que tenham os bens a que tenham, direito. Cabe aos escrivães dos Órfãos fazerem esse inventário. Que sejam nomeados tutores que devem entrar os bens</w:t>
      </w:r>
      <w:r w:rsidR="00D86928">
        <w:rPr>
          <w:rStyle w:val="Refdenotaderodap"/>
        </w:rPr>
        <w:footnoteReference w:id="27"/>
      </w:r>
    </w:p>
    <w:p w14:paraId="33823A8D" w14:textId="1DB07D94" w:rsidR="00B14624" w:rsidRPr="007E12AF" w:rsidRDefault="00B14624" w:rsidP="00B14624">
      <w:r w:rsidRPr="007E12AF">
        <w:t xml:space="preserve">- No Livro I, título </w:t>
      </w:r>
      <w:r w:rsidR="002B0543" w:rsidRPr="007E12AF">
        <w:t>XXXVIII</w:t>
      </w:r>
      <w:r w:rsidRPr="007E12AF">
        <w:t xml:space="preserve">, assinala que a justiça confere tutores às crianças que ainda não “são de </w:t>
      </w:r>
      <w:proofErr w:type="spellStart"/>
      <w:r w:rsidRPr="007E12AF">
        <w:t>révora</w:t>
      </w:r>
      <w:proofErr w:type="spellEnd"/>
      <w:r w:rsidRPr="007E12AF">
        <w:t>”, ou seja</w:t>
      </w:r>
      <w:r w:rsidR="00D86928">
        <w:t xml:space="preserve">, </w:t>
      </w:r>
      <w:r w:rsidRPr="007E12AF">
        <w:t xml:space="preserve">de puberdade. O </w:t>
      </w:r>
      <w:r w:rsidR="002B0543" w:rsidRPr="007E12AF">
        <w:t>título</w:t>
      </w:r>
      <w:r w:rsidRPr="007E12AF">
        <w:t xml:space="preserve"> inicia com a identificação desta lei ser a Lei da Avoenga de Afonso IV</w:t>
      </w:r>
      <w:r w:rsidR="00D86928">
        <w:rPr>
          <w:rStyle w:val="Refdenotaderodap"/>
        </w:rPr>
        <w:footnoteReference w:id="28"/>
      </w:r>
      <w:r w:rsidRPr="007E12AF">
        <w:t>.</w:t>
      </w:r>
    </w:p>
    <w:p w14:paraId="3B98574D" w14:textId="344C3007" w:rsidR="006E1BC4" w:rsidRPr="007E12AF" w:rsidRDefault="002B0543" w:rsidP="0090659E">
      <w:r w:rsidRPr="007E12AF">
        <w:t xml:space="preserve">- No Livro 5, título XXVII, </w:t>
      </w:r>
      <w:r w:rsidRPr="007E12AF">
        <w:rPr>
          <w:i/>
          <w:iCs/>
        </w:rPr>
        <w:t xml:space="preserve">confirma lei de D. Fernando que entrega parte da pena por excomunhão ao “Hospital dos meninos </w:t>
      </w:r>
      <w:proofErr w:type="spellStart"/>
      <w:r w:rsidRPr="007E12AF">
        <w:rPr>
          <w:i/>
          <w:iCs/>
        </w:rPr>
        <w:t>engeitados</w:t>
      </w:r>
      <w:proofErr w:type="spellEnd"/>
      <w:r w:rsidRPr="007E12AF">
        <w:rPr>
          <w:i/>
          <w:iCs/>
        </w:rPr>
        <w:t xml:space="preserve">” da cidade local ou do </w:t>
      </w:r>
      <w:r w:rsidRPr="007E12AF">
        <w:rPr>
          <w:i/>
          <w:iCs/>
        </w:rPr>
        <w:lastRenderedPageBreak/>
        <w:t>bispado correspondente</w:t>
      </w:r>
      <w:r w:rsidR="00D86928">
        <w:rPr>
          <w:rStyle w:val="Refdenotaderodap"/>
          <w:i/>
          <w:iCs/>
        </w:rPr>
        <w:footnoteReference w:id="29"/>
      </w:r>
      <w:r w:rsidRPr="007E12AF">
        <w:t>, numa ideia de proteção à criança em situação de rejeição. Esta não é a única pena</w:t>
      </w:r>
      <w:r w:rsidR="0090659E" w:rsidRPr="007E12AF">
        <w:t xml:space="preserve"> gravosa</w:t>
      </w:r>
      <w:r w:rsidRPr="007E12AF">
        <w:t xml:space="preserve"> que recai sobre </w:t>
      </w:r>
      <w:r w:rsidR="0090659E" w:rsidRPr="007E12AF">
        <w:t>quem ofenda a proteção da criança.</w:t>
      </w:r>
    </w:p>
    <w:p w14:paraId="5400ABE9" w14:textId="0BE91F71" w:rsidR="008702AA" w:rsidRPr="007E12AF" w:rsidRDefault="008702AA" w:rsidP="003D18E9">
      <w:pPr>
        <w:pStyle w:val="Ttulo3"/>
      </w:pPr>
      <w:r w:rsidRPr="007E12AF">
        <w:t>1.1.</w:t>
      </w:r>
      <w:r w:rsidR="00747BBB" w:rsidRPr="007E12AF">
        <w:t>3</w:t>
      </w:r>
      <w:r w:rsidRPr="007E12AF">
        <w:t>. Nas Ordenações Manuelinas</w:t>
      </w:r>
    </w:p>
    <w:p w14:paraId="77ACCFA4" w14:textId="668AFB15" w:rsidR="008702AA" w:rsidRPr="00D86928" w:rsidRDefault="00A47E82" w:rsidP="00A47E82">
      <w:pPr>
        <w:ind w:firstLine="708"/>
        <w:rPr>
          <w:bCs/>
        </w:rPr>
      </w:pPr>
      <w:r w:rsidRPr="00D86928">
        <w:rPr>
          <w:bCs/>
        </w:rPr>
        <w:t>Em continuidade, ainda que se encontre maior pormenor. As Ordenações Manuelinas constituem uma séria atualização das Ordenações do Reino, com uma primeira versão em 15</w:t>
      </w:r>
      <w:r w:rsidR="00DC55D2" w:rsidRPr="00D86928">
        <w:rPr>
          <w:bCs/>
        </w:rPr>
        <w:t>14</w:t>
      </w:r>
      <w:r w:rsidRPr="00D86928">
        <w:rPr>
          <w:bCs/>
        </w:rPr>
        <w:t>, que, não satisfazendo a visão progressista de D. Manuel, prosseguiram para uma segunda versão de 1521.</w:t>
      </w:r>
    </w:p>
    <w:p w14:paraId="4726B0EB" w14:textId="77777777" w:rsidR="00D86928" w:rsidRDefault="00DC55D2" w:rsidP="00DC55D2">
      <w:r w:rsidRPr="00D86928">
        <w:t xml:space="preserve">Em 1505, </w:t>
      </w:r>
      <w:r w:rsidRPr="00D86928">
        <w:rPr>
          <w:i/>
        </w:rPr>
        <w:t>D. Manuel</w:t>
      </w:r>
      <w:r w:rsidRPr="00D86928">
        <w:t xml:space="preserve"> encarregou </w:t>
      </w:r>
      <w:r w:rsidRPr="00D86928">
        <w:rPr>
          <w:i/>
        </w:rPr>
        <w:t>Rui Boto</w:t>
      </w:r>
      <w:r w:rsidRPr="00D86928">
        <w:t xml:space="preserve">, chanceler-mor, que teria sido auxiliado por </w:t>
      </w:r>
      <w:r w:rsidRPr="00D86928">
        <w:rPr>
          <w:i/>
        </w:rPr>
        <w:t>Rui da Grã</w:t>
      </w:r>
      <w:r w:rsidRPr="00D86928">
        <w:t xml:space="preserve">, licenciado e </w:t>
      </w:r>
      <w:r w:rsidRPr="00D86928">
        <w:rPr>
          <w:i/>
        </w:rPr>
        <w:t>João Cotrim</w:t>
      </w:r>
      <w:r w:rsidRPr="00D86928">
        <w:t xml:space="preserve">, corregedor dos feitos cíveis da Corte, de procederem à atualização das Ordenações do Reino, alterando, suprimindo e acrescentando o que entendessem necessário, visto que este rei conferia grande importância ao direito e à realização da justiça. Não se sabe quando terminou o trabalho de revisão. Teria sido feito por fases. </w:t>
      </w:r>
    </w:p>
    <w:p w14:paraId="5D04F368" w14:textId="77777777" w:rsidR="00D86928" w:rsidRDefault="00DC55D2" w:rsidP="00DC55D2">
      <w:r w:rsidRPr="00D86928">
        <w:t xml:space="preserve">Em 1512 foi impresso o Livro I das novas Ordenações. Em </w:t>
      </w:r>
      <w:proofErr w:type="gramStart"/>
      <w:r w:rsidRPr="00D86928">
        <w:t>Novembro</w:t>
      </w:r>
      <w:proofErr w:type="gramEnd"/>
      <w:r w:rsidRPr="00D86928">
        <w:t xml:space="preserve"> de 1513, o Livro II. De </w:t>
      </w:r>
      <w:proofErr w:type="gramStart"/>
      <w:r w:rsidRPr="00D86928">
        <w:t>Março</w:t>
      </w:r>
      <w:proofErr w:type="gramEnd"/>
      <w:r w:rsidRPr="00D86928">
        <w:t xml:space="preserve"> a Dezembro de 1514 foi feita a (primeira) impressão completa dos 5 livros das Ordenações revistas. Contudo,</w:t>
      </w:r>
      <w:r w:rsidR="00A47E82" w:rsidRPr="00D86928">
        <w:rPr>
          <w:bCs/>
        </w:rPr>
        <w:t xml:space="preserve"> </w:t>
      </w:r>
      <w:r w:rsidRPr="00D86928">
        <w:rPr>
          <w:bCs/>
        </w:rPr>
        <w:t>est</w:t>
      </w:r>
      <w:r w:rsidR="00A47E82" w:rsidRPr="00D86928">
        <w:rPr>
          <w:bCs/>
        </w:rPr>
        <w:t>a primeira edição de 15</w:t>
      </w:r>
      <w:r w:rsidRPr="00D86928">
        <w:rPr>
          <w:bCs/>
        </w:rPr>
        <w:t xml:space="preserve">14 </w:t>
      </w:r>
      <w:r w:rsidR="00A47E82" w:rsidRPr="00D86928">
        <w:rPr>
          <w:bCs/>
        </w:rPr>
        <w:t>não chegou até nós, pelas pesadas penas estabelecidas pelo rei para evitar duplicação de legislação.</w:t>
      </w:r>
      <w:r w:rsidRPr="00D86928">
        <w:rPr>
          <w:bCs/>
        </w:rPr>
        <w:t xml:space="preserve"> </w:t>
      </w:r>
      <w:r w:rsidRPr="00D86928">
        <w:rPr>
          <w:bCs/>
          <w:i/>
        </w:rPr>
        <w:t>D. Manuel</w:t>
      </w:r>
      <w:r w:rsidRPr="00D86928">
        <w:rPr>
          <w:bCs/>
        </w:rPr>
        <w:t xml:space="preserve"> entendeu que este trabalho tinha deficiências</w:t>
      </w:r>
      <w:r w:rsidRPr="00D86928">
        <w:rPr>
          <w:bCs/>
          <w:vertAlign w:val="superscript"/>
        </w:rPr>
        <w:footnoteReference w:id="30"/>
      </w:r>
      <w:r w:rsidRPr="00D86928">
        <w:rPr>
          <w:bCs/>
        </w:rPr>
        <w:t xml:space="preserve"> e determinou a continuação dos trabalhos de revisão, talvez ainda demasiado fiel à redação das Ordenações Afonsinas. </w:t>
      </w:r>
      <w:r w:rsidRPr="00D86928">
        <w:t xml:space="preserve">Foi incumbido </w:t>
      </w:r>
      <w:r w:rsidRPr="00D86928">
        <w:rPr>
          <w:i/>
        </w:rPr>
        <w:t>Cristóvão Esteves</w:t>
      </w:r>
      <w:r w:rsidRPr="00D86928">
        <w:t xml:space="preserve">, jurisconsulto, ajudado por </w:t>
      </w:r>
      <w:r w:rsidRPr="00D86928">
        <w:rPr>
          <w:i/>
        </w:rPr>
        <w:t>Pedro Jorge</w:t>
      </w:r>
      <w:r w:rsidRPr="00D86928">
        <w:t xml:space="preserve">. O novo texto (segunda impressão) das Ordenações Manuelinas é impresso em </w:t>
      </w:r>
      <w:r w:rsidRPr="00D86928">
        <w:rPr>
          <w:bCs/>
        </w:rPr>
        <w:t>1521</w:t>
      </w:r>
      <w:r w:rsidRPr="00D86928">
        <w:t xml:space="preserve"> por </w:t>
      </w:r>
      <w:r w:rsidRPr="00D86928">
        <w:rPr>
          <w:i/>
        </w:rPr>
        <w:t xml:space="preserve">Jacob </w:t>
      </w:r>
      <w:proofErr w:type="spellStart"/>
      <w:r w:rsidRPr="00D86928">
        <w:rPr>
          <w:i/>
        </w:rPr>
        <w:t>Cromberger</w:t>
      </w:r>
      <w:proofErr w:type="spellEnd"/>
      <w:r w:rsidRPr="00D86928">
        <w:t xml:space="preserve">. </w:t>
      </w:r>
    </w:p>
    <w:p w14:paraId="74AF5588" w14:textId="6D6244D9" w:rsidR="00DC55D2" w:rsidRPr="00D86928" w:rsidRDefault="00DC55D2" w:rsidP="00DC55D2">
      <w:r w:rsidRPr="00D86928">
        <w:t>No mesmo ano, por Carta de lei</w:t>
      </w:r>
      <w:r w:rsidRPr="00D86928">
        <w:rPr>
          <w:vertAlign w:val="superscript"/>
        </w:rPr>
        <w:footnoteReference w:id="31"/>
      </w:r>
      <w:r w:rsidRPr="00D86928">
        <w:t xml:space="preserve"> de 15 de </w:t>
      </w:r>
      <w:proofErr w:type="gramStart"/>
      <w:r w:rsidRPr="00D86928">
        <w:t>Março</w:t>
      </w:r>
      <w:proofErr w:type="gramEnd"/>
      <w:r w:rsidRPr="00D86928">
        <w:t xml:space="preserve"> de 1521, a fim de evitar confusões, </w:t>
      </w:r>
      <w:r w:rsidRPr="00D86928">
        <w:rPr>
          <w:i/>
        </w:rPr>
        <w:t>D. Manuel</w:t>
      </w:r>
      <w:r w:rsidRPr="00D86928">
        <w:t xml:space="preserve">, no seu último ano de reinado, manda que, dentro de 3 meses, todas os possuidores de exemplares da edição anterior (de 1514), os destruíssem, sob pena de </w:t>
      </w:r>
      <w:r w:rsidRPr="00D86928">
        <w:lastRenderedPageBreak/>
        <w:t>100 cruzados de multa e 2 anos de degredo e que durante o mesmo prazo todos os Concelhos adquirissem exemplares das novas Ordenações, o que, finalmente, contribuiu para a divulgação e uniformização na aplicação das ordenações do Reino.</w:t>
      </w:r>
    </w:p>
    <w:p w14:paraId="4ADBFF8C" w14:textId="288B9466" w:rsidR="00A47E82" w:rsidRPr="007E12AF" w:rsidRDefault="00A47E82" w:rsidP="00A47E82">
      <w:pPr>
        <w:rPr>
          <w:bCs/>
        </w:rPr>
      </w:pPr>
      <w:r w:rsidRPr="00D86928">
        <w:rPr>
          <w:bCs/>
        </w:rPr>
        <w:t>No tema</w:t>
      </w:r>
      <w:r w:rsidR="00DC55D2" w:rsidRPr="00D86928">
        <w:rPr>
          <w:bCs/>
        </w:rPr>
        <w:t xml:space="preserve"> focado, encontramos</w:t>
      </w:r>
      <w:r w:rsidRPr="00D86928">
        <w:rPr>
          <w:bCs/>
        </w:rPr>
        <w:t>:</w:t>
      </w:r>
    </w:p>
    <w:p w14:paraId="2FA72F52" w14:textId="7EC9A877" w:rsidR="00A47E82" w:rsidRPr="007E12AF" w:rsidRDefault="00A47E82" w:rsidP="00A47E82">
      <w:r w:rsidRPr="007E12AF">
        <w:rPr>
          <w:bCs/>
        </w:rPr>
        <w:t xml:space="preserve">- </w:t>
      </w:r>
      <w:r w:rsidRPr="007E12AF">
        <w:rPr>
          <w:i/>
          <w:iCs/>
        </w:rPr>
        <w:t>Não pode ser procurador na corte nem na Casa do Cível quem for menor de 25 anos, salvo se for graduado em Direito Civil ou Canónico, e em estudo universal de grau de bacharel ou licenciado ou doutor</w:t>
      </w:r>
      <w:r w:rsidRPr="007E12AF">
        <w:t xml:space="preserve"> </w:t>
      </w:r>
      <w:r w:rsidR="00D86928">
        <w:rPr>
          <w:rStyle w:val="Refdenotaderodap"/>
        </w:rPr>
        <w:footnoteReference w:id="32"/>
      </w:r>
      <w:r w:rsidRPr="007E12AF">
        <w:t>.</w:t>
      </w:r>
    </w:p>
    <w:p w14:paraId="5E196D14" w14:textId="5D00DB63" w:rsidR="00A47E82" w:rsidRPr="007E12AF" w:rsidRDefault="00A47E82" w:rsidP="00A47E82">
      <w:pPr>
        <w:rPr>
          <w:bCs/>
        </w:rPr>
      </w:pPr>
      <w:r w:rsidRPr="007E12AF">
        <w:rPr>
          <w:bCs/>
        </w:rPr>
        <w:t xml:space="preserve">- </w:t>
      </w:r>
      <w:r w:rsidRPr="007E12AF">
        <w:rPr>
          <w:bCs/>
          <w:i/>
          <w:iCs/>
        </w:rPr>
        <w:t>Os corregedores não podem dar cartas de emancipação a menores de 25 anos</w:t>
      </w:r>
      <w:r w:rsidR="00D86928">
        <w:rPr>
          <w:rStyle w:val="Refdenotaderodap"/>
          <w:bCs/>
        </w:rPr>
        <w:footnoteReference w:id="33"/>
      </w:r>
      <w:r w:rsidRPr="007E12AF">
        <w:rPr>
          <w:bCs/>
        </w:rPr>
        <w:t>.</w:t>
      </w:r>
    </w:p>
    <w:p w14:paraId="0838DDFA" w14:textId="75872770" w:rsidR="00262E5B" w:rsidRPr="007E12AF" w:rsidRDefault="00262E5B" w:rsidP="00A47E82">
      <w:pPr>
        <w:rPr>
          <w:bCs/>
        </w:rPr>
      </w:pPr>
      <w:r w:rsidRPr="007E12AF">
        <w:rPr>
          <w:bCs/>
        </w:rPr>
        <w:t xml:space="preserve">- </w:t>
      </w:r>
      <w:r w:rsidRPr="007E12AF">
        <w:rPr>
          <w:bCs/>
          <w:i/>
          <w:iCs/>
        </w:rPr>
        <w:t>Para se exercer algum ofício de justiça, fazenda, de governança da cidade ou outro, terá de ter mais de 25 anos</w:t>
      </w:r>
      <w:bookmarkStart w:id="14" w:name="_Hlk162885867"/>
      <w:r w:rsidR="00D86928">
        <w:rPr>
          <w:rStyle w:val="Refdenotaderodap"/>
          <w:sz w:val="28"/>
          <w:szCs w:val="28"/>
        </w:rPr>
        <w:footnoteReference w:id="34"/>
      </w:r>
      <w:bookmarkEnd w:id="14"/>
      <w:r w:rsidRPr="007E12AF">
        <w:rPr>
          <w:bCs/>
        </w:rPr>
        <w:t>.</w:t>
      </w:r>
    </w:p>
    <w:p w14:paraId="1B0F271C" w14:textId="5CAD0AE0" w:rsidR="00262E5B" w:rsidRPr="007E12AF" w:rsidRDefault="00262E5B" w:rsidP="00262E5B">
      <w:r w:rsidRPr="007E12AF">
        <w:rPr>
          <w:bCs/>
        </w:rPr>
        <w:t xml:space="preserve">- </w:t>
      </w:r>
      <w:r w:rsidRPr="007E12AF">
        <w:rPr>
          <w:bCs/>
          <w:i/>
          <w:iCs/>
        </w:rPr>
        <w:t>Nas vilas e lugares com mais de 400 vizinhos tem de existir juiz dos órfãos. O juiz dos órfãos deve ter mais de 30 anos</w:t>
      </w:r>
      <w:r w:rsidR="00D86928" w:rsidRPr="00B14E6A">
        <w:rPr>
          <w:rStyle w:val="Refdenotaderodap"/>
          <w:bCs/>
        </w:rPr>
        <w:footnoteReference w:id="35"/>
      </w:r>
      <w:r w:rsidRPr="007E12AF">
        <w:rPr>
          <w:bCs/>
        </w:rPr>
        <w:t xml:space="preserve">. </w:t>
      </w:r>
      <w:r w:rsidR="003B7709" w:rsidRPr="007E12AF">
        <w:t xml:space="preserve">A justiça confere tutores às crianças que ainda não “são de </w:t>
      </w:r>
      <w:proofErr w:type="spellStart"/>
      <w:r w:rsidR="003B7709" w:rsidRPr="007E12AF">
        <w:t>révora</w:t>
      </w:r>
      <w:proofErr w:type="spellEnd"/>
      <w:r w:rsidR="003B7709" w:rsidRPr="007E12AF">
        <w:t xml:space="preserve">” caso fiquem órfãos e garante a sua subsistência e educação. </w:t>
      </w:r>
      <w:r w:rsidRPr="007E12AF">
        <w:t>O juiz tem de saber quanto órfãos existem na vila ou lugar e registar em livro, declarando o nome e de quem é filho, idade, onde vive, com quem, quem é o tutor ou curador, quantos bens tem, tanto móveis como de raiz, quem os traz, se estão bem aproveitados, se estão danificados ou perdidos, indicando se é por culpa ou negligência, de forma a poder reparar danos e entregar as devidas compensações aos órfãos. Sempre que alguém fica órfão por morte de pai (órfão por morte de pai, note-se), o juiz dos órfãos tem um mês para fazer inventário de todos os bens móveis e de raiz, declarando confrontações, localize os bens de forma a não haver dúvidas. Do inventário devem constar dividas e dividendos herdados. Se houver mais herdeiros o juiz deve fazer logo as partilhas ordenadamente e perante avaliação, sob presença de 2 ou 3 pessoas sob juramento. No inventário, a avaliação deve conter o valor para que, no caso de danos durante a menor idade, os órfãos possam ser restituídos dos valores, pelo tutor, pela mãe.</w:t>
      </w:r>
    </w:p>
    <w:p w14:paraId="0664A205" w14:textId="4BC1B52D" w:rsidR="003B7709" w:rsidRPr="007E12AF" w:rsidRDefault="003B7709" w:rsidP="00262E5B">
      <w:r w:rsidRPr="007E12AF">
        <w:t xml:space="preserve">- </w:t>
      </w:r>
      <w:r w:rsidRPr="007E12AF">
        <w:rPr>
          <w:i/>
          <w:iCs/>
        </w:rPr>
        <w:t xml:space="preserve">O juiz dos órfãos encarrega-se de garantir mantimento para o órfão como seja alimentação, vestir e calçar e tudo o que for necessário para a sua vida. Esta </w:t>
      </w:r>
      <w:r w:rsidRPr="007E12AF">
        <w:rPr>
          <w:i/>
          <w:iCs/>
        </w:rPr>
        <w:lastRenderedPageBreak/>
        <w:t xml:space="preserve">obrigatoriedade </w:t>
      </w:r>
      <w:r w:rsidRPr="00154918">
        <w:rPr>
          <w:i/>
          <w:iCs/>
        </w:rPr>
        <w:t xml:space="preserve">de mantimento fica registada no inventário para cumprimento do seu tutor ou curador </w:t>
      </w:r>
      <w:r w:rsidR="00485BD2" w:rsidRPr="00154918">
        <w:rPr>
          <w:rStyle w:val="Refdenotaderodap"/>
          <w:i/>
          <w:iCs/>
        </w:rPr>
        <w:footnoteReference w:id="36"/>
      </w:r>
      <w:r w:rsidRPr="00154918">
        <w:t>.</w:t>
      </w:r>
      <w:r w:rsidR="00C30334" w:rsidRPr="00154918">
        <w:t xml:space="preserve"> Regista-se uma preocupação minuciosa com os órfãos e seus direitos, em realidade muito frequente na época de grande mortalidade</w:t>
      </w:r>
      <w:r w:rsidR="00F9672F" w:rsidRPr="00154918">
        <w:t xml:space="preserve">. Com distinções para quem já dispõe de bens, com posses, e distinguindo se é órfão de mãe ou de pai, secundarizando a mãe e </w:t>
      </w:r>
      <w:r w:rsidR="00CD29F8" w:rsidRPr="00154918">
        <w:t>permitindo mais faculdades quando é o pai</w:t>
      </w:r>
      <w:r w:rsidR="00C30334" w:rsidRPr="00154918">
        <w:t>.</w:t>
      </w:r>
    </w:p>
    <w:p w14:paraId="4EC15BC5" w14:textId="77777777" w:rsidR="00262E5B" w:rsidRPr="007E12AF" w:rsidRDefault="00262E5B" w:rsidP="00262E5B">
      <w:pPr>
        <w:ind w:firstLine="708"/>
      </w:pPr>
      <w:r w:rsidRPr="007E12AF">
        <w:t>Se a mãe falecer (órfão de mãe) e tiver menor de 25 anos, o juiz ordena ao pai que faça inventário de bens móveis e de raiz que tinha à morte da mulher. Tem 1 mês para o fazer. Em simultâneo o pai procede à avaliação e partilhas. Os bens serão administrados pelo pai, que deve mantê-los, podendo gastar as rendas e quando os filhos se emanciparem por idade ou casamento (através do casamento também se alcança a emancipação). Se o pai adoecer e não estiver em condições para administrar os bens, terá de ser nomeado um tutor.</w:t>
      </w:r>
    </w:p>
    <w:p w14:paraId="3204CF65" w14:textId="42B48AD3" w:rsidR="00262E5B" w:rsidRPr="007E12AF" w:rsidRDefault="00262E5B" w:rsidP="00262E5B">
      <w:pPr>
        <w:ind w:firstLine="708"/>
      </w:pPr>
      <w:r w:rsidRPr="007E12AF">
        <w:t xml:space="preserve">Se o pai falecer e os órfãos tiverem “pequena idade”, as mães devem criar enquanto não se casarem. Até aos 3 anos são obrigadas a criar os seus filhos. Se a mãe por algum motivo não puder criar, o órfão será entregue a ama à custa dos bens do órfão, se não tiverem bens as amas </w:t>
      </w:r>
      <w:r w:rsidRPr="00154918">
        <w:t>criam de graça.</w:t>
      </w:r>
      <w:r w:rsidR="00CD29F8" w:rsidRPr="00154918">
        <w:t xml:space="preserve"> A ideia de alçada da mãe até aos 3 anos e depois passa para a alçada do pai.</w:t>
      </w:r>
    </w:p>
    <w:p w14:paraId="54CA817A" w14:textId="77777777" w:rsidR="00262E5B" w:rsidRPr="007E12AF" w:rsidRDefault="00262E5B" w:rsidP="00262E5B">
      <w:pPr>
        <w:ind w:firstLine="708"/>
      </w:pPr>
      <w:r w:rsidRPr="007E12AF">
        <w:t xml:space="preserve">Se o órfão não for de matrimónio legitimo e forem filhos de homens solteiros ou casados, devem ser criados pelos pais, se não puderem criar devem ser criados pelas mães, se não puderem criar devem ser requeridos parentes, se estes se recusarem, devem ser entregues aos hospitais ou albergarias de acolhimento. O mesmo se forem filhos de religiosos ou religiosas ou de mulheres casadas. Se no lugar não houver hospitais ou albergarias de acolhimento devem ser criados à custa das rendas dos concelhos (são </w:t>
      </w:r>
      <w:proofErr w:type="gramStart"/>
      <w:r w:rsidRPr="007E12AF">
        <w:t>lançadas</w:t>
      </w:r>
      <w:proofErr w:type="gramEnd"/>
      <w:r w:rsidRPr="007E12AF">
        <w:t xml:space="preserve"> fintas e encargos).</w:t>
      </w:r>
    </w:p>
    <w:p w14:paraId="5D449B63" w14:textId="77777777" w:rsidR="00262E5B" w:rsidRPr="007E12AF" w:rsidRDefault="00262E5B" w:rsidP="00262E5B">
      <w:pPr>
        <w:ind w:firstLine="708"/>
      </w:pPr>
      <w:r w:rsidRPr="007E12AF">
        <w:t>O juiz dos órfão em final de audiência apregoa os órfãos da sua jurisdição que serão dados por soldada (determinado valor, leilão) a pessoas que os casem em idade de 7 anos. Os que ficarem com o órfão terão de jurar que pagam serviços, casamentos e terão de indicar fiadores para cumprimento do jurado.</w:t>
      </w:r>
    </w:p>
    <w:p w14:paraId="2D5FD3FD" w14:textId="77777777" w:rsidR="00262E5B" w:rsidRPr="007E12AF" w:rsidRDefault="00262E5B" w:rsidP="00262E5B">
      <w:pPr>
        <w:ind w:firstLine="708"/>
      </w:pPr>
      <w:r w:rsidRPr="007E12AF">
        <w:lastRenderedPageBreak/>
        <w:t xml:space="preserve">Está ainda contemplada a possibilidade </w:t>
      </w:r>
      <w:proofErr w:type="gramStart"/>
      <w:r w:rsidRPr="007E12AF">
        <w:t>da</w:t>
      </w:r>
      <w:proofErr w:type="gramEnd"/>
      <w:r w:rsidRPr="007E12AF">
        <w:t xml:space="preserve"> família ficar com os órfãos para os colocar em trabalhos agrícolas. Todos os incumprimentos estão previstos e são penalizados.</w:t>
      </w:r>
    </w:p>
    <w:p w14:paraId="586D68B3" w14:textId="744065A1" w:rsidR="0050670F" w:rsidRPr="007E12AF" w:rsidRDefault="00262E5B" w:rsidP="004624F6">
      <w:pPr>
        <w:ind w:firstLine="708"/>
      </w:pPr>
      <w:r w:rsidRPr="007E12AF">
        <w:t xml:space="preserve">O juiz dos órfãos encarrega-se de garantir mantimento para o órfão como seja alimentação, vestir e calçar e tudo o que for necessário para a sua vida. Esta obrigatoriedade de mantimento fica registada no inventário para cumprimento do seu tutor ou curador. </w:t>
      </w:r>
    </w:p>
    <w:p w14:paraId="6C29CADB" w14:textId="63D9A0CF" w:rsidR="00262E5B" w:rsidRPr="007E12AF" w:rsidRDefault="004624F6" w:rsidP="004624F6">
      <w:pPr>
        <w:ind w:firstLine="708"/>
      </w:pPr>
      <w:r w:rsidRPr="007E12AF">
        <w:t>A proteção contra maus-tratos é também evidente nas Ordenações: se</w:t>
      </w:r>
      <w:r w:rsidR="00262E5B" w:rsidRPr="007E12AF">
        <w:t xml:space="preserve"> os órfãos fugirem por </w:t>
      </w:r>
      <w:r w:rsidR="00DD482B" w:rsidRPr="007E12AF">
        <w:t>maus-tratos</w:t>
      </w:r>
      <w:r w:rsidR="00262E5B" w:rsidRPr="007E12AF">
        <w:t xml:space="preserve"> dos seus cuidadores, sem justificação, os tutores tem de pagar as perdas. </w:t>
      </w:r>
      <w:r w:rsidRPr="007E12AF">
        <w:t xml:space="preserve">Enquanto existir um parente do órfão não deve ser dado como tutor ou curador um estranho. </w:t>
      </w:r>
      <w:r w:rsidR="003B7709" w:rsidRPr="007E12AF">
        <w:t>Estão previstas variadíssimas situações relativas à proteção da criança e do jovem, bem como</w:t>
      </w:r>
      <w:r w:rsidR="00262E5B" w:rsidRPr="007E12AF">
        <w:t xml:space="preserve"> múltiplos casos de incumprimento das tutorias, sempre com penalidades acrescidas.</w:t>
      </w:r>
      <w:r w:rsidR="003B7709" w:rsidRPr="007E12AF">
        <w:t xml:space="preserve"> </w:t>
      </w:r>
    </w:p>
    <w:p w14:paraId="7320D7CD" w14:textId="6886C398" w:rsidR="00262E5B" w:rsidRPr="007E12AF" w:rsidRDefault="00262E5B" w:rsidP="004624F6">
      <w:pPr>
        <w:ind w:firstLine="708"/>
      </w:pPr>
      <w:r w:rsidRPr="007E12AF">
        <w:t>Note-se que a legislação é de enorme pormenor. Incluía ainda pena de degredo de 10 anos e obrigatoriedade de pagamento de casamento para o juiz dos órfãos que abusar sexualmente das órfãs</w:t>
      </w:r>
      <w:r w:rsidR="00485BD2" w:rsidRPr="00154918">
        <w:rPr>
          <w:rStyle w:val="Refdenotaderodap"/>
        </w:rPr>
        <w:footnoteReference w:id="37"/>
      </w:r>
      <w:r w:rsidRPr="00154918">
        <w:t>.</w:t>
      </w:r>
      <w:r w:rsidR="00E74794" w:rsidRPr="00154918">
        <w:t xml:space="preserve"> O abuso é penalizado com pesada sanção.</w:t>
      </w:r>
    </w:p>
    <w:p w14:paraId="586D52A2" w14:textId="2169CE6C" w:rsidR="00262E5B" w:rsidRPr="007E12AF" w:rsidRDefault="00262E5B" w:rsidP="00262E5B">
      <w:pPr>
        <w:ind w:firstLine="708"/>
      </w:pPr>
      <w:r w:rsidRPr="007E12AF">
        <w:t>Os bens serão apenas entregues aos 25 anos ou casamento depois dos 18 anos. Poderá ser passada carta de suprimento de idade dada pelos oficiais régios aos 20 anos para o homem e 18 para a mulher.</w:t>
      </w:r>
    </w:p>
    <w:p w14:paraId="6BA2BB27" w14:textId="54AB94C7" w:rsidR="003D18E9" w:rsidRDefault="00262E5B" w:rsidP="00262E5B">
      <w:r w:rsidRPr="007E12AF">
        <w:t xml:space="preserve">- </w:t>
      </w:r>
      <w:r w:rsidRPr="007E12AF">
        <w:rPr>
          <w:i/>
          <w:iCs/>
        </w:rPr>
        <w:t>Se forem filhos de oficiais mecânicos devem aprender o ofício de seu pai ou outros que sejam mais proveitosos segundo a sua disposição e inclinação</w:t>
      </w:r>
      <w:r w:rsidR="00485BD2">
        <w:rPr>
          <w:rStyle w:val="Refdenotaderodap"/>
          <w:i/>
          <w:iCs/>
        </w:rPr>
        <w:footnoteReference w:id="38"/>
      </w:r>
      <w:r w:rsidRPr="007E12AF">
        <w:t>.</w:t>
      </w:r>
      <w:r w:rsidR="0050670F" w:rsidRPr="007E12AF">
        <w:t xml:space="preserve"> Da mesma forma está prevista a continuidade de aprendizagem de um ofício ou a continuidade nos trabalhos no campo. Está prevista também a educação, na qual ler e escrever é fundamental, para os que têm mais posses e que deverá ser assegurada, pelo menos, até aos 12 anos. Dizem as Ordenações que os tutores mandarão a criança aprender a ler e escrever, apenas os “que forem para isso” (distinção social) até idade de 12 anos. De acordo com distinção social e fazenda continuarão após os 12 anos no ensino. </w:t>
      </w:r>
    </w:p>
    <w:p w14:paraId="640CE205" w14:textId="0DC8CE65" w:rsidR="0050670F" w:rsidRPr="007E12AF" w:rsidRDefault="00E74794" w:rsidP="00262E5B">
      <w:r w:rsidRPr="00485BD2">
        <w:t>Numa preocupação e defesa do futuro da criança</w:t>
      </w:r>
      <w:r w:rsidR="00C30334" w:rsidRPr="00485BD2">
        <w:t xml:space="preserve">. Uma ideia de preservação da ligação familiar (pai/filho/neto) com a sucessão dos bens, numa intenção de manter a </w:t>
      </w:r>
      <w:r w:rsidR="00C30334" w:rsidRPr="00485BD2">
        <w:lastRenderedPageBreak/>
        <w:t>ideia de família geracional, mais uma vez pela alta mortalidade e preservação da ligação familiar ao avô</w:t>
      </w:r>
      <w:r w:rsidRPr="00485BD2">
        <w:t>.</w:t>
      </w:r>
    </w:p>
    <w:p w14:paraId="01880CDA" w14:textId="2EFB136C" w:rsidR="00262E5B" w:rsidRPr="007E12AF" w:rsidRDefault="00262E5B" w:rsidP="00262E5B">
      <w:r w:rsidRPr="007E12AF">
        <w:t xml:space="preserve">- </w:t>
      </w:r>
      <w:r w:rsidRPr="007E12AF">
        <w:rPr>
          <w:i/>
          <w:iCs/>
        </w:rPr>
        <w:t>Se a filha se casar sem consentimento dos pais antes dos 25 anos seja deserdada</w:t>
      </w:r>
      <w:r w:rsidR="00485BD2">
        <w:rPr>
          <w:rStyle w:val="Refdenotaderodap"/>
        </w:rPr>
        <w:footnoteReference w:id="39"/>
      </w:r>
      <w:r w:rsidRPr="007E12AF">
        <w:t>. Embora a maior idade para demandar questões de património e de sucessão se estabeleça aos 12 ou 14 anos, o casamento com autonomia só pode ser realizado após 25 anos.</w:t>
      </w:r>
    </w:p>
    <w:p w14:paraId="22C3C02C" w14:textId="74AB518D" w:rsidR="00454726" w:rsidRPr="007E12AF" w:rsidRDefault="00454726" w:rsidP="00262E5B">
      <w:r w:rsidRPr="007E12AF">
        <w:t xml:space="preserve">- </w:t>
      </w:r>
      <w:r w:rsidRPr="007E12AF">
        <w:rPr>
          <w:i/>
          <w:iCs/>
        </w:rPr>
        <w:t>Nenhum homem case com mulher virgem ou viúva honesta com menos de 25 anos sem consentimento dos pais ou das pessoas com quem viver sob pena de degredo de 1 ano e perda de fazenda</w:t>
      </w:r>
      <w:r w:rsidRPr="007E12AF">
        <w:t xml:space="preserve"> </w:t>
      </w:r>
      <w:r w:rsidR="00485BD2">
        <w:rPr>
          <w:rStyle w:val="Refdenotaderodap"/>
        </w:rPr>
        <w:footnoteReference w:id="40"/>
      </w:r>
      <w:r w:rsidRPr="007E12AF">
        <w:t>.</w:t>
      </w:r>
    </w:p>
    <w:p w14:paraId="5B82295A" w14:textId="0D70D2F7" w:rsidR="00454726" w:rsidRPr="007E12AF" w:rsidRDefault="00454726" w:rsidP="00454726">
      <w:r w:rsidRPr="007E12AF">
        <w:t xml:space="preserve">- </w:t>
      </w:r>
      <w:r w:rsidRPr="007E12AF">
        <w:rPr>
          <w:i/>
          <w:iCs/>
        </w:rPr>
        <w:t xml:space="preserve">Se a menor de 25 anos for dada injustamente alguma sentença, poderá o menor agir contra ela. As </w:t>
      </w:r>
      <w:proofErr w:type="gramStart"/>
      <w:r w:rsidRPr="007E12AF">
        <w:rPr>
          <w:i/>
          <w:iCs/>
        </w:rPr>
        <w:t>causas cível</w:t>
      </w:r>
      <w:proofErr w:type="gramEnd"/>
      <w:r w:rsidRPr="007E12AF">
        <w:rPr>
          <w:i/>
          <w:iCs/>
        </w:rPr>
        <w:t xml:space="preserve"> ou crime de menores de 25 anos que não seja emancipado ou casado, se não passar de 14 anos será citado o tutor se o tiver e se não tiver tutor poderá requerer. Em idade entre os 14 e 25 anos será citado o tutor. se o menor for autor, sendo menor de 14 anos não será ouvido por si em juízo, mas sim o tutor e valerá o juízo sem procuração do menor. Se o menor for lesado por alguma sentença ou por autos do processo, antes que tenha 25 anos, deve pedir a restituição até idade de 25 anos e terá mais 4 anos que lhes são outorgados por direito além da legitima e comprida idade de 25 anos</w:t>
      </w:r>
      <w:r w:rsidR="00485BD2">
        <w:rPr>
          <w:rStyle w:val="Refdenotaderodap"/>
        </w:rPr>
        <w:footnoteReference w:id="41"/>
      </w:r>
      <w:r w:rsidRPr="007E12AF">
        <w:t xml:space="preserve">. Mais uma vez a maior idade referida a partir dos 25 anos. Esclarece o Título que para todos os efeitos nestes casos, o tutor responde. Ou seja, a idade de 14 anos, idade de </w:t>
      </w:r>
      <w:proofErr w:type="spellStart"/>
      <w:r w:rsidRPr="007E12AF">
        <w:t>révora</w:t>
      </w:r>
      <w:proofErr w:type="spellEnd"/>
      <w:r w:rsidRPr="007E12AF">
        <w:t>.</w:t>
      </w:r>
      <w:r w:rsidR="00E74794" w:rsidRPr="007E12AF">
        <w:t xml:space="preserve"> </w:t>
      </w:r>
      <w:r w:rsidR="00E74794" w:rsidRPr="00154918">
        <w:t>A importância de prever o dano para o menor.</w:t>
      </w:r>
    </w:p>
    <w:p w14:paraId="6EE70E09" w14:textId="3C5A04A7" w:rsidR="00454726" w:rsidRPr="007E12AF" w:rsidRDefault="00454726" w:rsidP="003B7709">
      <w:r w:rsidRPr="007E12AF">
        <w:t xml:space="preserve">- </w:t>
      </w:r>
      <w:r w:rsidRPr="007E12AF">
        <w:rPr>
          <w:i/>
          <w:iCs/>
        </w:rPr>
        <w:t>O órfão varão que alcança os 20 anos e a mulher 18 anos, pode pedir carta de graça régia para que sejam entregues os bens</w:t>
      </w:r>
      <w:r w:rsidR="00485BD2">
        <w:rPr>
          <w:rStyle w:val="Refdenotaderodap"/>
        </w:rPr>
        <w:footnoteReference w:id="42"/>
      </w:r>
      <w:r w:rsidRPr="007E12AF">
        <w:t>.</w:t>
      </w:r>
    </w:p>
    <w:p w14:paraId="7383CAB3" w14:textId="77C1B886" w:rsidR="00747BBB" w:rsidRPr="007E12AF" w:rsidRDefault="00747BBB" w:rsidP="003D18E9">
      <w:pPr>
        <w:pStyle w:val="Ttulo3"/>
      </w:pPr>
      <w:r w:rsidRPr="007E12AF">
        <w:t>1.1.4. D. Afonso V</w:t>
      </w:r>
      <w:r w:rsidR="00877909" w:rsidRPr="007E12AF">
        <w:t>, exemplo no tema</w:t>
      </w:r>
      <w:r w:rsidR="00827BE8" w:rsidRPr="007E12AF">
        <w:t xml:space="preserve"> </w:t>
      </w:r>
    </w:p>
    <w:p w14:paraId="4FAE7C45" w14:textId="13A6AC5C" w:rsidR="00A72A49" w:rsidRPr="00485BD2" w:rsidRDefault="00E6277C" w:rsidP="00A72A49">
      <w:pPr>
        <w:ind w:firstLine="708"/>
        <w:rPr>
          <w:bCs/>
        </w:rPr>
      </w:pPr>
      <w:r w:rsidRPr="00485BD2">
        <w:rPr>
          <w:bCs/>
        </w:rPr>
        <w:t>Inesperadamente, na pesquisa das autoras, surge um caso. Voltando à menção feita a D. Afonso V (1432-1481), 12.º rei de Portugal (</w:t>
      </w:r>
      <w:r w:rsidRPr="00485BD2">
        <w:rPr>
          <w:sz w:val="20"/>
          <w:szCs w:val="20"/>
        </w:rPr>
        <w:t>1438-1481</w:t>
      </w:r>
      <w:r w:rsidRPr="00485BD2">
        <w:rPr>
          <w:bCs/>
        </w:rPr>
        <w:t xml:space="preserve">), ele surge como um exemplo </w:t>
      </w:r>
      <w:r w:rsidRPr="00485BD2">
        <w:rPr>
          <w:bCs/>
        </w:rPr>
        <w:lastRenderedPageBreak/>
        <w:t xml:space="preserve">para a matéria aqui abordada. </w:t>
      </w:r>
      <w:r w:rsidR="00A72A49" w:rsidRPr="00485BD2">
        <w:rPr>
          <w:bCs/>
        </w:rPr>
        <w:t>Não é, por certo, um caso banal, antes o mais alto titular do Reino. Contudo, ilustra o percurso atrás referenciado.</w:t>
      </w:r>
    </w:p>
    <w:p w14:paraId="5DDAEB98" w14:textId="64E815CC" w:rsidR="0017054A" w:rsidRPr="00485BD2" w:rsidRDefault="00374E38" w:rsidP="00FA6B5F">
      <w:pPr>
        <w:ind w:firstLine="708"/>
        <w:rPr>
          <w:bCs/>
        </w:rPr>
      </w:pPr>
      <w:r w:rsidRPr="00485BD2">
        <w:rPr>
          <w:bCs/>
        </w:rPr>
        <w:t xml:space="preserve">Em 9 de Setembro de 1438, morre D. Duarte (nascido a 31 de </w:t>
      </w:r>
      <w:proofErr w:type="gramStart"/>
      <w:r w:rsidRPr="00485BD2">
        <w:rPr>
          <w:bCs/>
        </w:rPr>
        <w:t>Outubro</w:t>
      </w:r>
      <w:proofErr w:type="gramEnd"/>
      <w:r w:rsidRPr="00485BD2">
        <w:rPr>
          <w:bCs/>
        </w:rPr>
        <w:t xml:space="preserve"> de 1391, com 46 anos), vítima de peste bubónica e é sepultado no Mosteiro de Santa Maria da Vitória, na Batalha. Logo se inicia o reinado de seu filho, </w:t>
      </w:r>
      <w:r w:rsidRPr="00485BD2">
        <w:t>D. Afonso V,</w:t>
      </w:r>
      <w:r w:rsidRPr="00485BD2">
        <w:rPr>
          <w:bCs/>
        </w:rPr>
        <w:t xml:space="preserve"> com apenas 6 anos</w:t>
      </w:r>
      <w:r w:rsidR="0017054A" w:rsidRPr="00485BD2">
        <w:rPr>
          <w:bCs/>
        </w:rPr>
        <w:t>. Como tal, cabe na situação de órfão de pai</w:t>
      </w:r>
      <w:r w:rsidRPr="00485BD2">
        <w:rPr>
          <w:bCs/>
        </w:rPr>
        <w:t>.</w:t>
      </w:r>
    </w:p>
    <w:p w14:paraId="606654AF" w14:textId="7A14CF5C" w:rsidR="00FA6B5F" w:rsidRPr="00485BD2" w:rsidRDefault="00374E38" w:rsidP="00FA6B5F">
      <w:pPr>
        <w:ind w:firstLine="708"/>
        <w:rPr>
          <w:bCs/>
        </w:rPr>
      </w:pPr>
      <w:r w:rsidRPr="00485BD2">
        <w:rPr>
          <w:bCs/>
        </w:rPr>
        <w:t xml:space="preserve"> Pelo desejo expresso em testamento de seu pai, a regência cabe a sua mãe, D. Leonor de Aragão. Contudo, mulher e estrangeira, o que levanta oposição política. Em </w:t>
      </w:r>
      <w:r w:rsidR="00E6277C" w:rsidRPr="00485BD2">
        <w:t>1439</w:t>
      </w:r>
      <w:r w:rsidRPr="00485BD2">
        <w:t>, as</w:t>
      </w:r>
      <w:r w:rsidR="00E6277C" w:rsidRPr="00485BD2">
        <w:t xml:space="preserve"> Cortes que provocam o exílio de D. Leonor </w:t>
      </w:r>
      <w:r w:rsidRPr="00485BD2">
        <w:t>para</w:t>
      </w:r>
      <w:r w:rsidR="00E6277C" w:rsidRPr="00485BD2">
        <w:t xml:space="preserve"> Castela</w:t>
      </w:r>
      <w:r w:rsidRPr="00485BD2">
        <w:t xml:space="preserve"> e, em </w:t>
      </w:r>
      <w:r w:rsidR="00E6277C" w:rsidRPr="00485BD2">
        <w:t>1440</w:t>
      </w:r>
      <w:r w:rsidRPr="00485BD2">
        <w:t>, a</w:t>
      </w:r>
      <w:r w:rsidR="00E6277C" w:rsidRPr="00485BD2">
        <w:t xml:space="preserve">  </w:t>
      </w:r>
      <w:r w:rsidRPr="00485BD2">
        <w:t>r</w:t>
      </w:r>
      <w:r w:rsidR="00E6277C" w:rsidRPr="00485BD2">
        <w:t xml:space="preserve">egência </w:t>
      </w:r>
      <w:r w:rsidRPr="00485BD2">
        <w:t>passa para</w:t>
      </w:r>
      <w:r w:rsidR="00E6277C" w:rsidRPr="00485BD2">
        <w:t xml:space="preserve"> D. Pedro, tio do rei e duque de Coimbra.</w:t>
      </w:r>
      <w:r w:rsidRPr="00485BD2">
        <w:rPr>
          <w:bCs/>
        </w:rPr>
        <w:t xml:space="preserve"> </w:t>
      </w:r>
    </w:p>
    <w:p w14:paraId="2E0968D8" w14:textId="5497A38E" w:rsidR="00FA6B5F" w:rsidRPr="00485BD2" w:rsidRDefault="0017054A" w:rsidP="00FA6B5F">
      <w:pPr>
        <w:ind w:firstLine="708"/>
        <w:rPr>
          <w:bCs/>
        </w:rPr>
      </w:pPr>
      <w:r w:rsidRPr="00485BD2">
        <w:rPr>
          <w:bCs/>
        </w:rPr>
        <w:t>Conforme o percurso, a partir dos 14 anos passa a ser</w:t>
      </w:r>
      <w:r w:rsidR="006A5494" w:rsidRPr="00485BD2">
        <w:rPr>
          <w:bCs/>
        </w:rPr>
        <w:t xml:space="preserve"> integrado pelo tio regente nos assuntos do Reino, cumprindo-se a tutoria</w:t>
      </w:r>
      <w:r w:rsidRPr="00485BD2">
        <w:rPr>
          <w:bCs/>
        </w:rPr>
        <w:t>.</w:t>
      </w:r>
      <w:r w:rsidR="006A5494" w:rsidRPr="00485BD2">
        <w:rPr>
          <w:bCs/>
        </w:rPr>
        <w:t xml:space="preserve"> Vem a ser declarada a maioridade em Cortes de 1441 para,</w:t>
      </w:r>
      <w:r w:rsidRPr="00485BD2">
        <w:rPr>
          <w:bCs/>
        </w:rPr>
        <w:t xml:space="preserve"> e</w:t>
      </w:r>
      <w:r w:rsidR="00FA6B5F" w:rsidRPr="00485BD2">
        <w:rPr>
          <w:bCs/>
        </w:rPr>
        <w:t>m 1445, D. Afonso casa</w:t>
      </w:r>
      <w:r w:rsidR="006A5494" w:rsidRPr="00485BD2">
        <w:rPr>
          <w:bCs/>
        </w:rPr>
        <w:t>r</w:t>
      </w:r>
      <w:r w:rsidR="00FA6B5F" w:rsidRPr="00485BD2">
        <w:rPr>
          <w:bCs/>
        </w:rPr>
        <w:t>, aos 15 anos, com D. Isabel</w:t>
      </w:r>
      <w:r w:rsidR="00DA4C68" w:rsidRPr="00485BD2">
        <w:rPr>
          <w:bCs/>
        </w:rPr>
        <w:t xml:space="preserve"> de Avis</w:t>
      </w:r>
      <w:r w:rsidR="00FA6B5F" w:rsidRPr="00485BD2">
        <w:rPr>
          <w:bCs/>
        </w:rPr>
        <w:t>, filha de D. Pedro, por isso, sua prima, e o casamento n</w:t>
      </w:r>
      <w:r w:rsidR="00DA4C68" w:rsidRPr="00485BD2">
        <w:rPr>
          <w:bCs/>
        </w:rPr>
        <w:t>ão</w:t>
      </w:r>
      <w:r w:rsidR="00FA6B5F" w:rsidRPr="00485BD2">
        <w:rPr>
          <w:bCs/>
        </w:rPr>
        <w:t xml:space="preserve"> se validou por falta de dispensa papal</w:t>
      </w:r>
      <w:r w:rsidR="00DA4C68" w:rsidRPr="00485BD2">
        <w:rPr>
          <w:bCs/>
        </w:rPr>
        <w:t xml:space="preserve"> à consanguinidade</w:t>
      </w:r>
      <w:r w:rsidR="00FA6B5F" w:rsidRPr="00485BD2">
        <w:rPr>
          <w:bCs/>
        </w:rPr>
        <w:t>, ainda que tenham tido 3 filhos.</w:t>
      </w:r>
      <w:r w:rsidR="00DA4C68" w:rsidRPr="00485BD2">
        <w:rPr>
          <w:bCs/>
        </w:rPr>
        <w:t xml:space="preserve"> A dispensa vem em 1477.</w:t>
      </w:r>
      <w:r w:rsidR="00FA6B5F" w:rsidRPr="00485BD2">
        <w:rPr>
          <w:bCs/>
        </w:rPr>
        <w:t xml:space="preserve">  </w:t>
      </w:r>
    </w:p>
    <w:p w14:paraId="30ADF2D8" w14:textId="6B95A775" w:rsidR="00E6277C" w:rsidRPr="00485BD2" w:rsidRDefault="00374E38" w:rsidP="00B12FB9">
      <w:pPr>
        <w:ind w:firstLine="708"/>
        <w:rPr>
          <w:bCs/>
        </w:rPr>
      </w:pPr>
      <w:r w:rsidRPr="00485BD2">
        <w:rPr>
          <w:bCs/>
        </w:rPr>
        <w:t xml:space="preserve">Em </w:t>
      </w:r>
      <w:r w:rsidR="00E6277C" w:rsidRPr="00485BD2">
        <w:rPr>
          <w:bCs/>
        </w:rPr>
        <w:t>1446</w:t>
      </w:r>
      <w:r w:rsidR="00FA6B5F" w:rsidRPr="00485BD2">
        <w:rPr>
          <w:bCs/>
        </w:rPr>
        <w:t>, cumpre-se a</w:t>
      </w:r>
      <w:r w:rsidR="00E6277C" w:rsidRPr="00485BD2">
        <w:rPr>
          <w:bCs/>
        </w:rPr>
        <w:t xml:space="preserve"> </w:t>
      </w:r>
      <w:r w:rsidR="00FA6B5F" w:rsidRPr="00485BD2">
        <w:rPr>
          <w:bCs/>
        </w:rPr>
        <w:t>m</w:t>
      </w:r>
      <w:r w:rsidR="00E6277C" w:rsidRPr="00485BD2">
        <w:rPr>
          <w:bCs/>
        </w:rPr>
        <w:t>aioridade de D. Afonso</w:t>
      </w:r>
      <w:r w:rsidR="00FA6B5F" w:rsidRPr="00485BD2">
        <w:rPr>
          <w:bCs/>
        </w:rPr>
        <w:t>, contudo, D. Pedro não cede ainda o comando do Reino</w:t>
      </w:r>
      <w:r w:rsidR="00B12FB9" w:rsidRPr="00485BD2">
        <w:rPr>
          <w:bCs/>
        </w:rPr>
        <w:t xml:space="preserve">. Seria o mais </w:t>
      </w:r>
      <w:proofErr w:type="spellStart"/>
      <w:r w:rsidR="00B12FB9" w:rsidRPr="00485BD2">
        <w:rPr>
          <w:bCs/>
        </w:rPr>
        <w:t>correcto</w:t>
      </w:r>
      <w:proofErr w:type="spellEnd"/>
      <w:r w:rsidR="00B12FB9" w:rsidRPr="00485BD2">
        <w:rPr>
          <w:bCs/>
        </w:rPr>
        <w:t xml:space="preserve">? Cremos que D. Pedro não excedeu as funções que a legislação lhe </w:t>
      </w:r>
      <w:r w:rsidR="007B7036" w:rsidRPr="00485BD2">
        <w:rPr>
          <w:bCs/>
        </w:rPr>
        <w:t>atribuía</w:t>
      </w:r>
      <w:r w:rsidR="00B12FB9" w:rsidRPr="00485BD2">
        <w:rPr>
          <w:bCs/>
        </w:rPr>
        <w:t xml:space="preserve"> porque as Ordenações falam de “14 anos mais um ou 25 anos”, para idade da entrega dos bens aos órfãos. Mas essa demora na entrega do trono fez extremar as fações políticas</w:t>
      </w:r>
      <w:r w:rsidR="00E6277C" w:rsidRPr="00485BD2">
        <w:rPr>
          <w:bCs/>
        </w:rPr>
        <w:t>.</w:t>
      </w:r>
      <w:r w:rsidR="00DA4C68" w:rsidRPr="00485BD2">
        <w:rPr>
          <w:bCs/>
        </w:rPr>
        <w:t xml:space="preserve"> Provoca oposição e culmina com o a</w:t>
      </w:r>
      <w:r w:rsidR="00E6277C" w:rsidRPr="00485BD2">
        <w:rPr>
          <w:bCs/>
        </w:rPr>
        <w:t xml:space="preserve">fastamento de D. Pedro da </w:t>
      </w:r>
      <w:r w:rsidR="00DA4C68" w:rsidRPr="00485BD2">
        <w:rPr>
          <w:bCs/>
        </w:rPr>
        <w:t>C</w:t>
      </w:r>
      <w:r w:rsidR="00E6277C" w:rsidRPr="00485BD2">
        <w:rPr>
          <w:bCs/>
        </w:rPr>
        <w:t>orte</w:t>
      </w:r>
      <w:r w:rsidR="00DA4C68" w:rsidRPr="00485BD2">
        <w:rPr>
          <w:bCs/>
        </w:rPr>
        <w:t xml:space="preserve">, em 1448 e ainda </w:t>
      </w:r>
      <w:r w:rsidR="00B12FB9" w:rsidRPr="00485BD2">
        <w:rPr>
          <w:bCs/>
        </w:rPr>
        <w:t>conflito armado</w:t>
      </w:r>
      <w:r w:rsidR="00DA4C68" w:rsidRPr="00485BD2">
        <w:rPr>
          <w:bCs/>
        </w:rPr>
        <w:t xml:space="preserve">, com a </w:t>
      </w:r>
      <w:r w:rsidR="00E6277C" w:rsidRPr="00485BD2">
        <w:rPr>
          <w:bCs/>
        </w:rPr>
        <w:t>Batalha de Alfarrobeira e morte de D. Pedro</w:t>
      </w:r>
      <w:r w:rsidR="00DA4C68" w:rsidRPr="00485BD2">
        <w:rPr>
          <w:bCs/>
        </w:rPr>
        <w:t>, em 1449</w:t>
      </w:r>
      <w:r w:rsidR="00B12FB9" w:rsidRPr="00485BD2">
        <w:rPr>
          <w:bCs/>
        </w:rPr>
        <w:t>. D. Afonso com 17 anos</w:t>
      </w:r>
      <w:r w:rsidR="00E6277C" w:rsidRPr="00485BD2">
        <w:rPr>
          <w:bCs/>
        </w:rPr>
        <w:t>.</w:t>
      </w:r>
    </w:p>
    <w:p w14:paraId="5D54805C" w14:textId="2F8ECD2A" w:rsidR="00E6277C" w:rsidRPr="007E12AF" w:rsidRDefault="00E6277C" w:rsidP="00DA4C68">
      <w:pPr>
        <w:ind w:firstLine="708"/>
        <w:rPr>
          <w:bCs/>
        </w:rPr>
      </w:pPr>
      <w:r w:rsidRPr="00485BD2">
        <w:rPr>
          <w:bCs/>
        </w:rPr>
        <w:t>D. Isabel</w:t>
      </w:r>
      <w:r w:rsidR="00DA4C68" w:rsidRPr="00485BD2">
        <w:rPr>
          <w:bCs/>
        </w:rPr>
        <w:t xml:space="preserve"> (1432-1455) morre</w:t>
      </w:r>
      <w:r w:rsidRPr="00485BD2">
        <w:rPr>
          <w:bCs/>
        </w:rPr>
        <w:t xml:space="preserve"> com 23 anos</w:t>
      </w:r>
      <w:r w:rsidR="00DA4C68" w:rsidRPr="00485BD2">
        <w:rPr>
          <w:bCs/>
        </w:rPr>
        <w:t xml:space="preserve"> e, em </w:t>
      </w:r>
      <w:r w:rsidRPr="00485BD2">
        <w:rPr>
          <w:bCs/>
        </w:rPr>
        <w:t>1475</w:t>
      </w:r>
      <w:r w:rsidR="00DA4C68" w:rsidRPr="00485BD2">
        <w:rPr>
          <w:bCs/>
        </w:rPr>
        <w:t>,</w:t>
      </w:r>
      <w:r w:rsidRPr="00485BD2">
        <w:rPr>
          <w:bCs/>
        </w:rPr>
        <w:t xml:space="preserve"> D. Afonso casa com D. Joana</w:t>
      </w:r>
      <w:r w:rsidR="00DA4C68" w:rsidRPr="00485BD2">
        <w:rPr>
          <w:bCs/>
        </w:rPr>
        <w:t xml:space="preserve"> de Trastâmara (1462-1530)</w:t>
      </w:r>
      <w:r w:rsidRPr="00485BD2">
        <w:rPr>
          <w:bCs/>
        </w:rPr>
        <w:t xml:space="preserve">, </w:t>
      </w:r>
      <w:r w:rsidR="00DA4C68" w:rsidRPr="00485BD2">
        <w:rPr>
          <w:bCs/>
        </w:rPr>
        <w:t xml:space="preserve">princesa </w:t>
      </w:r>
      <w:r w:rsidRPr="00485BD2">
        <w:rPr>
          <w:bCs/>
        </w:rPr>
        <w:t>filha do falecido D. Henrique IV de Castela, a “Beltraneja”, e não tiveram filhos.</w:t>
      </w:r>
      <w:r w:rsidRPr="007E12AF">
        <w:rPr>
          <w:bCs/>
        </w:rPr>
        <w:t xml:space="preserve">  </w:t>
      </w:r>
    </w:p>
    <w:p w14:paraId="0DCD266A" w14:textId="3F5B6F12" w:rsidR="00E6277C" w:rsidRPr="007E12AF" w:rsidRDefault="00E6277C" w:rsidP="00FA6B5F">
      <w:r w:rsidRPr="007E12AF">
        <w:rPr>
          <w:bCs/>
        </w:rPr>
        <w:t xml:space="preserve">Vale ainda lembrar que se seguiu um reinado marcante para a história portuguesa, com grandes avanços nos Descobrimentos em África, daí o cognome de </w:t>
      </w:r>
      <w:r w:rsidRPr="007E12AF">
        <w:rPr>
          <w:bCs/>
          <w:i/>
          <w:iCs/>
        </w:rPr>
        <w:t>O Africano</w:t>
      </w:r>
      <w:r w:rsidRPr="007E12AF">
        <w:rPr>
          <w:bCs/>
        </w:rPr>
        <w:t xml:space="preserve"> e uma época de acontecimentos de relevo. Nele se alcançou a costa da Guiné (1444) e a Serra Leoa (1460); se</w:t>
      </w:r>
      <w:r w:rsidRPr="007E12AF">
        <w:t xml:space="preserve"> descobrem as primeiras ilhas do arquipélago de Cabo Verde, em 1456; viveu Gil Vicente (1465(?)-1536) e morreu o Infante D. Henrique (1394-1460); ocorreu o casamento dos herdeiros dos tronos Isabel I de Castela e Leão e Fernando II de Aragão, os </w:t>
      </w:r>
      <w:r w:rsidRPr="007E12AF">
        <w:rPr>
          <w:i/>
        </w:rPr>
        <w:t>Reis Católicos</w:t>
      </w:r>
      <w:r w:rsidRPr="007E12AF">
        <w:rPr>
          <w:iCs/>
        </w:rPr>
        <w:t xml:space="preserve"> (título concedido pelo papa em 1499 ao casal real supostamente o casamento realizado </w:t>
      </w:r>
      <w:r w:rsidRPr="00485BD2">
        <w:rPr>
          <w:iCs/>
        </w:rPr>
        <w:t xml:space="preserve">em </w:t>
      </w:r>
      <w:proofErr w:type="spellStart"/>
      <w:r w:rsidRPr="00485BD2">
        <w:rPr>
          <w:iCs/>
        </w:rPr>
        <w:t>Segovia</w:t>
      </w:r>
      <w:proofErr w:type="spellEnd"/>
      <w:r w:rsidRPr="00485BD2">
        <w:rPr>
          <w:iCs/>
        </w:rPr>
        <w:t xml:space="preserve">, em </w:t>
      </w:r>
      <w:r w:rsidRPr="00485BD2">
        <w:t>1469</w:t>
      </w:r>
      <w:r w:rsidR="00DA4C68" w:rsidRPr="00485BD2">
        <w:t xml:space="preserve"> ou 74</w:t>
      </w:r>
      <w:r w:rsidRPr="00485BD2">
        <w:t xml:space="preserve"> ?</w:t>
      </w:r>
      <w:r w:rsidRPr="00485BD2">
        <w:rPr>
          <w:iCs/>
        </w:rPr>
        <w:t>)</w:t>
      </w:r>
      <w:r w:rsidRPr="00485BD2">
        <w:t xml:space="preserve">; ainda a Conquista de Arzila, Tânger </w:t>
      </w:r>
      <w:r w:rsidRPr="00485BD2">
        <w:lastRenderedPageBreak/>
        <w:t>e Larache que eleva ao título do rei para “Rei de Portugal e dos Algarves, de aquém e de além mar em África” e a descoberta do arquipélago de S. Tomé e Príncipe (1471); Álvaro Esteves passa a linha do equador em 1472; ainda é assinado o Tratado das Alcáçovas</w:t>
      </w:r>
      <w:r w:rsidR="00DA4C68" w:rsidRPr="00485BD2">
        <w:t>-Toledo</w:t>
      </w:r>
      <w:r w:rsidRPr="00485BD2">
        <w:t>, em 1479</w:t>
      </w:r>
      <w:r w:rsidR="00DA4C68" w:rsidRPr="00485BD2">
        <w:t>-1480</w:t>
      </w:r>
      <w:r w:rsidRPr="00485BD2">
        <w:t>.</w:t>
      </w:r>
    </w:p>
    <w:p w14:paraId="1247590C" w14:textId="53F71A72" w:rsidR="00E6277C" w:rsidRPr="007E12AF" w:rsidRDefault="00E6277C" w:rsidP="00E6277C">
      <w:pPr>
        <w:ind w:firstLine="708"/>
      </w:pPr>
      <w:r w:rsidRPr="007E12AF">
        <w:t xml:space="preserve">D. Afonso V morrerá em 29 de </w:t>
      </w:r>
      <w:proofErr w:type="gramStart"/>
      <w:r w:rsidRPr="007E12AF">
        <w:t>Agosto</w:t>
      </w:r>
      <w:proofErr w:type="gramEnd"/>
      <w:r w:rsidRPr="007E12AF">
        <w:t xml:space="preserve"> de 1481 e é sepultado no Mosteiro de Santa Maria da Vitória, na Batalha.</w:t>
      </w:r>
      <w:r w:rsidR="00374E38" w:rsidRPr="007E12AF">
        <w:t xml:space="preserve"> Vai seguir-se D. João II, seu filho.</w:t>
      </w:r>
    </w:p>
    <w:p w14:paraId="4A9D37FD" w14:textId="1A955FB1" w:rsidR="00E55B6E" w:rsidRPr="007E12AF" w:rsidRDefault="00B17B14" w:rsidP="003D18E9">
      <w:pPr>
        <w:pStyle w:val="Ttulo1"/>
      </w:pPr>
      <w:r w:rsidRPr="007E12AF">
        <w:t>2</w:t>
      </w:r>
      <w:r w:rsidR="003C22A8" w:rsidRPr="007E12AF">
        <w:t xml:space="preserve">. </w:t>
      </w:r>
      <w:r w:rsidR="005301FB" w:rsidRPr="007E12AF">
        <w:t xml:space="preserve">A </w:t>
      </w:r>
      <w:r w:rsidR="00E55B6E" w:rsidRPr="007E12AF">
        <w:t>criança nos textos jurídicos – hoje</w:t>
      </w:r>
    </w:p>
    <w:p w14:paraId="0A3BFB57" w14:textId="30C7D83B" w:rsidR="002A3103" w:rsidRPr="007E12AF" w:rsidRDefault="002A3103" w:rsidP="00003ACB">
      <w:r w:rsidRPr="007E12AF">
        <w:t>Ainda que a História se apresente sempre como o ponto de partida, fazemos um salto abrupto para os textos de hoje</w:t>
      </w:r>
      <w:r w:rsidR="0019216F" w:rsidRPr="007E12AF">
        <w:rPr>
          <w:rStyle w:val="Refdenotaderodap"/>
        </w:rPr>
        <w:footnoteReference w:id="43"/>
      </w:r>
      <w:r w:rsidRPr="007E12AF">
        <w:t xml:space="preserve"> e, mais ainda, </w:t>
      </w:r>
      <w:r w:rsidR="00DD65F8" w:rsidRPr="007E12AF">
        <w:t xml:space="preserve">especificamente, para </w:t>
      </w:r>
      <w:r w:rsidRPr="007E12AF">
        <w:t xml:space="preserve">a realidade da União Europeia. </w:t>
      </w:r>
      <w:r w:rsidR="00D969D3" w:rsidRPr="007E12AF">
        <w:t>De repente, a União Europeia? Não é um “de repente”, antes um ponto de partida nacional e um ponto de chegada europeu, ambos de Direito positiv</w:t>
      </w:r>
      <w:r w:rsidR="00C72C70" w:rsidRPr="007E12AF">
        <w:t>o</w:t>
      </w:r>
      <w:r w:rsidR="00D969D3" w:rsidRPr="007E12AF">
        <w:t>, com relevo para os textos paradigmáticos de cada momento</w:t>
      </w:r>
      <w:r w:rsidR="00DD65F8" w:rsidRPr="007E12AF">
        <w:t xml:space="preserve"> e reveladores de um “salto” na evolução do Direito, como realidades jurídicas criadas de novo, criam rutura e inauguram novas etapas da História e do Direito</w:t>
      </w:r>
      <w:r w:rsidR="00D969D3" w:rsidRPr="007E12AF">
        <w:t>.</w:t>
      </w:r>
    </w:p>
    <w:p w14:paraId="5A65736D" w14:textId="7DBF1497" w:rsidR="007B5682" w:rsidRPr="007E12AF" w:rsidRDefault="007B5682" w:rsidP="00003ACB">
      <w:r w:rsidRPr="007E12AF">
        <w:t>Sem intenção de acompanhar toda uma evolução internacional</w:t>
      </w:r>
      <w:r w:rsidR="00780DD7" w:rsidRPr="007E12AF">
        <w:rPr>
          <w:rStyle w:val="Refdenotaderodap"/>
        </w:rPr>
        <w:footnoteReference w:id="44"/>
      </w:r>
      <w:r w:rsidRPr="007E12AF">
        <w:t xml:space="preserve"> nem sequer salientar outros textos pioneiros como a Convenção sobre os Direitos da Crianças</w:t>
      </w:r>
      <w:r w:rsidR="00780DD7" w:rsidRPr="007E12AF">
        <w:rPr>
          <w:rStyle w:val="Refdenotaderodap"/>
        </w:rPr>
        <w:footnoteReference w:id="45"/>
      </w:r>
      <w:r w:rsidRPr="007E12AF">
        <w:t xml:space="preserve"> mas focar num quadro escolhido do direito da União Europeia.</w:t>
      </w:r>
    </w:p>
    <w:p w14:paraId="735BD333" w14:textId="30D497E6" w:rsidR="00E55B6E" w:rsidRPr="007E12AF" w:rsidRDefault="00A6747E" w:rsidP="003D18E9">
      <w:pPr>
        <w:pStyle w:val="Ttulo1"/>
      </w:pPr>
      <w:r w:rsidRPr="007E12AF">
        <w:t>3</w:t>
      </w:r>
      <w:r w:rsidR="003C22A8" w:rsidRPr="007E12AF">
        <w:t xml:space="preserve">. </w:t>
      </w:r>
      <w:r w:rsidR="00E55B6E" w:rsidRPr="007E12AF">
        <w:t>A crianças nos textos da União Europeia</w:t>
      </w:r>
    </w:p>
    <w:p w14:paraId="46F7BCAE" w14:textId="77777777" w:rsidR="00C96E63" w:rsidRPr="007E12AF" w:rsidRDefault="00D73AFE" w:rsidP="00C96E63">
      <w:pPr>
        <w:ind w:firstLine="708"/>
      </w:pPr>
      <w:r w:rsidRPr="007E12AF">
        <w:t>Os direitos da criança dentro das atribuições da União Europeia (UE) só foram explicitamente estabelecidos no texto dos tratados com clareza a partir do Tratado de Lisboa (TL) de 2007.</w:t>
      </w:r>
    </w:p>
    <w:p w14:paraId="5834F5A1" w14:textId="28192B07" w:rsidR="00C96E63" w:rsidRPr="007E12AF" w:rsidRDefault="00C96E63" w:rsidP="00C96E63">
      <w:pPr>
        <w:ind w:firstLine="708"/>
        <w:rPr>
          <w:sz w:val="22"/>
          <w:szCs w:val="22"/>
        </w:rPr>
      </w:pPr>
      <w:r w:rsidRPr="007E12AF">
        <w:lastRenderedPageBreak/>
        <w:t xml:space="preserve">Os tratados </w:t>
      </w:r>
      <w:proofErr w:type="spellStart"/>
      <w:r w:rsidRPr="007E12AF">
        <w:t>institutivos</w:t>
      </w:r>
      <w:proofErr w:type="spellEnd"/>
      <w:r w:rsidRPr="007E12AF">
        <w:t xml:space="preserve"> da União Europeia, enquanto direito primário, constituem a base jurídica de um projeto por uma ideia de 1950 que nasceu em 1951, completou-se em 1957 e sofreu cinco modificações, sendo a última pelo Tratado de Lisboa de 2007</w:t>
      </w:r>
      <w:r w:rsidR="00780DD7" w:rsidRPr="007E12AF">
        <w:rPr>
          <w:rStyle w:val="Refdenotaderodap"/>
        </w:rPr>
        <w:footnoteReference w:id="46"/>
      </w:r>
      <w:r w:rsidR="00A276A1">
        <w:t>.</w:t>
      </w:r>
    </w:p>
    <w:p w14:paraId="08CD72C5" w14:textId="0E1B87EE" w:rsidR="00C5707A" w:rsidRPr="007E12AF" w:rsidRDefault="00C5707A" w:rsidP="00C5707A">
      <w:pPr>
        <w:ind w:firstLine="708"/>
      </w:pPr>
      <w:r w:rsidRPr="007E12AF">
        <w:t>A União Europeia de hoje, projeto de integração com 70 anos que resultou do percurso construído pelas Comunidades Europeias até 2009, tem por berço um contexto de recuperação económica no pós-guerra. A preocupação de origem era no sentido de uma integração meramente económica. Só com as alterações introduzidas em 1992, se começa então a pensar nas pessoas, no cidadão</w:t>
      </w:r>
      <w:r w:rsidR="00780DD7" w:rsidRPr="007E12AF">
        <w:rPr>
          <w:rStyle w:val="Refdenotaderodap"/>
        </w:rPr>
        <w:footnoteReference w:id="47"/>
      </w:r>
      <w:r w:rsidRPr="007E12AF">
        <w:t xml:space="preserve"> </w:t>
      </w:r>
      <w:sdt>
        <w:sdtPr>
          <w:rPr>
            <w:lang w:val="en-IE"/>
          </w:rPr>
          <w:id w:val="1752461997"/>
          <w:citation/>
        </w:sdtPr>
        <w:sdtEndPr/>
        <w:sdtContent>
          <w:r w:rsidRPr="007E12AF">
            <w:rPr>
              <w:lang w:val="en-IE"/>
            </w:rPr>
            <w:fldChar w:fldCharType="begin"/>
          </w:r>
          <w:r w:rsidRPr="007E12AF">
            <w:instrText xml:space="preserve">CITATION Fro16 \p 458 \l 2070 </w:instrText>
          </w:r>
          <w:r w:rsidRPr="007E12AF">
            <w:rPr>
              <w:lang w:val="en-IE"/>
            </w:rPr>
            <w:fldChar w:fldCharType="separate"/>
          </w:r>
          <w:r w:rsidR="00B62665" w:rsidRPr="007E12AF">
            <w:rPr>
              <w:noProof/>
            </w:rPr>
            <w:t>(Froufe &amp; Gomes, 2016, p. 458)</w:t>
          </w:r>
          <w:r w:rsidRPr="007E12AF">
            <w:rPr>
              <w:lang w:val="en-IE"/>
            </w:rPr>
            <w:fldChar w:fldCharType="end"/>
          </w:r>
        </w:sdtContent>
      </w:sdt>
      <w:r w:rsidRPr="007E12AF">
        <w:t>.</w:t>
      </w:r>
    </w:p>
    <w:p w14:paraId="3312F48A" w14:textId="3A5715DA" w:rsidR="007120D4" w:rsidRPr="00C54BB7" w:rsidRDefault="007120D4" w:rsidP="00C96E63">
      <w:pPr>
        <w:ind w:firstLine="708"/>
      </w:pPr>
      <w:r w:rsidRPr="007E12AF">
        <w:t xml:space="preserve">De notar que são poucas as vezes os Tratados usam a palavra criança, mas a relevância de passar a ser mencionada a "proteção dos direitos das crianças", foi tornar este objetivo interno e depois tido como elemento da política externa da UE e foi crucial para a implementação de medidas que têm tido um papel decisivo na promoção, defesa e implementação daquela. Como referido, esta realidade apenas acontece após o Tratado de </w:t>
      </w:r>
      <w:r w:rsidRPr="00C54BB7">
        <w:t>Lisboa</w:t>
      </w:r>
      <w:r w:rsidR="00780DD7" w:rsidRPr="00C54BB7">
        <w:rPr>
          <w:rStyle w:val="Refdenotaderodap"/>
        </w:rPr>
        <w:footnoteReference w:id="48"/>
      </w:r>
      <w:r w:rsidRPr="00C54BB7">
        <w:rPr>
          <w:color w:val="FF0000"/>
        </w:rPr>
        <w:t>.</w:t>
      </w:r>
    </w:p>
    <w:p w14:paraId="352B7FDD" w14:textId="7EE7EED9" w:rsidR="00D73AFE" w:rsidRPr="007E12AF" w:rsidRDefault="00D73AFE" w:rsidP="00D73AFE">
      <w:pPr>
        <w:ind w:firstLine="708"/>
      </w:pPr>
      <w:r w:rsidRPr="00C54BB7">
        <w:t xml:space="preserve">De acordo com Isabel Poças </w:t>
      </w:r>
      <w:proofErr w:type="spellStart"/>
      <w:r w:rsidRPr="00C54BB7">
        <w:t>Restier</w:t>
      </w:r>
      <w:proofErr w:type="spellEnd"/>
      <w:r w:rsidRPr="00C54BB7">
        <w:t xml:space="preserve"> </w:t>
      </w:r>
      <w:r w:rsidR="00F57572" w:rsidRPr="00C54BB7">
        <w:t>“A UE só pode legislar nos domínios em que lhe foi conferida competência nos termos dos tratados (</w:t>
      </w:r>
      <w:r w:rsidR="00933FE0" w:rsidRPr="00C54BB7">
        <w:t>a</w:t>
      </w:r>
      <w:r w:rsidR="00F57572" w:rsidRPr="00C54BB7">
        <w:t>rtigos 2.º a 4.º do TFUE). Dado que os direitos da criança constituem um domínio intersectorial, é necessário determinar a competência da União caso a caso. Os domínios relevantes para os direitos da criança em que a UE produziu uma vasta legislação são os seguintes: – proteção dos dados e dos consumidores; – asilo e migração; – cooperação em matéria civil e penal.”</w:t>
      </w:r>
      <w:r w:rsidR="00780DD7" w:rsidRPr="00C54BB7">
        <w:rPr>
          <w:rStyle w:val="Refdenotaderodap"/>
        </w:rPr>
        <w:footnoteReference w:id="49"/>
      </w:r>
    </w:p>
    <w:p w14:paraId="4CE1CE6C" w14:textId="06675080" w:rsidR="00BD2202" w:rsidRPr="00A276A1" w:rsidRDefault="00933FE0" w:rsidP="00933FE0">
      <w:pPr>
        <w:ind w:firstLine="708"/>
      </w:pPr>
      <w:r w:rsidRPr="00A276A1">
        <w:t>Em especial, v</w:t>
      </w:r>
      <w:r w:rsidR="00BD2202" w:rsidRPr="00A276A1">
        <w:t>ejam-se</w:t>
      </w:r>
      <w:r w:rsidR="00BD2202" w:rsidRPr="00A276A1">
        <w:rPr>
          <w:rStyle w:val="Refdenotaderodap"/>
        </w:rPr>
        <w:footnoteReference w:id="50"/>
      </w:r>
      <w:r w:rsidR="00BD2202" w:rsidRPr="00A276A1">
        <w:t>:</w:t>
      </w:r>
      <w:r w:rsidRPr="00A276A1">
        <w:t xml:space="preserve"> n</w:t>
      </w:r>
      <w:r w:rsidR="00BD2202" w:rsidRPr="00A276A1">
        <w:t>o Tratado da União Europeia (TUE), o artigo 3.º, n.º 3, § 2, e n.º 5</w:t>
      </w:r>
      <w:r w:rsidRPr="00A276A1">
        <w:t>; n</w:t>
      </w:r>
      <w:r w:rsidR="00BD2202" w:rsidRPr="00A276A1">
        <w:t>o Tratado sobre o Funcionamento da União Europeia (TFUE), os artigos 79.º, n.º 2, alínea d), e o artigo 83.º, n.º 1, § 2.</w:t>
      </w:r>
    </w:p>
    <w:p w14:paraId="0DB8EA77" w14:textId="77777777" w:rsidR="00BD2202" w:rsidRPr="00A276A1" w:rsidRDefault="00BD2202" w:rsidP="00BD2202">
      <w:pPr>
        <w:rPr>
          <w:sz w:val="22"/>
          <w:szCs w:val="22"/>
        </w:rPr>
      </w:pPr>
    </w:p>
    <w:p w14:paraId="0A0799EC" w14:textId="77777777" w:rsidR="00BD2202" w:rsidRPr="00A276A1" w:rsidRDefault="00BD2202" w:rsidP="00A276A1">
      <w:pPr>
        <w:pStyle w:val="ti-art"/>
        <w:shd w:val="clear" w:color="auto" w:fill="FFFFFF"/>
        <w:spacing w:before="0" w:beforeAutospacing="0" w:after="0" w:afterAutospacing="0" w:line="240" w:lineRule="auto"/>
        <w:ind w:left="709" w:right="709" w:firstLine="0"/>
        <w:jc w:val="center"/>
        <w:rPr>
          <w:i/>
          <w:iCs/>
          <w:sz w:val="22"/>
          <w:szCs w:val="22"/>
        </w:rPr>
      </w:pPr>
      <w:r w:rsidRPr="00A276A1">
        <w:rPr>
          <w:i/>
          <w:iCs/>
          <w:sz w:val="22"/>
          <w:szCs w:val="22"/>
        </w:rPr>
        <w:lastRenderedPageBreak/>
        <w:t>Artigo 3.</w:t>
      </w:r>
      <w:r w:rsidRPr="00A276A1">
        <w:rPr>
          <w:rStyle w:val="super"/>
          <w:i/>
          <w:iCs/>
          <w:sz w:val="22"/>
          <w:szCs w:val="22"/>
          <w:vertAlign w:val="superscript"/>
        </w:rPr>
        <w:t xml:space="preserve">o </w:t>
      </w:r>
      <w:r w:rsidRPr="00A276A1">
        <w:rPr>
          <w:sz w:val="22"/>
          <w:szCs w:val="22"/>
        </w:rPr>
        <w:t>TUE</w:t>
      </w:r>
    </w:p>
    <w:p w14:paraId="60A8992C" w14:textId="77777777" w:rsidR="00BD2202" w:rsidRPr="00A276A1" w:rsidRDefault="00BD2202" w:rsidP="00A276A1">
      <w:pPr>
        <w:pStyle w:val="Normal2"/>
        <w:shd w:val="clear" w:color="auto" w:fill="FFFFFF"/>
        <w:spacing w:before="0" w:beforeAutospacing="0" w:after="0" w:afterAutospacing="0" w:line="240" w:lineRule="auto"/>
        <w:ind w:left="709" w:right="709" w:firstLine="0"/>
        <w:rPr>
          <w:sz w:val="22"/>
          <w:szCs w:val="22"/>
        </w:rPr>
      </w:pPr>
      <w:r w:rsidRPr="00A276A1">
        <w:rPr>
          <w:sz w:val="22"/>
          <w:szCs w:val="22"/>
        </w:rPr>
        <w:t>(…)</w:t>
      </w:r>
    </w:p>
    <w:p w14:paraId="3F090DCB" w14:textId="77777777" w:rsidR="00BD2202" w:rsidRPr="00A276A1" w:rsidRDefault="00BD2202" w:rsidP="00A276A1">
      <w:pPr>
        <w:pStyle w:val="Normal2"/>
        <w:shd w:val="clear" w:color="auto" w:fill="FFFFFF"/>
        <w:spacing w:before="0" w:beforeAutospacing="0" w:after="0" w:afterAutospacing="0" w:line="240" w:lineRule="auto"/>
        <w:ind w:left="709" w:right="709" w:firstLine="0"/>
        <w:rPr>
          <w:sz w:val="22"/>
          <w:szCs w:val="22"/>
        </w:rPr>
      </w:pPr>
      <w:r w:rsidRPr="00A276A1">
        <w:rPr>
          <w:sz w:val="22"/>
          <w:szCs w:val="22"/>
        </w:rPr>
        <w:t>3. (…)</w:t>
      </w:r>
    </w:p>
    <w:p w14:paraId="5962F24C" w14:textId="77777777" w:rsidR="00BD2202" w:rsidRPr="00A276A1" w:rsidRDefault="00BD2202" w:rsidP="00A276A1">
      <w:pPr>
        <w:pStyle w:val="Normal2"/>
        <w:shd w:val="clear" w:color="auto" w:fill="FFFFFF"/>
        <w:spacing w:before="0" w:beforeAutospacing="0" w:after="0" w:afterAutospacing="0" w:line="240" w:lineRule="auto"/>
        <w:ind w:left="709" w:right="709" w:firstLine="0"/>
        <w:rPr>
          <w:sz w:val="22"/>
          <w:szCs w:val="22"/>
        </w:rPr>
      </w:pPr>
      <w:r w:rsidRPr="00A276A1">
        <w:rPr>
          <w:sz w:val="22"/>
          <w:szCs w:val="22"/>
        </w:rPr>
        <w:t xml:space="preserve">A União combate a exclusão social e as discriminações e promove a justiça e a proteção sociais, a igualdade entre homens e mulheres, a solidariedade entre as gerações e a proteção dos </w:t>
      </w:r>
      <w:r w:rsidRPr="00A276A1">
        <w:rPr>
          <w:b/>
          <w:bCs/>
          <w:sz w:val="22"/>
          <w:szCs w:val="22"/>
        </w:rPr>
        <w:t>direitos da criança</w:t>
      </w:r>
      <w:r w:rsidRPr="00A276A1">
        <w:rPr>
          <w:sz w:val="22"/>
          <w:szCs w:val="22"/>
        </w:rPr>
        <w:t>.</w:t>
      </w:r>
    </w:p>
    <w:p w14:paraId="43F62760" w14:textId="77777777" w:rsidR="00BD2202" w:rsidRPr="00A276A1" w:rsidRDefault="00BD2202" w:rsidP="00A276A1">
      <w:pPr>
        <w:pStyle w:val="Normal2"/>
        <w:shd w:val="clear" w:color="auto" w:fill="FFFFFF"/>
        <w:spacing w:before="0" w:beforeAutospacing="0" w:after="0" w:afterAutospacing="0" w:line="240" w:lineRule="auto"/>
        <w:ind w:left="709" w:right="709" w:firstLine="0"/>
        <w:rPr>
          <w:sz w:val="22"/>
          <w:szCs w:val="22"/>
        </w:rPr>
      </w:pPr>
      <w:r w:rsidRPr="00A276A1">
        <w:rPr>
          <w:sz w:val="22"/>
          <w:szCs w:val="22"/>
        </w:rPr>
        <w:t>(…)</w:t>
      </w:r>
    </w:p>
    <w:p w14:paraId="55515894" w14:textId="77777777" w:rsidR="00BD2202" w:rsidRPr="00A276A1" w:rsidRDefault="00BD2202" w:rsidP="00A276A1">
      <w:pPr>
        <w:pStyle w:val="Normal2"/>
        <w:shd w:val="clear" w:color="auto" w:fill="FFFFFF"/>
        <w:spacing w:before="0" w:beforeAutospacing="0" w:after="0" w:afterAutospacing="0" w:line="240" w:lineRule="auto"/>
        <w:ind w:left="709" w:right="709" w:firstLine="0"/>
        <w:rPr>
          <w:sz w:val="22"/>
          <w:szCs w:val="22"/>
        </w:rPr>
      </w:pPr>
      <w:r w:rsidRPr="00A276A1">
        <w:rPr>
          <w:sz w:val="22"/>
          <w:szCs w:val="22"/>
        </w:rPr>
        <w:t xml:space="preserve">5.  Nas suas relações com o resto do mundo, a União afirma e promove os seus valores e interesses e contribui para a proteção dos seus cidadãos. Contribui para a paz, a segurança, o desenvolvimento sustentável do planeta, a solidariedade e o respeito mútuo entre os povos, o comércio livre e equitativo, a erradicação da pobreza e a proteção dos direitos do Homem, em especial os </w:t>
      </w:r>
      <w:r w:rsidRPr="00A276A1">
        <w:rPr>
          <w:b/>
          <w:bCs/>
          <w:sz w:val="22"/>
          <w:szCs w:val="22"/>
        </w:rPr>
        <w:t>da criança</w:t>
      </w:r>
      <w:r w:rsidRPr="00A276A1">
        <w:rPr>
          <w:sz w:val="22"/>
          <w:szCs w:val="22"/>
        </w:rPr>
        <w:t>, bem como para a rigorosa observância e o desenvolvimento do direito internacional, incluindo o respeito dos princípios da Carta das Nações Unidas.</w:t>
      </w:r>
    </w:p>
    <w:p w14:paraId="2CC00347" w14:textId="77777777" w:rsidR="00BD2202" w:rsidRPr="00A276A1" w:rsidRDefault="00BD2202" w:rsidP="00A276A1">
      <w:pPr>
        <w:spacing w:line="240" w:lineRule="auto"/>
        <w:ind w:left="709" w:right="709" w:firstLine="0"/>
        <w:rPr>
          <w:sz w:val="22"/>
          <w:szCs w:val="22"/>
        </w:rPr>
      </w:pPr>
      <w:r w:rsidRPr="00A276A1">
        <w:rPr>
          <w:sz w:val="22"/>
          <w:szCs w:val="22"/>
        </w:rPr>
        <w:t>(…)</w:t>
      </w:r>
    </w:p>
    <w:p w14:paraId="78AF780D" w14:textId="77777777" w:rsidR="00BD2202" w:rsidRPr="007E12AF" w:rsidRDefault="00BD2202" w:rsidP="006334D6"/>
    <w:p w14:paraId="0CF5570F" w14:textId="51B94331" w:rsidR="006334D6" w:rsidRPr="00A276A1" w:rsidRDefault="00AA1676" w:rsidP="00AA1676">
      <w:pPr>
        <w:ind w:firstLine="708"/>
      </w:pPr>
      <w:r w:rsidRPr="007E12AF">
        <w:t>A Carta dos Direitos Fundamentais da União Europeia (CDFUE) reconheceu e consolidou o acervo da União em matéria de direitos fundamentais</w:t>
      </w:r>
      <w:r w:rsidR="00780DD7" w:rsidRPr="007E12AF">
        <w:rPr>
          <w:rStyle w:val="Refdenotaderodap"/>
        </w:rPr>
        <w:footnoteReference w:id="51"/>
      </w:r>
      <w:r w:rsidRPr="007E12AF">
        <w:t>, ao estabelecer a positivação de um catálogo de direitos</w:t>
      </w:r>
      <w:r w:rsidR="00780DD7" w:rsidRPr="007E12AF">
        <w:rPr>
          <w:rStyle w:val="Refdenotaderodap"/>
        </w:rPr>
        <w:footnoteReference w:id="52"/>
      </w:r>
      <w:r w:rsidRPr="007E12AF">
        <w:t xml:space="preserve">. </w:t>
      </w:r>
      <w:r w:rsidR="00BD2202" w:rsidRPr="007E12AF">
        <w:t>No ano 2000, as primeiras medidas específicas sobre os Direitos das Crianças foram estabelecidas na Carta dos Direitos Fundamentais da União Europeia</w:t>
      </w:r>
      <w:r w:rsidR="006334D6" w:rsidRPr="007E12AF">
        <w:t xml:space="preserve">. Dentro da Carta dos Direitos Fundamentais da União </w:t>
      </w:r>
      <w:r w:rsidR="006334D6" w:rsidRPr="00A276A1">
        <w:t xml:space="preserve">Europeia (CDFUE), encontramos o </w:t>
      </w:r>
      <w:r w:rsidR="00933FE0" w:rsidRPr="00A276A1">
        <w:t>a</w:t>
      </w:r>
      <w:r w:rsidR="006334D6" w:rsidRPr="00A276A1">
        <w:t xml:space="preserve">rtigo 24.º, que trata dos direitos da criança. Além disso, o </w:t>
      </w:r>
      <w:r w:rsidR="00933FE0" w:rsidRPr="00A276A1">
        <w:t>a</w:t>
      </w:r>
      <w:r w:rsidR="006334D6" w:rsidRPr="00A276A1">
        <w:t xml:space="preserve">rtigo 7.º aborda o respeito pela vida familiar, o </w:t>
      </w:r>
      <w:r w:rsidR="00933FE0" w:rsidRPr="00A276A1">
        <w:t>a</w:t>
      </w:r>
      <w:r w:rsidR="006334D6" w:rsidRPr="00A276A1">
        <w:t xml:space="preserve">rtigo 14.º versa sobre o direito à educação, o </w:t>
      </w:r>
      <w:r w:rsidR="00933FE0" w:rsidRPr="00A276A1">
        <w:t>a</w:t>
      </w:r>
      <w:r w:rsidR="006334D6" w:rsidRPr="00A276A1">
        <w:t xml:space="preserve">rtigo 32.º trata da proibição do trabalho infantil e da proteção dos jovens no ambiente de trabalho, enquanto o </w:t>
      </w:r>
      <w:r w:rsidR="00933FE0" w:rsidRPr="00A276A1">
        <w:t>a</w:t>
      </w:r>
      <w:r w:rsidR="006334D6" w:rsidRPr="00A276A1">
        <w:t xml:space="preserve">rtigo 33.º trata da conciliação entre vida familiar e profissional. </w:t>
      </w:r>
    </w:p>
    <w:p w14:paraId="586E2FEA" w14:textId="315E7129" w:rsidR="006334D6" w:rsidRPr="007E12AF" w:rsidRDefault="00933FE0" w:rsidP="006334D6">
      <w:pPr>
        <w:ind w:firstLine="708"/>
      </w:pPr>
      <w:r w:rsidRPr="00A276A1">
        <w:t>Como referido, a</w:t>
      </w:r>
      <w:r w:rsidR="006334D6" w:rsidRPr="00A276A1">
        <w:t xml:space="preserve"> Carta dos Direitos</w:t>
      </w:r>
      <w:r w:rsidR="006334D6" w:rsidRPr="007E12AF">
        <w:t xml:space="preserve"> Fundamentais da União Europeia dedica o seu artigo 24.º aos direitos da criança, reconhecendo, assim, à criança um estatuto de cidadania social. Esse reconhecimento decorre de uma consciência recente sobre as características e especificidades da infância</w:t>
      </w:r>
      <w:r w:rsidR="00780DD7" w:rsidRPr="007E12AF">
        <w:rPr>
          <w:rStyle w:val="Refdenotaderodap"/>
        </w:rPr>
        <w:footnoteReference w:id="53"/>
      </w:r>
      <w:r w:rsidR="006334D6" w:rsidRPr="007E12AF">
        <w:t xml:space="preserve">. As bases do </w:t>
      </w:r>
      <w:r w:rsidRPr="007B7036">
        <w:t>a</w:t>
      </w:r>
      <w:r w:rsidR="006334D6" w:rsidRPr="007E12AF">
        <w:t>rtigo 24.º remontam aos princípios fundamentais estabelecidos na Convenção sobre os Direitos da Criança das Nações Unidas, aprovada pela Assembleia Geral das Nações Unidas em 20 de novembro de 1989.</w:t>
      </w:r>
    </w:p>
    <w:p w14:paraId="0093D1D1" w14:textId="0B4EDFE4" w:rsidR="006334D6" w:rsidRPr="002723D5" w:rsidRDefault="006334D6" w:rsidP="006334D6">
      <w:pPr>
        <w:ind w:firstLine="708"/>
      </w:pPr>
      <w:r w:rsidRPr="007E12AF">
        <w:lastRenderedPageBreak/>
        <w:t>Na CDFUE, a criança emerge como titular de direitos específicos, exclusivos às crianças, marcando uma abordagem na qual a criança é considerada um "sujeito igual e privilegiado</w:t>
      </w:r>
      <w:r w:rsidRPr="002723D5">
        <w:t>"</w:t>
      </w:r>
      <w:r w:rsidR="00780DD7" w:rsidRPr="002723D5">
        <w:rPr>
          <w:rStyle w:val="Refdenotaderodap"/>
        </w:rPr>
        <w:footnoteReference w:id="54"/>
      </w:r>
      <w:r w:rsidRPr="002723D5">
        <w:t>. Essa mudança de perspetiva não apenas demonstra um entendimento mais aprofundado das necessidades e dos direitos das crianças, mas também reflete um compromisso evidente com a promoção da dignidade e do bem-estar infantil no âmbito da União Europeia.</w:t>
      </w:r>
    </w:p>
    <w:p w14:paraId="4FF6BB15" w14:textId="398179DC" w:rsidR="006334D6" w:rsidRPr="007E12AF" w:rsidRDefault="00AA1676" w:rsidP="006334D6">
      <w:pPr>
        <w:ind w:firstLine="708"/>
      </w:pPr>
      <w:r w:rsidRPr="002723D5">
        <w:t>A Carta dos Direitos Fundamentais da União Europeia não foi diretamente incorporada no Tratado de Lisboa, mas adquire força jurídica vinculativa nos termos do artigo 6.º, n.º 1, do TUE, que</w:t>
      </w:r>
      <w:r w:rsidRPr="007E12AF">
        <w:t xml:space="preserve"> confere à Carta o mesmo valor jurídico que é atribuído aos Tratados. Desta forma, o Tratado de Lisboa dota a UE de maior capacidade para promover os direitos da criança, permitindo avançar com legislação e orientações específicas. Com as alterações decorrentes o Tratado de Lisboa, o Tratado da UE: institui a proteção dos direitos da criança como um objetivo (artigo 3.º, n.º 3, do TUE) e destaca a proteção dos direitos crianças como um aspeto fundamental da política externa da UE (artigo 3, n.º 5, do TUE)</w:t>
      </w:r>
      <w:r w:rsidR="00780DD7" w:rsidRPr="007E12AF">
        <w:rPr>
          <w:rStyle w:val="Refdenotaderodap"/>
        </w:rPr>
        <w:footnoteReference w:id="55"/>
      </w:r>
      <w:r w:rsidRPr="007E12AF">
        <w:t>.</w:t>
      </w:r>
    </w:p>
    <w:p w14:paraId="7ABD4366" w14:textId="3B6EE71A" w:rsidR="004B49B9" w:rsidRPr="007E12AF" w:rsidRDefault="003C22A8" w:rsidP="003D18E9">
      <w:pPr>
        <w:pStyle w:val="Ttulo1"/>
      </w:pPr>
      <w:r w:rsidRPr="007E12AF">
        <w:t xml:space="preserve">Notas conclusivas </w:t>
      </w:r>
    </w:p>
    <w:p w14:paraId="543621E5" w14:textId="64F521CC" w:rsidR="00152076" w:rsidRPr="007E12AF" w:rsidRDefault="00281414" w:rsidP="00281414">
      <w:r w:rsidRPr="007E12AF">
        <w:t>Um ponto de partida improvável, não o é, afinal, para as autoras. A ligação entre as Ordenações portuguesas com início no século XV e a União Europeia resultante da ideia de 1950 reconduzem-se à ligação entre a História e o Direito, como aqui se pretendeu trazer. Uma das autoras parte da História e é conduzida pela influência da documentação da União Europeia a uma ligação à Educação. A outra autora parte do direito da União Europeia e seus valores para salientar a importância da História e das raízes de cada povo europeu na sua diversidade. Assim se unem e dois pontos de origem tão distantes podem</w:t>
      </w:r>
      <w:r w:rsidR="006E23C7" w:rsidRPr="007E12AF">
        <w:t>-se demonstr</w:t>
      </w:r>
      <w:r w:rsidRPr="007E12AF">
        <w:t>ar unidos no processo.</w:t>
      </w:r>
      <w:r w:rsidR="00A95F41" w:rsidRPr="007E12AF">
        <w:t xml:space="preserve"> Uma ligação à primeira leitura forçada entre Ordenações medievais e a legislação da União Europeia conduz a análise à conclusão de que há paralelismo possível e muito maior do que a hipótese de partida parecia antever.</w:t>
      </w:r>
    </w:p>
    <w:p w14:paraId="111F364E" w14:textId="2B1E8B6B" w:rsidR="00303FC8" w:rsidRPr="007E12AF" w:rsidRDefault="00303FC8" w:rsidP="00281414">
      <w:r w:rsidRPr="007E12AF">
        <w:lastRenderedPageBreak/>
        <w:t>Para além do recurso direto aos textos jurídicos históricos, a figura de D. Afonso V surgiu às autoras no processo de estudo (sempre a importância do processo)</w:t>
      </w:r>
      <w:r w:rsidR="00C757E8" w:rsidRPr="007E12AF">
        <w:t xml:space="preserve"> e revelou-se essencial e </w:t>
      </w:r>
      <w:r w:rsidR="00877909" w:rsidRPr="007E12AF">
        <w:t>prazerosa</w:t>
      </w:r>
      <w:r w:rsidR="00C757E8" w:rsidRPr="007E12AF">
        <w:t xml:space="preserve"> para a análise. A leitura dos documentos passou a ter um nome e a aplicar-se a rosto – é certo que não uma “qualquer” pessoa, antes o mais alto dignatário do Reino de Portugal, mas aplicável para diversas precisões da lei.</w:t>
      </w:r>
    </w:p>
    <w:p w14:paraId="590F7805" w14:textId="6AB2949B" w:rsidR="00C1578D" w:rsidRPr="007E12AF" w:rsidRDefault="00C1578D" w:rsidP="00C1578D">
      <w:pPr>
        <w:ind w:firstLine="708"/>
      </w:pPr>
      <w:r w:rsidRPr="007E12AF">
        <w:t>Considera-se que num comparativo com a legislação atual parece existir um grande paralelismo na filosofia da proteção à criança, ontem e ho</w:t>
      </w:r>
      <w:r w:rsidRPr="00A276A1">
        <w:t>je.</w:t>
      </w:r>
      <w:r w:rsidR="00D705C3" w:rsidRPr="00A276A1">
        <w:t xml:space="preserve"> Os direitos das crianças, ainda que sem o reconhecimento pleno de estatuto, já figuravam assegurados sob pena de sanções gravíssimas tal como o degredo. Existem preocupações minuciosas com a situação de orfandade, os respetivos bens, a manutenção da ligação familiar, os recursos resultantes da maioridade – estão já lá na História.</w:t>
      </w:r>
    </w:p>
    <w:p w14:paraId="48CF7AAC" w14:textId="48404322" w:rsidR="005F3538" w:rsidRPr="007E12AF" w:rsidRDefault="005F3538" w:rsidP="00281414">
      <w:r w:rsidRPr="007E12AF">
        <w:t>Assim, a criança, hoje protegida e salientada na legislação</w:t>
      </w:r>
      <w:r w:rsidR="00515E28" w:rsidRPr="007E12AF">
        <w:t xml:space="preserve"> europeia</w:t>
      </w:r>
      <w:r w:rsidRPr="007E12AF">
        <w:t>, surge como sujeito de direitos inclusive na legislação</w:t>
      </w:r>
      <w:r w:rsidR="00515E28" w:rsidRPr="007E12AF">
        <w:t xml:space="preserve"> portuguesa</w:t>
      </w:r>
      <w:r w:rsidRPr="007E12AF">
        <w:t xml:space="preserve"> </w:t>
      </w:r>
      <w:r w:rsidR="00515E28" w:rsidRPr="007E12AF">
        <w:t>da Idade Média, com possíveis paralelos que a colocam como estatuto privilegiado nas relações de orgânica familiar, de sucessão, laborais e até de criminalidade, com preocupações de respeito mútuo</w:t>
      </w:r>
      <w:r w:rsidRPr="007E12AF">
        <w:t xml:space="preserve">. Concluindo as autoras neste breve estudo que a criança é entendida como </w:t>
      </w:r>
      <w:r w:rsidRPr="007E12AF">
        <w:rPr>
          <w:b/>
          <w:bCs/>
        </w:rPr>
        <w:t>sujeito “igual e privilegiado”</w:t>
      </w:r>
      <w:r w:rsidRPr="007E12AF">
        <w:t>, ontem e hoje, no direito medieval do Reino de Portugal e no direito da União Europeia</w:t>
      </w:r>
      <w:r w:rsidR="00515E28" w:rsidRPr="007E12AF">
        <w:t xml:space="preserve">, enquanto épocas </w:t>
      </w:r>
      <w:proofErr w:type="gramStart"/>
      <w:r w:rsidR="00515E28" w:rsidRPr="007E12AF">
        <w:t>díspares</w:t>
      </w:r>
      <w:proofErr w:type="gramEnd"/>
      <w:r w:rsidR="00515E28" w:rsidRPr="007E12AF">
        <w:t xml:space="preserve"> mas de possível ligação</w:t>
      </w:r>
      <w:r w:rsidRPr="007E12AF">
        <w:t xml:space="preserve">. </w:t>
      </w:r>
    </w:p>
    <w:p w14:paraId="7C250E54" w14:textId="3D7FCAEF" w:rsidR="00BB7C7B" w:rsidRPr="007E12AF" w:rsidRDefault="00BF1CD3" w:rsidP="003D18E9">
      <w:pPr>
        <w:pStyle w:val="Ttulo1"/>
      </w:pPr>
      <w:r w:rsidRPr="007E12AF">
        <w:t xml:space="preserve">Referências </w:t>
      </w:r>
      <w:r w:rsidR="003452C3" w:rsidRPr="007E12AF">
        <w:t>bibliográficas</w:t>
      </w:r>
    </w:p>
    <w:p w14:paraId="28FAFB78" w14:textId="77777777" w:rsidR="00C54BB7" w:rsidRPr="00C54BB7" w:rsidRDefault="00C54BB7" w:rsidP="00C54BB7">
      <w:pPr>
        <w:pStyle w:val="Textodenotaderodap"/>
        <w:rPr>
          <w:sz w:val="24"/>
          <w:szCs w:val="24"/>
        </w:rPr>
      </w:pPr>
      <w:r w:rsidRPr="00C54BB7">
        <w:rPr>
          <w:sz w:val="24"/>
          <w:szCs w:val="24"/>
        </w:rPr>
        <w:t xml:space="preserve">C. ALBUQUERQUE, </w:t>
      </w:r>
      <w:proofErr w:type="gramStart"/>
      <w:r w:rsidRPr="00C54BB7">
        <w:rPr>
          <w:i/>
          <w:iCs/>
          <w:sz w:val="24"/>
          <w:szCs w:val="24"/>
        </w:rPr>
        <w:t>Os</w:t>
      </w:r>
      <w:proofErr w:type="gramEnd"/>
      <w:r w:rsidRPr="00C54BB7">
        <w:rPr>
          <w:i/>
          <w:iCs/>
          <w:sz w:val="24"/>
          <w:szCs w:val="24"/>
        </w:rPr>
        <w:t xml:space="preserve"> direitos da criança: as Nações Unidas, a Convenção e o Comité</w:t>
      </w:r>
      <w:r w:rsidRPr="00C54BB7">
        <w:rPr>
          <w:sz w:val="24"/>
          <w:szCs w:val="24"/>
        </w:rPr>
        <w:t xml:space="preserve">. Ministério Público. Gabinete de Documentação e Direito Comparado, Portugal, 2001, disponível em: </w:t>
      </w:r>
      <w:hyperlink r:id="rId8" w:history="1">
        <w:r w:rsidRPr="00C54BB7">
          <w:rPr>
            <w:rStyle w:val="Hiperligao"/>
            <w:sz w:val="24"/>
            <w:szCs w:val="24"/>
          </w:rPr>
          <w:t>https://gddc.ministeriopublico.pt/sites/default/files/os_direitos_crianca_catarina_albuquerque.pdf</w:t>
        </w:r>
      </w:hyperlink>
    </w:p>
    <w:p w14:paraId="44D0CB19" w14:textId="77777777" w:rsidR="00C54BB7" w:rsidRPr="00C54BB7" w:rsidRDefault="00C54BB7" w:rsidP="00C54BB7">
      <w:r w:rsidRPr="00C54BB7">
        <w:t xml:space="preserve">D. R. ALVES, </w:t>
      </w:r>
      <w:r w:rsidRPr="00C54BB7">
        <w:rPr>
          <w:lang w:eastAsia="en-US"/>
          <w14:ligatures w14:val="standardContextual"/>
        </w:rPr>
        <w:t>&amp; D.S. CASTILHOS, “As crianças nos textos jurídicos da União Europeia”, In A. NEVES, I. MACHADO, M. S. OLIVEIRA, M. S. ALMEIDA, &amp; P. OLIVEIRA (</w:t>
      </w:r>
      <w:proofErr w:type="spellStart"/>
      <w:r w:rsidRPr="00C54BB7">
        <w:rPr>
          <w:lang w:eastAsia="en-US"/>
          <w14:ligatures w14:val="standardContextual"/>
        </w:rPr>
        <w:t>Coords</w:t>
      </w:r>
      <w:proofErr w:type="spellEnd"/>
      <w:r w:rsidRPr="00C54BB7">
        <w:rPr>
          <w:lang w:eastAsia="en-US"/>
          <w14:ligatures w14:val="standardContextual"/>
        </w:rPr>
        <w:t xml:space="preserve">.), </w:t>
      </w:r>
      <w:r w:rsidRPr="00C54BB7">
        <w:rPr>
          <w:i/>
          <w:iCs/>
          <w:lang w:eastAsia="en-US"/>
          <w14:ligatures w14:val="standardContextual"/>
        </w:rPr>
        <w:t>VI Congresso Ibero-Americano de Intervenção Social: Infância e Juventude</w:t>
      </w:r>
      <w:r w:rsidRPr="00C54BB7">
        <w:rPr>
          <w:lang w:eastAsia="en-US"/>
          <w14:ligatures w14:val="standardContextual"/>
        </w:rPr>
        <w:t xml:space="preserve">, Lema d’Origem, Porto, 2023, pp. 21-36, disponível em: </w:t>
      </w:r>
      <w:hyperlink r:id="rId9" w:tgtFrame="_blank" w:history="1">
        <w:r w:rsidRPr="00C54BB7">
          <w:rPr>
            <w:rStyle w:val="Hiperligao"/>
            <w:color w:val="0563C1"/>
            <w14:ligatures w14:val="standardContextual"/>
          </w:rPr>
          <w:t>https://hdl.handle.net/11328/5319</w:t>
        </w:r>
      </w:hyperlink>
    </w:p>
    <w:p w14:paraId="5FD45FE1" w14:textId="77777777" w:rsidR="00C54BB7" w:rsidRPr="00C54BB7" w:rsidRDefault="00C54BB7" w:rsidP="00C54BB7">
      <w:pPr>
        <w:pStyle w:val="Textodenotaderodap"/>
        <w:rPr>
          <w:sz w:val="24"/>
          <w:szCs w:val="24"/>
        </w:rPr>
      </w:pPr>
      <w:r w:rsidRPr="00C54BB7">
        <w:rPr>
          <w:sz w:val="24"/>
          <w:szCs w:val="24"/>
        </w:rPr>
        <w:t xml:space="preserve">D. R., ALVES &amp; D.S. CASTILHOS, “A evolução dos direitos humanos na Europa: os principais momentos desde a ausência de direitos fundamentais na União </w:t>
      </w:r>
      <w:r w:rsidRPr="00C54BB7">
        <w:rPr>
          <w:sz w:val="24"/>
          <w:szCs w:val="24"/>
        </w:rPr>
        <w:lastRenderedPageBreak/>
        <w:t xml:space="preserve">Europeia até a </w:t>
      </w:r>
      <w:proofErr w:type="spellStart"/>
      <w:r w:rsidRPr="00C54BB7">
        <w:rPr>
          <w:sz w:val="24"/>
          <w:szCs w:val="24"/>
        </w:rPr>
        <w:t>actualidade</w:t>
      </w:r>
      <w:proofErr w:type="spellEnd"/>
      <w:r w:rsidRPr="00C54BB7">
        <w:rPr>
          <w:sz w:val="24"/>
          <w:szCs w:val="24"/>
        </w:rPr>
        <w:t xml:space="preserve">”, in: G. A. BEDIN, </w:t>
      </w:r>
      <w:r w:rsidRPr="00C54BB7">
        <w:rPr>
          <w:i/>
          <w:iCs/>
          <w:sz w:val="24"/>
          <w:szCs w:val="24"/>
        </w:rPr>
        <w:t>Cidadania, Justiça e Controle Social.</w:t>
      </w:r>
      <w:r w:rsidRPr="00C54BB7">
        <w:rPr>
          <w:sz w:val="24"/>
          <w:szCs w:val="24"/>
        </w:rPr>
        <w:t xml:space="preserve"> </w:t>
      </w:r>
      <w:proofErr w:type="spellStart"/>
      <w:r w:rsidRPr="00C54BB7">
        <w:rPr>
          <w:sz w:val="24"/>
          <w:szCs w:val="24"/>
        </w:rPr>
        <w:t>Essere</w:t>
      </w:r>
      <w:proofErr w:type="spellEnd"/>
      <w:r w:rsidRPr="00C54BB7">
        <w:rPr>
          <w:sz w:val="24"/>
          <w:szCs w:val="24"/>
        </w:rPr>
        <w:t xml:space="preserve"> </w:t>
      </w:r>
      <w:proofErr w:type="spellStart"/>
      <w:r w:rsidRPr="00C54BB7">
        <w:rPr>
          <w:sz w:val="24"/>
          <w:szCs w:val="24"/>
        </w:rPr>
        <w:t>nel</w:t>
      </w:r>
      <w:proofErr w:type="spellEnd"/>
      <w:r w:rsidRPr="00C54BB7">
        <w:rPr>
          <w:sz w:val="24"/>
          <w:szCs w:val="24"/>
        </w:rPr>
        <w:t xml:space="preserve"> Mondo, 2016 disponível em: </w:t>
      </w:r>
      <w:hyperlink r:id="rId10" w:history="1">
        <w:r w:rsidRPr="00C54BB7">
          <w:rPr>
            <w:rStyle w:val="Hiperligao"/>
            <w:sz w:val="24"/>
            <w:szCs w:val="24"/>
          </w:rPr>
          <w:t>http://hdl.handle.net/11328/1461</w:t>
        </w:r>
      </w:hyperlink>
    </w:p>
    <w:p w14:paraId="6CE96F8E" w14:textId="77777777" w:rsidR="00CA0649" w:rsidRPr="00C54BB7" w:rsidRDefault="00CA0649" w:rsidP="00CA0649">
      <w:pPr>
        <w:pStyle w:val="Textodenotaderodap"/>
        <w:rPr>
          <w:sz w:val="24"/>
          <w:szCs w:val="24"/>
        </w:rPr>
      </w:pPr>
      <w:r w:rsidRPr="00C54BB7">
        <w:rPr>
          <w:sz w:val="24"/>
          <w:szCs w:val="24"/>
        </w:rPr>
        <w:t>D. R. ALVES, Cronologia da Construção Europeia Comunitária - Apontamentos Policopiados, Universidade Portucalense, Porto, 2022</w:t>
      </w:r>
    </w:p>
    <w:p w14:paraId="52698F79" w14:textId="5A901F3E" w:rsidR="00CA0649" w:rsidRDefault="00CA0649" w:rsidP="00CA0649">
      <w:pPr>
        <w:pStyle w:val="Textodenotaderodap"/>
        <w:rPr>
          <w:sz w:val="24"/>
          <w:szCs w:val="24"/>
        </w:rPr>
      </w:pPr>
      <w:r w:rsidRPr="00C54BB7">
        <w:rPr>
          <w:sz w:val="24"/>
          <w:szCs w:val="24"/>
        </w:rPr>
        <w:t xml:space="preserve">D. R. ALVES, F. PACHECO, "De que falamos quando falamos de direitos fundamentais?", in: J. P. XAVIER; C. P. ALBUQUERQUE; J. SIMÕES; M. CRUZ, </w:t>
      </w:r>
      <w:proofErr w:type="spellStart"/>
      <w:r w:rsidRPr="00C54BB7">
        <w:rPr>
          <w:i/>
          <w:iCs/>
          <w:sz w:val="24"/>
          <w:szCs w:val="24"/>
        </w:rPr>
        <w:t>Past</w:t>
      </w:r>
      <w:proofErr w:type="spellEnd"/>
      <w:r w:rsidRPr="00C54BB7">
        <w:rPr>
          <w:i/>
          <w:iCs/>
          <w:sz w:val="24"/>
          <w:szCs w:val="24"/>
        </w:rPr>
        <w:t xml:space="preserve">, </w:t>
      </w:r>
      <w:proofErr w:type="spellStart"/>
      <w:r w:rsidRPr="00C54BB7">
        <w:rPr>
          <w:i/>
          <w:iCs/>
          <w:sz w:val="24"/>
          <w:szCs w:val="24"/>
        </w:rPr>
        <w:t>Present</w:t>
      </w:r>
      <w:proofErr w:type="spellEnd"/>
      <w:r w:rsidRPr="00C54BB7">
        <w:rPr>
          <w:i/>
          <w:iCs/>
          <w:sz w:val="24"/>
          <w:szCs w:val="24"/>
        </w:rPr>
        <w:t xml:space="preserve"> </w:t>
      </w:r>
      <w:proofErr w:type="spellStart"/>
      <w:r w:rsidRPr="00C54BB7">
        <w:rPr>
          <w:i/>
          <w:iCs/>
          <w:sz w:val="24"/>
          <w:szCs w:val="24"/>
        </w:rPr>
        <w:t>and</w:t>
      </w:r>
      <w:proofErr w:type="spellEnd"/>
      <w:r w:rsidRPr="00C54BB7">
        <w:rPr>
          <w:i/>
          <w:iCs/>
          <w:sz w:val="24"/>
          <w:szCs w:val="24"/>
        </w:rPr>
        <w:t xml:space="preserve"> Future </w:t>
      </w:r>
      <w:proofErr w:type="spellStart"/>
      <w:r w:rsidRPr="00C54BB7">
        <w:rPr>
          <w:i/>
          <w:iCs/>
          <w:sz w:val="24"/>
          <w:szCs w:val="24"/>
        </w:rPr>
        <w:t>of</w:t>
      </w:r>
      <w:proofErr w:type="spellEnd"/>
      <w:r w:rsidRPr="00C54BB7">
        <w:rPr>
          <w:i/>
          <w:iCs/>
          <w:sz w:val="24"/>
          <w:szCs w:val="24"/>
        </w:rPr>
        <w:t xml:space="preserve"> </w:t>
      </w:r>
      <w:proofErr w:type="spellStart"/>
      <w:r w:rsidRPr="00C54BB7">
        <w:rPr>
          <w:i/>
          <w:iCs/>
          <w:sz w:val="24"/>
          <w:szCs w:val="24"/>
        </w:rPr>
        <w:t>Human</w:t>
      </w:r>
      <w:proofErr w:type="spellEnd"/>
      <w:r w:rsidRPr="00C54BB7">
        <w:rPr>
          <w:i/>
          <w:iCs/>
          <w:sz w:val="24"/>
          <w:szCs w:val="24"/>
        </w:rPr>
        <w:t xml:space="preserve"> </w:t>
      </w:r>
      <w:proofErr w:type="spellStart"/>
      <w:r w:rsidRPr="00C54BB7">
        <w:rPr>
          <w:i/>
          <w:iCs/>
          <w:sz w:val="24"/>
          <w:szCs w:val="24"/>
        </w:rPr>
        <w:t>Rights</w:t>
      </w:r>
      <w:proofErr w:type="spellEnd"/>
      <w:r w:rsidRPr="00C54BB7">
        <w:rPr>
          <w:sz w:val="24"/>
          <w:szCs w:val="24"/>
        </w:rPr>
        <w:t xml:space="preserve">: </w:t>
      </w:r>
      <w:proofErr w:type="spellStart"/>
      <w:r w:rsidRPr="00C54BB7">
        <w:rPr>
          <w:sz w:val="24"/>
          <w:szCs w:val="24"/>
        </w:rPr>
        <w:t>After</w:t>
      </w:r>
      <w:proofErr w:type="spellEnd"/>
      <w:r w:rsidRPr="00C54BB7">
        <w:rPr>
          <w:sz w:val="24"/>
          <w:szCs w:val="24"/>
        </w:rPr>
        <w:t xml:space="preserve"> </w:t>
      </w:r>
      <w:proofErr w:type="spellStart"/>
      <w:r w:rsidRPr="00C54BB7">
        <w:rPr>
          <w:sz w:val="24"/>
          <w:szCs w:val="24"/>
        </w:rPr>
        <w:t>the</w:t>
      </w:r>
      <w:proofErr w:type="spellEnd"/>
      <w:r w:rsidRPr="00C54BB7">
        <w:rPr>
          <w:sz w:val="24"/>
          <w:szCs w:val="24"/>
        </w:rPr>
        <w:t xml:space="preserve"> 70th </w:t>
      </w:r>
      <w:proofErr w:type="spellStart"/>
      <w:r w:rsidRPr="00C54BB7">
        <w:rPr>
          <w:sz w:val="24"/>
          <w:szCs w:val="24"/>
        </w:rPr>
        <w:t>Anniversary</w:t>
      </w:r>
      <w:proofErr w:type="spellEnd"/>
      <w:r w:rsidRPr="00C54BB7">
        <w:rPr>
          <w:sz w:val="24"/>
          <w:szCs w:val="24"/>
        </w:rPr>
        <w:t xml:space="preserve"> </w:t>
      </w:r>
      <w:proofErr w:type="spellStart"/>
      <w:r w:rsidRPr="00C54BB7">
        <w:rPr>
          <w:sz w:val="24"/>
          <w:szCs w:val="24"/>
        </w:rPr>
        <w:t>of</w:t>
      </w:r>
      <w:proofErr w:type="spellEnd"/>
      <w:r w:rsidRPr="00C54BB7">
        <w:rPr>
          <w:sz w:val="24"/>
          <w:szCs w:val="24"/>
        </w:rPr>
        <w:t xml:space="preserve"> </w:t>
      </w:r>
      <w:proofErr w:type="spellStart"/>
      <w:r w:rsidRPr="00C54BB7">
        <w:rPr>
          <w:sz w:val="24"/>
          <w:szCs w:val="24"/>
        </w:rPr>
        <w:t>the</w:t>
      </w:r>
      <w:proofErr w:type="spellEnd"/>
      <w:r w:rsidRPr="00C54BB7">
        <w:rPr>
          <w:sz w:val="24"/>
          <w:szCs w:val="24"/>
        </w:rPr>
        <w:t xml:space="preserve"> Universal </w:t>
      </w:r>
      <w:proofErr w:type="spellStart"/>
      <w:r w:rsidRPr="00C54BB7">
        <w:rPr>
          <w:sz w:val="24"/>
          <w:szCs w:val="24"/>
        </w:rPr>
        <w:t>Declaration</w:t>
      </w:r>
      <w:proofErr w:type="spellEnd"/>
      <w:r w:rsidRPr="00C54BB7">
        <w:rPr>
          <w:sz w:val="24"/>
          <w:szCs w:val="24"/>
        </w:rPr>
        <w:t xml:space="preserve"> </w:t>
      </w:r>
      <w:proofErr w:type="spellStart"/>
      <w:r w:rsidRPr="00C54BB7">
        <w:rPr>
          <w:sz w:val="24"/>
          <w:szCs w:val="24"/>
        </w:rPr>
        <w:t>of</w:t>
      </w:r>
      <w:proofErr w:type="spellEnd"/>
      <w:r w:rsidRPr="00C54BB7">
        <w:rPr>
          <w:sz w:val="24"/>
          <w:szCs w:val="24"/>
        </w:rPr>
        <w:t xml:space="preserve"> </w:t>
      </w:r>
      <w:proofErr w:type="spellStart"/>
      <w:r w:rsidRPr="00C54BB7">
        <w:rPr>
          <w:sz w:val="24"/>
          <w:szCs w:val="24"/>
        </w:rPr>
        <w:t>Human</w:t>
      </w:r>
      <w:proofErr w:type="spellEnd"/>
      <w:r w:rsidRPr="00C54BB7">
        <w:rPr>
          <w:sz w:val="24"/>
          <w:szCs w:val="24"/>
        </w:rPr>
        <w:t xml:space="preserve"> </w:t>
      </w:r>
      <w:proofErr w:type="spellStart"/>
      <w:r w:rsidRPr="00C54BB7">
        <w:rPr>
          <w:sz w:val="24"/>
          <w:szCs w:val="24"/>
        </w:rPr>
        <w:t>Rights</w:t>
      </w:r>
      <w:proofErr w:type="spellEnd"/>
      <w:r w:rsidRPr="00C54BB7">
        <w:rPr>
          <w:sz w:val="24"/>
          <w:szCs w:val="24"/>
        </w:rPr>
        <w:t xml:space="preserve"> 1948-2018, Imprensa Universidade de Coimbra, 2021, pp. 61-86</w:t>
      </w:r>
      <w:r w:rsidR="00EC5B59">
        <w:rPr>
          <w:sz w:val="24"/>
          <w:szCs w:val="24"/>
        </w:rPr>
        <w:t>.</w:t>
      </w:r>
    </w:p>
    <w:p w14:paraId="54F1CFDF" w14:textId="7AA6691E" w:rsidR="00EC5B59" w:rsidRPr="00EC5B59" w:rsidRDefault="00EC5B59" w:rsidP="00EC5B59">
      <w:pPr>
        <w:pStyle w:val="Textodenotaderodap"/>
        <w:spacing w:line="240" w:lineRule="auto"/>
      </w:pPr>
      <w:r>
        <w:rPr>
          <w:rStyle w:val="nfase"/>
          <w:i w:val="0"/>
          <w:iCs w:val="0"/>
          <w:shd w:val="clear" w:color="auto" w:fill="FFFFFF"/>
        </w:rPr>
        <w:t>I.V. FREITAS</w:t>
      </w:r>
      <w:r w:rsidRPr="00EC5B59">
        <w:rPr>
          <w:shd w:val="clear" w:color="auto" w:fill="FFFFFF"/>
        </w:rPr>
        <w:t xml:space="preserve">, </w:t>
      </w:r>
      <w:r w:rsidRPr="00EC5B59">
        <w:rPr>
          <w:i/>
          <w:iCs/>
          <w:shd w:val="clear" w:color="auto" w:fill="FFFFFF"/>
        </w:rPr>
        <w:t>Mercadores entre Portugal e Castela na Idade Média.</w:t>
      </w:r>
      <w:r w:rsidRPr="00EC5B59">
        <w:rPr>
          <w:shd w:val="clear" w:color="auto" w:fill="FFFFFF"/>
        </w:rPr>
        <w:t xml:space="preserve"> TREA. 2009.</w:t>
      </w:r>
    </w:p>
    <w:p w14:paraId="3786C6AC" w14:textId="1A2CAE90" w:rsidR="00BB7C7B" w:rsidRPr="00C54BB7" w:rsidRDefault="00C54BB7" w:rsidP="00C54BB7">
      <w:r w:rsidRPr="00C54BB7">
        <w:t xml:space="preserve">P. ARIÉS, </w:t>
      </w:r>
      <w:r w:rsidRPr="00C54BB7">
        <w:rPr>
          <w:i/>
          <w:iCs/>
        </w:rPr>
        <w:t>A criança e a vida familiar no Antigo Regime</w:t>
      </w:r>
      <w:r w:rsidRPr="00C54BB7">
        <w:t>, Relógio d´água, 1988</w:t>
      </w:r>
      <w:r w:rsidR="00BB7C7B" w:rsidRPr="00C54BB7">
        <w:t>.</w:t>
      </w:r>
    </w:p>
    <w:p w14:paraId="10FDC712" w14:textId="77777777" w:rsidR="00C54BB7" w:rsidRPr="00C54BB7" w:rsidRDefault="00C54BB7" w:rsidP="00C54BB7">
      <w:pPr>
        <w:pStyle w:val="Textodenotaderodap"/>
        <w:rPr>
          <w:sz w:val="24"/>
          <w:szCs w:val="24"/>
        </w:rPr>
      </w:pPr>
      <w:r w:rsidRPr="00C54BB7">
        <w:rPr>
          <w:sz w:val="24"/>
          <w:szCs w:val="24"/>
        </w:rPr>
        <w:t>S. CARVALHO, D. R. ALVES, N. DURÃO, C. SANTOS-PEREIRA, S. TOMÁS, D. S. CASTILHOS, O. C. CARVALHO,</w:t>
      </w:r>
      <w:r w:rsidRPr="00C54BB7">
        <w:rPr>
          <w:sz w:val="24"/>
          <w:szCs w:val="24"/>
          <w:shd w:val="clear" w:color="auto" w:fill="FFFFFF"/>
        </w:rPr>
        <w:t xml:space="preserve"> Convenção sobre os direitos da criança: Conhecimento e cumprimento. </w:t>
      </w:r>
      <w:r w:rsidRPr="00C54BB7">
        <w:rPr>
          <w:sz w:val="24"/>
          <w:szCs w:val="24"/>
          <w:shd w:val="clear" w:color="auto" w:fill="FFFFFF"/>
          <w:lang w:val="es-ES_tradnl"/>
        </w:rPr>
        <w:t xml:space="preserve">In M. P. PANDO BALLESTEROS, P. GARRIDO RODRÍGUEZ &amp; A. MUÑOZ RAMÍREZ (eds.), </w:t>
      </w:r>
      <w:r w:rsidRPr="00C54BB7">
        <w:rPr>
          <w:i/>
          <w:iCs/>
          <w:sz w:val="24"/>
          <w:szCs w:val="24"/>
          <w:shd w:val="clear" w:color="auto" w:fill="FFFFFF"/>
          <w:lang w:val="es-ES_tradnl"/>
        </w:rPr>
        <w:t>El cincuentenario de los pactos internacionales de derechos humanos de la ONU</w:t>
      </w:r>
      <w:r w:rsidRPr="00C54BB7">
        <w:rPr>
          <w:sz w:val="24"/>
          <w:szCs w:val="24"/>
          <w:shd w:val="clear" w:color="auto" w:fill="FFFFFF"/>
          <w:lang w:val="es-ES_tradnl"/>
        </w:rPr>
        <w:t xml:space="preserve">: Libro homenaje a la Profesora Maria Esther Martínez </w:t>
      </w:r>
      <w:proofErr w:type="spellStart"/>
      <w:r w:rsidRPr="00C54BB7">
        <w:rPr>
          <w:sz w:val="24"/>
          <w:szCs w:val="24"/>
          <w:shd w:val="clear" w:color="auto" w:fill="FFFFFF"/>
          <w:lang w:val="es-ES_tradnl"/>
        </w:rPr>
        <w:t>Quinteiro</w:t>
      </w:r>
      <w:proofErr w:type="spellEnd"/>
      <w:r w:rsidRPr="00C54BB7">
        <w:rPr>
          <w:sz w:val="24"/>
          <w:szCs w:val="24"/>
          <w:shd w:val="clear" w:color="auto" w:fill="FFFFFF"/>
          <w:lang w:val="es-ES_tradnl"/>
        </w:rPr>
        <w:t xml:space="preserve">. </w:t>
      </w:r>
      <w:proofErr w:type="spellStart"/>
      <w:r w:rsidRPr="00C54BB7">
        <w:rPr>
          <w:sz w:val="24"/>
          <w:szCs w:val="24"/>
          <w:shd w:val="clear" w:color="auto" w:fill="FFFFFF"/>
        </w:rPr>
        <w:t>Ediciones</w:t>
      </w:r>
      <w:proofErr w:type="spellEnd"/>
      <w:r w:rsidRPr="00C54BB7">
        <w:rPr>
          <w:sz w:val="24"/>
          <w:szCs w:val="24"/>
          <w:shd w:val="clear" w:color="auto" w:fill="FFFFFF"/>
        </w:rPr>
        <w:t xml:space="preserve"> </w:t>
      </w:r>
      <w:proofErr w:type="spellStart"/>
      <w:r w:rsidRPr="00C54BB7">
        <w:rPr>
          <w:sz w:val="24"/>
          <w:szCs w:val="24"/>
          <w:shd w:val="clear" w:color="auto" w:fill="FFFFFF"/>
        </w:rPr>
        <w:t>Universidad</w:t>
      </w:r>
      <w:proofErr w:type="spellEnd"/>
      <w:r w:rsidRPr="00C54BB7">
        <w:rPr>
          <w:sz w:val="24"/>
          <w:szCs w:val="24"/>
          <w:shd w:val="clear" w:color="auto" w:fill="FFFFFF"/>
        </w:rPr>
        <w:t xml:space="preserve">, Salamanca, 2018, pp. 1649-1660, disponível em: </w:t>
      </w:r>
      <w:hyperlink r:id="rId11" w:history="1">
        <w:r w:rsidRPr="00C54BB7">
          <w:rPr>
            <w:rStyle w:val="Hiperligao"/>
            <w:sz w:val="24"/>
            <w:szCs w:val="24"/>
            <w:shd w:val="clear" w:color="auto" w:fill="FFFFFF"/>
          </w:rPr>
          <w:t>http://hdl.handle.net/11328/2504</w:t>
        </w:r>
      </w:hyperlink>
      <w:r w:rsidRPr="00C54BB7">
        <w:rPr>
          <w:sz w:val="24"/>
          <w:szCs w:val="24"/>
          <w:shd w:val="clear" w:color="auto" w:fill="FFFFFF"/>
        </w:rPr>
        <w:t xml:space="preserve">  </w:t>
      </w:r>
    </w:p>
    <w:p w14:paraId="708B0FD8" w14:textId="77777777" w:rsidR="00CA0649" w:rsidRPr="00C54BB7" w:rsidRDefault="00CA0649" w:rsidP="00CA0649">
      <w:pPr>
        <w:pStyle w:val="Textodenotaderodap"/>
        <w:rPr>
          <w:sz w:val="24"/>
          <w:szCs w:val="24"/>
        </w:rPr>
      </w:pPr>
      <w:r w:rsidRPr="00C54BB7">
        <w:rPr>
          <w:sz w:val="24"/>
          <w:szCs w:val="24"/>
        </w:rPr>
        <w:t>J</w:t>
      </w:r>
      <w:r>
        <w:rPr>
          <w:sz w:val="24"/>
          <w:szCs w:val="24"/>
        </w:rPr>
        <w:t>. S.</w:t>
      </w:r>
      <w:r w:rsidRPr="00C54BB7">
        <w:rPr>
          <w:sz w:val="24"/>
          <w:szCs w:val="24"/>
        </w:rPr>
        <w:t xml:space="preserve"> CUNHA, </w:t>
      </w:r>
      <w:r w:rsidRPr="00C54BB7">
        <w:rPr>
          <w:i/>
          <w:iCs/>
          <w:sz w:val="24"/>
          <w:szCs w:val="24"/>
        </w:rPr>
        <w:t>História das Instituições</w:t>
      </w:r>
      <w:r w:rsidRPr="00C54BB7">
        <w:rPr>
          <w:sz w:val="24"/>
          <w:szCs w:val="24"/>
        </w:rPr>
        <w:t>. Aulas Teóricas. Vol. II, 1.ª ed., Porto, Universidade Portucalense, 1994</w:t>
      </w:r>
    </w:p>
    <w:p w14:paraId="7626A3E3" w14:textId="56AA1D97" w:rsidR="00C54BB7" w:rsidRPr="00C54BB7" w:rsidRDefault="00C54BB7" w:rsidP="00C54BB7">
      <w:pPr>
        <w:pStyle w:val="Textodenotaderodap"/>
        <w:rPr>
          <w:sz w:val="24"/>
          <w:szCs w:val="24"/>
        </w:rPr>
      </w:pPr>
      <w:r w:rsidRPr="00C54BB7">
        <w:rPr>
          <w:sz w:val="24"/>
          <w:szCs w:val="24"/>
        </w:rPr>
        <w:t>J</w:t>
      </w:r>
      <w:r>
        <w:rPr>
          <w:sz w:val="24"/>
          <w:szCs w:val="24"/>
        </w:rPr>
        <w:t>.</w:t>
      </w:r>
      <w:r w:rsidRPr="00C54BB7">
        <w:rPr>
          <w:sz w:val="24"/>
          <w:szCs w:val="24"/>
        </w:rPr>
        <w:t xml:space="preserve"> DOMINGUES, </w:t>
      </w:r>
      <w:r w:rsidRPr="00C54BB7">
        <w:rPr>
          <w:i/>
          <w:iCs/>
          <w:sz w:val="24"/>
          <w:szCs w:val="24"/>
        </w:rPr>
        <w:t>Ordenações Afonsinas</w:t>
      </w:r>
      <w:r w:rsidRPr="00C54BB7">
        <w:rPr>
          <w:sz w:val="24"/>
          <w:szCs w:val="24"/>
        </w:rPr>
        <w:t xml:space="preserve"> – Três séculos de direito medieval (1211-1512). Zéfiro, 2008</w:t>
      </w:r>
    </w:p>
    <w:p w14:paraId="59793105" w14:textId="77777777" w:rsidR="00C54BB7" w:rsidRPr="00C54BB7" w:rsidRDefault="00C54BB7" w:rsidP="00C54BB7">
      <w:pPr>
        <w:pStyle w:val="Textodenotaderodap"/>
        <w:rPr>
          <w:sz w:val="24"/>
          <w:szCs w:val="24"/>
        </w:rPr>
      </w:pPr>
      <w:bookmarkStart w:id="26" w:name="_Hlk163972913"/>
      <w:r w:rsidRPr="00C54BB7">
        <w:rPr>
          <w:sz w:val="24"/>
          <w:szCs w:val="24"/>
        </w:rPr>
        <w:t>A. P. GUIMARÁES, &amp; D. R. ALVES, “</w:t>
      </w:r>
      <w:r w:rsidRPr="00C54BB7">
        <w:rPr>
          <w:sz w:val="24"/>
          <w:szCs w:val="24"/>
          <w:shd w:val="clear" w:color="auto" w:fill="FFFFFF"/>
        </w:rPr>
        <w:t xml:space="preserve">Adultério e Direito Penal desigual”, in: L. BUJOSA VADELL, &amp; F. S. VEIGA, </w:t>
      </w:r>
      <w:proofErr w:type="spellStart"/>
      <w:r w:rsidRPr="00C54BB7">
        <w:rPr>
          <w:i/>
          <w:iCs/>
          <w:sz w:val="24"/>
          <w:szCs w:val="24"/>
          <w:shd w:val="clear" w:color="auto" w:fill="FFFFFF"/>
        </w:rPr>
        <w:t>Derecho</w:t>
      </w:r>
      <w:proofErr w:type="spellEnd"/>
      <w:r w:rsidRPr="00C54BB7">
        <w:rPr>
          <w:i/>
          <w:iCs/>
          <w:sz w:val="24"/>
          <w:szCs w:val="24"/>
          <w:shd w:val="clear" w:color="auto" w:fill="FFFFFF"/>
        </w:rPr>
        <w:t xml:space="preserve"> transnacional </w:t>
      </w:r>
      <w:proofErr w:type="spellStart"/>
      <w:r w:rsidRPr="00C54BB7">
        <w:rPr>
          <w:i/>
          <w:iCs/>
          <w:sz w:val="24"/>
          <w:szCs w:val="24"/>
          <w:shd w:val="clear" w:color="auto" w:fill="FFFFFF"/>
        </w:rPr>
        <w:t>iberoamericano</w:t>
      </w:r>
      <w:proofErr w:type="spellEnd"/>
      <w:r w:rsidRPr="00C54BB7">
        <w:rPr>
          <w:sz w:val="24"/>
          <w:szCs w:val="24"/>
          <w:shd w:val="clear" w:color="auto" w:fill="FFFFFF"/>
        </w:rPr>
        <w:t xml:space="preserve">, vol. 2, 2021, pp. 369-378, disponível em: </w:t>
      </w:r>
      <w:hyperlink r:id="rId12" w:history="1">
        <w:r w:rsidRPr="00C54BB7">
          <w:rPr>
            <w:rStyle w:val="Hiperligao"/>
            <w:sz w:val="24"/>
            <w:szCs w:val="24"/>
            <w:shd w:val="clear" w:color="auto" w:fill="FFFFFF"/>
          </w:rPr>
          <w:t>http://hdl.handle.net/11328/3608</w:t>
        </w:r>
      </w:hyperlink>
    </w:p>
    <w:p w14:paraId="0A84A304" w14:textId="77777777" w:rsidR="00CA0649" w:rsidRPr="00C54BB7" w:rsidRDefault="00CA0649" w:rsidP="00CA0649">
      <w:pPr>
        <w:pStyle w:val="Textodenotaderodap"/>
        <w:rPr>
          <w:sz w:val="24"/>
          <w:szCs w:val="24"/>
          <w:lang w:val="es-ES"/>
        </w:rPr>
      </w:pPr>
      <w:bookmarkStart w:id="27" w:name="_Hlk163974224"/>
      <w:bookmarkEnd w:id="26"/>
      <w:r w:rsidRPr="00C54BB7">
        <w:rPr>
          <w:sz w:val="24"/>
          <w:szCs w:val="24"/>
          <w:lang w:val="es-ES"/>
        </w:rPr>
        <w:t xml:space="preserve">María del Carmen GARCIA HERRERO, “Elementos para una historia de la infancia y de la juventud a finales de la Edad Media”, </w:t>
      </w:r>
      <w:r w:rsidRPr="00C54BB7">
        <w:rPr>
          <w:i/>
          <w:iCs/>
          <w:sz w:val="24"/>
          <w:szCs w:val="24"/>
          <w:lang w:val="es-ES"/>
        </w:rPr>
        <w:t>La vida cotidiana en la Edad Media: VIII Semana de Estudios Medievales</w:t>
      </w:r>
      <w:r w:rsidRPr="00C54BB7">
        <w:rPr>
          <w:sz w:val="24"/>
          <w:szCs w:val="24"/>
          <w:lang w:val="es-ES"/>
        </w:rPr>
        <w:t>, Nájera, del 4 al 8 de agosto de 1997, 1998, pp. 223-252, ISBN 84-89362-32-7</w:t>
      </w:r>
    </w:p>
    <w:p w14:paraId="1D6E95EA" w14:textId="77777777" w:rsidR="00CA0649" w:rsidRPr="00C54BB7" w:rsidRDefault="00CA0649" w:rsidP="00CA0649">
      <w:pPr>
        <w:pStyle w:val="Textodenotaderodap"/>
        <w:rPr>
          <w:sz w:val="24"/>
          <w:szCs w:val="24"/>
        </w:rPr>
      </w:pPr>
      <w:r w:rsidRPr="00C54BB7">
        <w:rPr>
          <w:sz w:val="24"/>
          <w:szCs w:val="24"/>
        </w:rPr>
        <w:t xml:space="preserve">P.M. FROUFE, J. C. GOMES, "Mercado interno e concorrência", in A. SILVEIRA, M. CANOTILHO, P. M. FROUFE, </w:t>
      </w:r>
      <w:r w:rsidRPr="00C54BB7">
        <w:rPr>
          <w:i/>
          <w:iCs/>
          <w:sz w:val="24"/>
          <w:szCs w:val="24"/>
        </w:rPr>
        <w:t>Direito da União Europeia</w:t>
      </w:r>
      <w:r w:rsidRPr="00C54BB7">
        <w:rPr>
          <w:sz w:val="24"/>
          <w:szCs w:val="24"/>
        </w:rPr>
        <w:t>, elementos de direito e políticas públicas, Almedina, Coimbra, 2016, pp. 449-504</w:t>
      </w:r>
    </w:p>
    <w:p w14:paraId="3679F418" w14:textId="77777777" w:rsidR="00CA0649" w:rsidRPr="00C54BB7" w:rsidRDefault="00CA0649" w:rsidP="00CA0649">
      <w:pPr>
        <w:pStyle w:val="Textodenotaderodap"/>
        <w:rPr>
          <w:sz w:val="24"/>
          <w:szCs w:val="24"/>
        </w:rPr>
      </w:pPr>
      <w:r w:rsidRPr="00C54BB7">
        <w:rPr>
          <w:sz w:val="24"/>
          <w:szCs w:val="24"/>
        </w:rPr>
        <w:lastRenderedPageBreak/>
        <w:t xml:space="preserve">R. C. MARTINS, "Anotação ao </w:t>
      </w:r>
      <w:proofErr w:type="spellStart"/>
      <w:r w:rsidRPr="00C54BB7">
        <w:rPr>
          <w:sz w:val="24"/>
          <w:szCs w:val="24"/>
        </w:rPr>
        <w:t>art</w:t>
      </w:r>
      <w:proofErr w:type="spellEnd"/>
      <w:r w:rsidRPr="00C54BB7">
        <w:rPr>
          <w:sz w:val="24"/>
          <w:szCs w:val="24"/>
        </w:rPr>
        <w:t>. 24.º", in: Canotilho, Mariana; Silveira, Alessandra, Carta de Direitos Fundamentais da União Europeia Comentada, Almedina, Coimbra, 2013, p. 299.</w:t>
      </w:r>
    </w:p>
    <w:p w14:paraId="0B52319B" w14:textId="3A4FBA8B" w:rsidR="00C54BB7" w:rsidRPr="00C54BB7" w:rsidRDefault="00C54BB7" w:rsidP="00C54BB7">
      <w:pPr>
        <w:pStyle w:val="Textodenotaderodap"/>
        <w:rPr>
          <w:sz w:val="24"/>
          <w:szCs w:val="24"/>
        </w:rPr>
      </w:pPr>
      <w:r>
        <w:rPr>
          <w:sz w:val="24"/>
          <w:szCs w:val="24"/>
        </w:rPr>
        <w:t xml:space="preserve">P. </w:t>
      </w:r>
      <w:r w:rsidRPr="00C54BB7">
        <w:rPr>
          <w:sz w:val="24"/>
          <w:szCs w:val="24"/>
        </w:rPr>
        <w:t xml:space="preserve">LEBRUM, </w:t>
      </w:r>
      <w:r w:rsidRPr="00C54BB7">
        <w:rPr>
          <w:i/>
          <w:iCs/>
          <w:sz w:val="24"/>
          <w:szCs w:val="24"/>
        </w:rPr>
        <w:t>A vida conjugal no Antigo Regime</w:t>
      </w:r>
      <w:r w:rsidRPr="00C54BB7">
        <w:rPr>
          <w:sz w:val="24"/>
          <w:szCs w:val="24"/>
        </w:rPr>
        <w:t>. Edições Rolim, Lisboa, 1988</w:t>
      </w:r>
    </w:p>
    <w:p w14:paraId="3BE154BF" w14:textId="77777777" w:rsidR="00CA0649" w:rsidRPr="00C54BB7" w:rsidRDefault="00CA0649" w:rsidP="00CA0649">
      <w:pPr>
        <w:pStyle w:val="Textodenotaderodap"/>
        <w:rPr>
          <w:sz w:val="24"/>
          <w:szCs w:val="24"/>
        </w:rPr>
      </w:pPr>
      <w:bookmarkStart w:id="28" w:name="_Hlk163973619"/>
      <w:bookmarkEnd w:id="27"/>
      <w:r w:rsidRPr="00C54BB7">
        <w:rPr>
          <w:sz w:val="24"/>
          <w:szCs w:val="24"/>
        </w:rPr>
        <w:t xml:space="preserve">A. H. OLIVEIRA MARQUES, </w:t>
      </w:r>
      <w:r w:rsidRPr="00C54BB7">
        <w:rPr>
          <w:i/>
          <w:iCs/>
          <w:sz w:val="24"/>
          <w:szCs w:val="24"/>
        </w:rPr>
        <w:t>A sociedade medieval portuguesa</w:t>
      </w:r>
      <w:r w:rsidRPr="00C54BB7">
        <w:rPr>
          <w:sz w:val="24"/>
          <w:szCs w:val="24"/>
        </w:rPr>
        <w:t>, 4.ª ed, Livraria Sá e Costa Editora, 1981</w:t>
      </w:r>
    </w:p>
    <w:bookmarkEnd w:id="28"/>
    <w:p w14:paraId="6EF79347" w14:textId="566C5011" w:rsidR="00CA0649" w:rsidRPr="00C54BB7" w:rsidRDefault="00CA0649" w:rsidP="00CA0649">
      <w:r w:rsidRPr="00C54BB7">
        <w:rPr>
          <w:i/>
          <w:iCs/>
        </w:rPr>
        <w:t>Ordenações Afonsinas</w:t>
      </w:r>
      <w:r w:rsidRPr="00C54BB7">
        <w:t xml:space="preserve">, Vol. I a V. Fundação Calouste Gulbenkian, Lisboa, 1984 </w:t>
      </w:r>
    </w:p>
    <w:p w14:paraId="2AD9FF29" w14:textId="77777777" w:rsidR="00CA0649" w:rsidRPr="00C54BB7" w:rsidRDefault="00CA0649" w:rsidP="00CA0649">
      <w:pPr>
        <w:pStyle w:val="Textodenotaderodap"/>
        <w:rPr>
          <w:sz w:val="24"/>
          <w:szCs w:val="24"/>
        </w:rPr>
      </w:pPr>
      <w:r w:rsidRPr="00C54BB7">
        <w:rPr>
          <w:i/>
          <w:iCs/>
          <w:sz w:val="24"/>
          <w:szCs w:val="24"/>
        </w:rPr>
        <w:t xml:space="preserve">Ordenações </w:t>
      </w:r>
      <w:proofErr w:type="spellStart"/>
      <w:r w:rsidRPr="00C54BB7">
        <w:rPr>
          <w:i/>
          <w:iCs/>
          <w:sz w:val="24"/>
          <w:szCs w:val="24"/>
        </w:rPr>
        <w:t>Del-Rei</w:t>
      </w:r>
      <w:proofErr w:type="spellEnd"/>
      <w:r w:rsidRPr="00C54BB7">
        <w:rPr>
          <w:i/>
          <w:iCs/>
          <w:sz w:val="24"/>
          <w:szCs w:val="24"/>
        </w:rPr>
        <w:t xml:space="preserve"> Dom Duarte</w:t>
      </w:r>
      <w:r w:rsidRPr="00C54BB7">
        <w:rPr>
          <w:sz w:val="24"/>
          <w:szCs w:val="24"/>
        </w:rPr>
        <w:t>, Vol. I a V, Fundação Calouste Gulbenkian, Lisboa, 1988, pp. 559-560</w:t>
      </w:r>
    </w:p>
    <w:p w14:paraId="081E7ED2" w14:textId="77777777" w:rsidR="00CA0649" w:rsidRPr="00C54BB7" w:rsidRDefault="00CA0649" w:rsidP="00CA0649">
      <w:r w:rsidRPr="007B7036">
        <w:rPr>
          <w:i/>
          <w:iCs/>
        </w:rPr>
        <w:t>Ordenações Filipinas</w:t>
      </w:r>
      <w:r w:rsidRPr="00C54BB7">
        <w:t xml:space="preserve"> (1984). Vol. I a V. Fundação Calouste Gulbenkian. Lisboa. </w:t>
      </w:r>
    </w:p>
    <w:p w14:paraId="14F3F73D" w14:textId="77777777" w:rsidR="00CA0649" w:rsidRPr="00C54BB7" w:rsidRDefault="00CA0649" w:rsidP="00CA0649">
      <w:r w:rsidRPr="00C54BB7">
        <w:rPr>
          <w:i/>
          <w:iCs/>
        </w:rPr>
        <w:t>Ordenações Manuelinas</w:t>
      </w:r>
      <w:r w:rsidRPr="00C54BB7">
        <w:t>, Vol. I a V, Fundação Calouste Gulbenkian, Lisboa, 1984´</w:t>
      </w:r>
    </w:p>
    <w:p w14:paraId="6D6656AD" w14:textId="60DB3EC5" w:rsidR="00C54BB7" w:rsidRPr="00C54BB7" w:rsidRDefault="00C54BB7" w:rsidP="00C54BB7">
      <w:pPr>
        <w:pStyle w:val="Textodenotaderodap"/>
        <w:rPr>
          <w:sz w:val="24"/>
          <w:szCs w:val="24"/>
        </w:rPr>
      </w:pPr>
      <w:r w:rsidRPr="00C54BB7">
        <w:rPr>
          <w:sz w:val="24"/>
          <w:szCs w:val="24"/>
        </w:rPr>
        <w:t xml:space="preserve">F. PACHECO, </w:t>
      </w:r>
      <w:r w:rsidRPr="00C54BB7">
        <w:rPr>
          <w:i/>
          <w:iCs/>
          <w:sz w:val="24"/>
          <w:szCs w:val="24"/>
        </w:rPr>
        <w:t>Entre limites e expansibilidade: as disposições horizontais da Carta dos Direitos Fundamentais da União Europeia</w:t>
      </w:r>
      <w:r w:rsidRPr="00C54BB7">
        <w:rPr>
          <w:sz w:val="24"/>
          <w:szCs w:val="24"/>
        </w:rPr>
        <w:t>, Tese de Doutoramento, Universidade Católica, 2015.</w:t>
      </w:r>
    </w:p>
    <w:p w14:paraId="41CC053C" w14:textId="77777777" w:rsidR="00CA0649" w:rsidRPr="00C54BB7" w:rsidRDefault="00CA0649" w:rsidP="00CA0649">
      <w:pPr>
        <w:pStyle w:val="Textodenotaderodap"/>
        <w:rPr>
          <w:sz w:val="24"/>
          <w:szCs w:val="24"/>
        </w:rPr>
      </w:pPr>
      <w:r w:rsidRPr="00C54BB7">
        <w:rPr>
          <w:sz w:val="24"/>
          <w:szCs w:val="24"/>
        </w:rPr>
        <w:t>I. P. RESTIER, “</w:t>
      </w:r>
      <w:r w:rsidRPr="00C54BB7">
        <w:rPr>
          <w:rStyle w:val="A4"/>
          <w:rFonts w:cs="Times New Roman"/>
          <w:i w:val="0"/>
          <w:iCs w:val="0"/>
          <w:sz w:val="24"/>
          <w:szCs w:val="24"/>
        </w:rPr>
        <w:t xml:space="preserve">A proteção dos Direitos das Crianças no quadro das competências da União Europeia”, </w:t>
      </w:r>
      <w:r w:rsidRPr="00C54BB7">
        <w:rPr>
          <w:rFonts w:eastAsia="Times New Roman"/>
          <w:sz w:val="24"/>
          <w:szCs w:val="24"/>
          <w:lang w:eastAsia="en-US"/>
          <w14:ligatures w14:val="standardContextual"/>
        </w:rPr>
        <w:t xml:space="preserve"> in A. NEVES, I. MACHADO, M. S. OLIVEIRA, M. S. ALMEIDA, &amp; P. OLIVEIRA (</w:t>
      </w:r>
      <w:proofErr w:type="spellStart"/>
      <w:r w:rsidRPr="00C54BB7">
        <w:rPr>
          <w:rFonts w:eastAsia="Times New Roman"/>
          <w:sz w:val="24"/>
          <w:szCs w:val="24"/>
          <w:lang w:eastAsia="en-US"/>
          <w14:ligatures w14:val="standardContextual"/>
        </w:rPr>
        <w:t>Coords</w:t>
      </w:r>
      <w:proofErr w:type="spellEnd"/>
      <w:r w:rsidRPr="00C54BB7">
        <w:rPr>
          <w:rFonts w:eastAsia="Times New Roman"/>
          <w:sz w:val="24"/>
          <w:szCs w:val="24"/>
          <w:lang w:eastAsia="en-US"/>
          <w14:ligatures w14:val="standardContextual"/>
        </w:rPr>
        <w:t xml:space="preserve">.), </w:t>
      </w:r>
      <w:r w:rsidRPr="00C54BB7">
        <w:rPr>
          <w:rFonts w:eastAsia="Times New Roman"/>
          <w:i/>
          <w:iCs/>
          <w:sz w:val="24"/>
          <w:szCs w:val="24"/>
          <w:lang w:eastAsia="en-US"/>
          <w14:ligatures w14:val="standardContextual"/>
        </w:rPr>
        <w:t>VI Congresso Ibero-Americano de Intervenção Social: Infância e Juventude</w:t>
      </w:r>
      <w:r w:rsidRPr="00C54BB7">
        <w:rPr>
          <w:rFonts w:eastAsia="Times New Roman"/>
          <w:sz w:val="24"/>
          <w:szCs w:val="24"/>
          <w:lang w:eastAsia="en-US"/>
          <w14:ligatures w14:val="standardContextual"/>
        </w:rPr>
        <w:t>, Lema d'Origem Porto, 2023</w:t>
      </w:r>
      <w:r>
        <w:rPr>
          <w:rFonts w:eastAsia="Times New Roman"/>
          <w:sz w:val="24"/>
          <w:szCs w:val="24"/>
          <w:lang w:eastAsia="en-US"/>
          <w14:ligatures w14:val="standardContextual"/>
        </w:rPr>
        <w:t>.</w:t>
      </w:r>
    </w:p>
    <w:p w14:paraId="65731292" w14:textId="5BD304B4" w:rsidR="00C54BB7" w:rsidRPr="00C54BB7" w:rsidRDefault="00C54BB7" w:rsidP="00C54BB7">
      <w:pPr>
        <w:pStyle w:val="Textodenotaderodap"/>
        <w:rPr>
          <w:sz w:val="24"/>
          <w:szCs w:val="24"/>
          <w:lang w:val="es-ES"/>
        </w:rPr>
      </w:pPr>
      <w:r w:rsidRPr="00C54BB7">
        <w:rPr>
          <w:sz w:val="24"/>
          <w:szCs w:val="24"/>
          <w:lang w:val="es-ES"/>
        </w:rPr>
        <w:t xml:space="preserve">Antonio Manuel SÁNCHEZ ROLDÁN. “La vida infantil en la edad media”, </w:t>
      </w:r>
      <w:proofErr w:type="spellStart"/>
      <w:r w:rsidRPr="00C54BB7">
        <w:rPr>
          <w:i/>
          <w:iCs/>
          <w:sz w:val="24"/>
          <w:szCs w:val="24"/>
          <w:lang w:val="es-ES"/>
        </w:rPr>
        <w:t>Anahgramas</w:t>
      </w:r>
      <w:proofErr w:type="spellEnd"/>
      <w:r w:rsidRPr="00C54BB7">
        <w:rPr>
          <w:i/>
          <w:iCs/>
          <w:sz w:val="24"/>
          <w:szCs w:val="24"/>
          <w:lang w:val="es-ES"/>
        </w:rPr>
        <w:t>: Análisis históricos de Grado y Máster</w:t>
      </w:r>
      <w:r w:rsidRPr="00C54BB7">
        <w:rPr>
          <w:sz w:val="24"/>
          <w:szCs w:val="24"/>
          <w:lang w:val="es-ES"/>
        </w:rPr>
        <w:t>, 37, 2018, 190-235, ISSN-e 2444-3123</w:t>
      </w:r>
    </w:p>
    <w:p w14:paraId="4025B564" w14:textId="77777777" w:rsidR="00CA0649" w:rsidRPr="00CA0649" w:rsidRDefault="00CA0649" w:rsidP="00CA0649">
      <w:pPr>
        <w:pStyle w:val="Textodenotaderodap"/>
        <w:rPr>
          <w:sz w:val="24"/>
          <w:szCs w:val="24"/>
        </w:rPr>
      </w:pPr>
      <w:proofErr w:type="spellStart"/>
      <w:r w:rsidRPr="00C54BB7">
        <w:rPr>
          <w:sz w:val="24"/>
          <w:szCs w:val="24"/>
          <w:lang w:val="es-ES"/>
        </w:rPr>
        <w:t>István</w:t>
      </w:r>
      <w:proofErr w:type="spellEnd"/>
      <w:r w:rsidRPr="00C54BB7">
        <w:rPr>
          <w:sz w:val="24"/>
          <w:szCs w:val="24"/>
          <w:lang w:val="es-ES"/>
        </w:rPr>
        <w:t xml:space="preserve"> SZÁSZDO LEÓN-BORJA, “Las Leyes de Burgos y de Valladolid reguladoras de los derechos del niño indígena del Nuevo Mundo” </w:t>
      </w:r>
      <w:proofErr w:type="spellStart"/>
      <w:r w:rsidRPr="00C54BB7">
        <w:rPr>
          <w:sz w:val="24"/>
          <w:szCs w:val="24"/>
          <w:lang w:val="es-ES"/>
        </w:rPr>
        <w:t>Comunicação</w:t>
      </w:r>
      <w:proofErr w:type="spellEnd"/>
      <w:r w:rsidRPr="00C54BB7">
        <w:rPr>
          <w:sz w:val="24"/>
          <w:szCs w:val="24"/>
          <w:lang w:val="es-ES"/>
        </w:rPr>
        <w:t xml:space="preserve"> oral. </w:t>
      </w:r>
      <w:r w:rsidRPr="00CA0649">
        <w:rPr>
          <w:i/>
          <w:iCs/>
          <w:sz w:val="24"/>
          <w:szCs w:val="24"/>
        </w:rPr>
        <w:t xml:space="preserve">VI Congresso </w:t>
      </w:r>
      <w:proofErr w:type="spellStart"/>
      <w:r w:rsidRPr="00CA0649">
        <w:rPr>
          <w:i/>
          <w:iCs/>
          <w:sz w:val="24"/>
          <w:szCs w:val="24"/>
        </w:rPr>
        <w:t>Iberoamericano</w:t>
      </w:r>
      <w:proofErr w:type="spellEnd"/>
      <w:r w:rsidRPr="00CA0649">
        <w:rPr>
          <w:i/>
          <w:iCs/>
          <w:sz w:val="24"/>
          <w:szCs w:val="24"/>
        </w:rPr>
        <w:t xml:space="preserve"> de </w:t>
      </w:r>
      <w:proofErr w:type="spellStart"/>
      <w:r w:rsidRPr="00CA0649">
        <w:rPr>
          <w:i/>
          <w:iCs/>
          <w:sz w:val="24"/>
          <w:szCs w:val="24"/>
        </w:rPr>
        <w:t>Intervenção</w:t>
      </w:r>
      <w:proofErr w:type="spellEnd"/>
      <w:r w:rsidRPr="00CA0649">
        <w:rPr>
          <w:i/>
          <w:iCs/>
          <w:sz w:val="24"/>
          <w:szCs w:val="24"/>
        </w:rPr>
        <w:t xml:space="preserve"> Social (VI CIAIS): Infância e Juventude</w:t>
      </w:r>
      <w:r w:rsidRPr="00CA0649">
        <w:rPr>
          <w:sz w:val="24"/>
          <w:szCs w:val="24"/>
        </w:rPr>
        <w:t>, Porto, Portugal, 20-21 novembro 2023</w:t>
      </w:r>
    </w:p>
    <w:p w14:paraId="1828E710" w14:textId="0A2B45C9" w:rsidR="00CA0649" w:rsidRPr="00C54BB7" w:rsidRDefault="00CA0649" w:rsidP="00CA0649">
      <w:r w:rsidRPr="00C54BB7">
        <w:t xml:space="preserve">G. VIGARELLO, </w:t>
      </w:r>
      <w:r w:rsidRPr="00C54BB7">
        <w:rPr>
          <w:i/>
          <w:iCs/>
        </w:rPr>
        <w:t>O Limpo e o Sujo, a higiene do corpo desde a Idade Média</w:t>
      </w:r>
      <w:r w:rsidRPr="00C54BB7">
        <w:t>. Fragmentos, 1985.</w:t>
      </w:r>
    </w:p>
    <w:p w14:paraId="6522DD22" w14:textId="323EA3C5" w:rsidR="00247A76" w:rsidRPr="00CA0649" w:rsidRDefault="00247A76" w:rsidP="00481945">
      <w:pPr>
        <w:rPr>
          <w:b/>
          <w:bCs/>
        </w:rPr>
      </w:pPr>
    </w:p>
    <w:sectPr w:rsidR="00247A76" w:rsidRPr="00CA0649" w:rsidSect="006E47DA">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76A8A" w14:textId="77777777" w:rsidR="007038AA" w:rsidRDefault="007038AA" w:rsidP="000F0720">
      <w:r>
        <w:separator/>
      </w:r>
    </w:p>
  </w:endnote>
  <w:endnote w:type="continuationSeparator" w:id="0">
    <w:p w14:paraId="493D8513" w14:textId="77777777" w:rsidR="007038AA" w:rsidRDefault="007038AA" w:rsidP="000F0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Garamond">
    <w:altName w:val="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4A9D4" w14:textId="77777777" w:rsidR="0075051D" w:rsidRDefault="0075051D">
    <w:pPr>
      <w:pStyle w:val="Rodap"/>
      <w:jc w:val="right"/>
    </w:pPr>
    <w:r>
      <w:fldChar w:fldCharType="begin"/>
    </w:r>
    <w:r>
      <w:instrText>PAGE   \* MERGEFORMAT</w:instrText>
    </w:r>
    <w:r>
      <w:fldChar w:fldCharType="separate"/>
    </w:r>
    <w:r>
      <w:rPr>
        <w:noProof/>
      </w:rPr>
      <w:t>10</w:t>
    </w:r>
    <w:r>
      <w:rPr>
        <w:noProof/>
      </w:rPr>
      <w:fldChar w:fldCharType="end"/>
    </w:r>
  </w:p>
  <w:p w14:paraId="2B440907" w14:textId="77777777" w:rsidR="0075051D" w:rsidRDefault="0075051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4CEBE" w14:textId="77777777" w:rsidR="007038AA" w:rsidRDefault="007038AA" w:rsidP="000F0720">
      <w:r>
        <w:separator/>
      </w:r>
    </w:p>
  </w:footnote>
  <w:footnote w:type="continuationSeparator" w:id="0">
    <w:p w14:paraId="40C873B5" w14:textId="77777777" w:rsidR="007038AA" w:rsidRDefault="007038AA" w:rsidP="000F0720">
      <w:r>
        <w:continuationSeparator/>
      </w:r>
    </w:p>
  </w:footnote>
  <w:footnote w:id="1">
    <w:p w14:paraId="419A0053" w14:textId="77777777" w:rsidR="005B53DE" w:rsidRPr="007D6471" w:rsidRDefault="005B53DE" w:rsidP="006705B5">
      <w:pPr>
        <w:pStyle w:val="Textodenotaderodap"/>
        <w:spacing w:line="240" w:lineRule="auto"/>
        <w:rPr>
          <w:b/>
          <w:bCs/>
        </w:rPr>
      </w:pPr>
      <w:r w:rsidRPr="007D6471">
        <w:rPr>
          <w:rStyle w:val="Refdenotaderodap"/>
          <w:b/>
          <w:bCs/>
        </w:rPr>
        <w:footnoteRef/>
      </w:r>
      <w:r w:rsidRPr="007D6471">
        <w:rPr>
          <w:b/>
          <w:bCs/>
        </w:rPr>
        <w:t xml:space="preserve"> </w:t>
      </w:r>
      <w:r w:rsidRPr="007D6471">
        <w:rPr>
          <w:rStyle w:val="Forte"/>
          <w:rFonts w:cs="Arial"/>
          <w:b w:val="0"/>
          <w:bCs w:val="0"/>
        </w:rPr>
        <w:t>Este trabalho teve o apoio do Contrato Programa UIDB/04112/2020, financiado por fundos nacionais através da FCT I.P.</w:t>
      </w:r>
    </w:p>
  </w:footnote>
  <w:footnote w:id="2">
    <w:p w14:paraId="4D600376" w14:textId="3D6771B4" w:rsidR="002236F1" w:rsidRPr="008553E0" w:rsidRDefault="002236F1" w:rsidP="006705B5">
      <w:pPr>
        <w:pStyle w:val="Textodenotaderodap"/>
        <w:spacing w:line="240" w:lineRule="auto"/>
        <w:rPr>
          <w:rFonts w:ascii="Garamond" w:hAnsi="Garamond"/>
        </w:rPr>
      </w:pPr>
      <w:r w:rsidRPr="008553E0">
        <w:rPr>
          <w:rStyle w:val="Refdenotaderodap"/>
          <w:rFonts w:ascii="Garamond" w:hAnsi="Garamond"/>
        </w:rPr>
        <w:footnoteRef/>
      </w:r>
      <w:r w:rsidRPr="008553E0">
        <w:rPr>
          <w:rFonts w:ascii="Garamond" w:hAnsi="Garamond"/>
        </w:rPr>
        <w:t xml:space="preserve"> </w:t>
      </w:r>
      <w:r w:rsidR="00F60B1E">
        <w:rPr>
          <w:rFonts w:ascii="Garamond" w:hAnsi="Garamond"/>
        </w:rPr>
        <w:t>Professora Associada d</w:t>
      </w:r>
      <w:r w:rsidRPr="008553E0">
        <w:rPr>
          <w:rFonts w:ascii="Garamond" w:hAnsi="Garamond"/>
        </w:rPr>
        <w:t xml:space="preserve">a Universidade Portucalense Infante D. Henrique. Investigadora do Instituto Jurídico Portucalense. E-mail: </w:t>
      </w:r>
      <w:hyperlink r:id="rId1" w:history="1">
        <w:r w:rsidRPr="008553E0">
          <w:rPr>
            <w:rStyle w:val="Hiperligao"/>
            <w:rFonts w:ascii="Garamond" w:hAnsi="Garamond"/>
          </w:rPr>
          <w:t>dra@upt.pt</w:t>
        </w:r>
      </w:hyperlink>
      <w:r w:rsidRPr="008553E0">
        <w:rPr>
          <w:rFonts w:ascii="Garamond" w:hAnsi="Garamond"/>
        </w:rPr>
        <w:t xml:space="preserve"> </w:t>
      </w:r>
    </w:p>
  </w:footnote>
  <w:footnote w:id="3">
    <w:p w14:paraId="3A3E2478" w14:textId="254948FC" w:rsidR="00CA5194" w:rsidRDefault="00CA5194" w:rsidP="006705B5">
      <w:pPr>
        <w:pStyle w:val="Textodenotaderodap"/>
        <w:spacing w:line="240" w:lineRule="auto"/>
      </w:pPr>
      <w:r>
        <w:rPr>
          <w:rStyle w:val="Refdenotaderodap"/>
        </w:rPr>
        <w:footnoteRef/>
      </w:r>
      <w:r>
        <w:t xml:space="preserve"> </w:t>
      </w:r>
      <w:r>
        <w:rPr>
          <w:rFonts w:ascii="Garamond" w:hAnsi="Garamond"/>
        </w:rPr>
        <w:t>Professora Catedrática d</w:t>
      </w:r>
      <w:r w:rsidRPr="008553E0">
        <w:rPr>
          <w:rFonts w:ascii="Garamond" w:hAnsi="Garamond"/>
        </w:rPr>
        <w:t xml:space="preserve">a Universidade Portucalense Infante D. Henrique. Investigadora do </w:t>
      </w:r>
      <w:r w:rsidR="00B24F48">
        <w:rPr>
          <w:rFonts w:ascii="Garamond" w:hAnsi="Garamond"/>
        </w:rPr>
        <w:t>CIAUD-polo UPT</w:t>
      </w:r>
      <w:r w:rsidRPr="008553E0">
        <w:rPr>
          <w:rFonts w:ascii="Garamond" w:hAnsi="Garamond"/>
        </w:rPr>
        <w:t xml:space="preserve">. E-mail: </w:t>
      </w:r>
      <w:hyperlink r:id="rId2" w:history="1">
        <w:r w:rsidRPr="00FC6EDF">
          <w:rPr>
            <w:rStyle w:val="Hiperligao"/>
            <w:rFonts w:ascii="Garamond" w:hAnsi="Garamond"/>
          </w:rPr>
          <w:t>immvdfbc@upt.pt</w:t>
        </w:r>
      </w:hyperlink>
      <w:r>
        <w:rPr>
          <w:rFonts w:ascii="Garamond" w:hAnsi="Garamond"/>
        </w:rPr>
        <w:t xml:space="preserve">  </w:t>
      </w:r>
    </w:p>
  </w:footnote>
  <w:footnote w:id="4">
    <w:p w14:paraId="63B65D0E" w14:textId="16D5AE0C" w:rsidR="00AA768A" w:rsidRPr="006705B5" w:rsidRDefault="00AA768A" w:rsidP="00C54BB7">
      <w:pPr>
        <w:spacing w:line="240" w:lineRule="auto"/>
        <w:textAlignment w:val="baseline"/>
        <w:rPr>
          <w:sz w:val="20"/>
          <w:szCs w:val="20"/>
          <w:lang w:val="es-ES_tradnl"/>
        </w:rPr>
      </w:pPr>
      <w:r w:rsidRPr="006705B5">
        <w:rPr>
          <w:rStyle w:val="Refdenotaderodap"/>
          <w:sz w:val="20"/>
          <w:szCs w:val="20"/>
        </w:rPr>
        <w:footnoteRef/>
      </w:r>
      <w:r w:rsidRPr="006705B5">
        <w:rPr>
          <w:sz w:val="20"/>
          <w:szCs w:val="20"/>
        </w:rPr>
        <w:t xml:space="preserve"> </w:t>
      </w:r>
      <w:bookmarkStart w:id="1" w:name="_Hlk163977400"/>
      <w:r w:rsidR="00AF28F7">
        <w:rPr>
          <w:sz w:val="20"/>
          <w:szCs w:val="20"/>
        </w:rPr>
        <w:t>José DOMINGUES,</w:t>
      </w:r>
      <w:r w:rsidRPr="006705B5">
        <w:rPr>
          <w:sz w:val="20"/>
          <w:szCs w:val="20"/>
        </w:rPr>
        <w:t xml:space="preserve"> </w:t>
      </w:r>
      <w:r w:rsidRPr="00AF28F7">
        <w:rPr>
          <w:i/>
          <w:iCs/>
          <w:sz w:val="20"/>
          <w:szCs w:val="20"/>
        </w:rPr>
        <w:t>Ordenações Afonsinas</w:t>
      </w:r>
      <w:r w:rsidRPr="006705B5">
        <w:rPr>
          <w:sz w:val="20"/>
          <w:szCs w:val="20"/>
        </w:rPr>
        <w:t xml:space="preserve"> – Três séculos de direito medieval (1211-1512). </w:t>
      </w:r>
      <w:proofErr w:type="spellStart"/>
      <w:r w:rsidRPr="006705B5">
        <w:rPr>
          <w:sz w:val="20"/>
          <w:szCs w:val="20"/>
          <w:lang w:val="es-ES_tradnl"/>
        </w:rPr>
        <w:t>Zéfiro</w:t>
      </w:r>
      <w:proofErr w:type="spellEnd"/>
      <w:r w:rsidRPr="006705B5">
        <w:rPr>
          <w:sz w:val="20"/>
          <w:szCs w:val="20"/>
          <w:lang w:val="es-ES_tradnl"/>
        </w:rPr>
        <w:t>, 2008</w:t>
      </w:r>
      <w:bookmarkEnd w:id="1"/>
      <w:r w:rsidRPr="006705B5">
        <w:rPr>
          <w:sz w:val="20"/>
          <w:szCs w:val="20"/>
          <w:lang w:val="es-ES_tradnl"/>
        </w:rPr>
        <w:t>.</w:t>
      </w:r>
    </w:p>
  </w:footnote>
  <w:footnote w:id="5">
    <w:p w14:paraId="4E40B17D" w14:textId="0FCE572A" w:rsidR="003D18E9" w:rsidRPr="00C93614" w:rsidRDefault="003D18E9" w:rsidP="00C54BB7">
      <w:pPr>
        <w:pStyle w:val="Textodenotaderodap"/>
        <w:spacing w:line="240" w:lineRule="auto"/>
      </w:pPr>
      <w:r>
        <w:rPr>
          <w:rStyle w:val="Refdenotaderodap"/>
        </w:rPr>
        <w:footnoteRef/>
      </w:r>
      <w:r w:rsidRPr="003D18E9">
        <w:rPr>
          <w:lang w:val="es-ES"/>
        </w:rPr>
        <w:t xml:space="preserve"> </w:t>
      </w:r>
      <w:bookmarkStart w:id="3" w:name="_Hlk163977393"/>
      <w:proofErr w:type="spellStart"/>
      <w:r w:rsidR="00AF28F7" w:rsidRPr="00AF28F7">
        <w:rPr>
          <w:lang w:val="es-ES"/>
        </w:rPr>
        <w:t>István</w:t>
      </w:r>
      <w:proofErr w:type="spellEnd"/>
      <w:r w:rsidR="00AF28F7" w:rsidRPr="00AF28F7">
        <w:rPr>
          <w:lang w:val="es-ES"/>
        </w:rPr>
        <w:t xml:space="preserve"> </w:t>
      </w:r>
      <w:r w:rsidR="00AF28F7">
        <w:rPr>
          <w:lang w:val="es-ES"/>
        </w:rPr>
        <w:t>SZÁSZDO LEÓN-BORJA,</w:t>
      </w:r>
      <w:r w:rsidRPr="003D18E9">
        <w:rPr>
          <w:lang w:val="es-ES"/>
        </w:rPr>
        <w:t xml:space="preserve"> </w:t>
      </w:r>
      <w:r w:rsidR="00AF28F7">
        <w:rPr>
          <w:lang w:val="es-ES"/>
        </w:rPr>
        <w:t>“</w:t>
      </w:r>
      <w:r w:rsidRPr="003D18E9">
        <w:rPr>
          <w:lang w:val="es-ES"/>
        </w:rPr>
        <w:t>Las Leyes de Burgos y de Valladolid reguladoras de los derechos del niño indígena del Nuevo Mundo</w:t>
      </w:r>
      <w:r w:rsidR="00AF28F7">
        <w:rPr>
          <w:lang w:val="es-ES"/>
        </w:rPr>
        <w:t>”</w:t>
      </w:r>
      <w:r w:rsidRPr="003D18E9">
        <w:rPr>
          <w:lang w:val="es-ES"/>
        </w:rPr>
        <w:t xml:space="preserve"> </w:t>
      </w:r>
      <w:proofErr w:type="spellStart"/>
      <w:r w:rsidR="00AF28F7">
        <w:rPr>
          <w:lang w:val="es-ES"/>
        </w:rPr>
        <w:t>C</w:t>
      </w:r>
      <w:r w:rsidRPr="003D18E9">
        <w:rPr>
          <w:lang w:val="es-ES"/>
        </w:rPr>
        <w:t>omunicação</w:t>
      </w:r>
      <w:proofErr w:type="spellEnd"/>
      <w:r w:rsidRPr="003D18E9">
        <w:rPr>
          <w:lang w:val="es-ES"/>
        </w:rPr>
        <w:t xml:space="preserve"> oral</w:t>
      </w:r>
      <w:r w:rsidR="00AF28F7">
        <w:rPr>
          <w:lang w:val="es-ES"/>
        </w:rPr>
        <w:t xml:space="preserve">. </w:t>
      </w:r>
      <w:r w:rsidRPr="00C93614">
        <w:rPr>
          <w:i/>
          <w:iCs/>
        </w:rPr>
        <w:t xml:space="preserve">VI Congresso </w:t>
      </w:r>
      <w:proofErr w:type="spellStart"/>
      <w:r w:rsidRPr="00C93614">
        <w:rPr>
          <w:i/>
          <w:iCs/>
        </w:rPr>
        <w:t>Iberoamericano</w:t>
      </w:r>
      <w:proofErr w:type="spellEnd"/>
      <w:r w:rsidRPr="00C93614">
        <w:rPr>
          <w:i/>
          <w:iCs/>
        </w:rPr>
        <w:t xml:space="preserve"> de </w:t>
      </w:r>
      <w:proofErr w:type="spellStart"/>
      <w:r w:rsidRPr="00C93614">
        <w:rPr>
          <w:i/>
          <w:iCs/>
        </w:rPr>
        <w:t>Intervenção</w:t>
      </w:r>
      <w:proofErr w:type="spellEnd"/>
      <w:r w:rsidRPr="00C93614">
        <w:rPr>
          <w:i/>
          <w:iCs/>
        </w:rPr>
        <w:t xml:space="preserve"> Social (VI CIAIS): Infância e Juventude</w:t>
      </w:r>
      <w:r w:rsidRPr="00C93614">
        <w:t>, Porto, Portugal, 20-21 novembro 2023</w:t>
      </w:r>
      <w:bookmarkEnd w:id="3"/>
      <w:r w:rsidRPr="00C93614">
        <w:t>.</w:t>
      </w:r>
    </w:p>
  </w:footnote>
  <w:footnote w:id="6">
    <w:p w14:paraId="32E1BB7E" w14:textId="28F6400D" w:rsidR="00877909" w:rsidRPr="00C93614" w:rsidRDefault="00877909" w:rsidP="00154918">
      <w:pPr>
        <w:pStyle w:val="Textodenotaderodap"/>
        <w:spacing w:line="240" w:lineRule="auto"/>
      </w:pPr>
      <w:r w:rsidRPr="006705B5">
        <w:rPr>
          <w:rStyle w:val="Refdenotaderodap"/>
        </w:rPr>
        <w:footnoteRef/>
      </w:r>
      <w:r w:rsidRPr="00C93614">
        <w:t xml:space="preserve"> </w:t>
      </w:r>
      <w:r w:rsidR="00C93614">
        <w:t>P. ARIÉS,</w:t>
      </w:r>
      <w:r w:rsidR="00C93614" w:rsidRPr="00C93614">
        <w:t xml:space="preserve"> </w:t>
      </w:r>
      <w:r w:rsidR="00C93614" w:rsidRPr="00C93614">
        <w:rPr>
          <w:i/>
          <w:iCs/>
        </w:rPr>
        <w:t>A criança e a vida familiar no Antigo Regime</w:t>
      </w:r>
      <w:r w:rsidR="00C93614">
        <w:t xml:space="preserve">, </w:t>
      </w:r>
      <w:r w:rsidR="00C93614" w:rsidRPr="00C93614">
        <w:t>Relógio d´água</w:t>
      </w:r>
      <w:r w:rsidR="00C93614">
        <w:t xml:space="preserve">, </w:t>
      </w:r>
      <w:r w:rsidR="00C93614" w:rsidRPr="00C93614">
        <w:t>1988</w:t>
      </w:r>
      <w:r w:rsidR="00C93614">
        <w:t xml:space="preserve">, </w:t>
      </w:r>
    </w:p>
  </w:footnote>
  <w:footnote w:id="7">
    <w:p w14:paraId="3F121C75" w14:textId="027772D5" w:rsidR="006705B5" w:rsidRPr="006705B5" w:rsidRDefault="006705B5" w:rsidP="00154918">
      <w:pPr>
        <w:pStyle w:val="Textodenotaderodap"/>
        <w:spacing w:line="240" w:lineRule="auto"/>
        <w:rPr>
          <w:lang w:val="es-ES"/>
        </w:rPr>
      </w:pPr>
      <w:r>
        <w:rPr>
          <w:rStyle w:val="Refdenotaderodap"/>
        </w:rPr>
        <w:footnoteRef/>
      </w:r>
      <w:r w:rsidRPr="006705B5">
        <w:rPr>
          <w:lang w:val="es-ES"/>
        </w:rPr>
        <w:t xml:space="preserve"> </w:t>
      </w:r>
      <w:bookmarkStart w:id="4" w:name="_Hlk163977362"/>
      <w:r w:rsidR="00AF28F7" w:rsidRPr="006705B5">
        <w:rPr>
          <w:lang w:val="es-ES"/>
        </w:rPr>
        <w:t xml:space="preserve">Antonio Manuel </w:t>
      </w:r>
      <w:r w:rsidR="00AF28F7">
        <w:rPr>
          <w:lang w:val="es-ES"/>
        </w:rPr>
        <w:t>SÁNCHEZ ROLDÁN.</w:t>
      </w:r>
      <w:r w:rsidR="00AF28F7" w:rsidRPr="006705B5">
        <w:rPr>
          <w:lang w:val="es-ES"/>
        </w:rPr>
        <w:t xml:space="preserve"> </w:t>
      </w:r>
      <w:r w:rsidR="00AF28F7">
        <w:rPr>
          <w:lang w:val="es-ES"/>
        </w:rPr>
        <w:t>“</w:t>
      </w:r>
      <w:r w:rsidRPr="006705B5">
        <w:rPr>
          <w:lang w:val="es-ES"/>
        </w:rPr>
        <w:t>La vida infantil en la edad media</w:t>
      </w:r>
      <w:r w:rsidR="00AF28F7">
        <w:rPr>
          <w:lang w:val="es-ES"/>
        </w:rPr>
        <w:t xml:space="preserve">”, </w:t>
      </w:r>
      <w:proofErr w:type="spellStart"/>
      <w:r w:rsidRPr="00AF28F7">
        <w:rPr>
          <w:i/>
          <w:iCs/>
          <w:lang w:val="es-ES"/>
        </w:rPr>
        <w:t>Anahgramas</w:t>
      </w:r>
      <w:proofErr w:type="spellEnd"/>
      <w:r w:rsidRPr="00AF28F7">
        <w:rPr>
          <w:i/>
          <w:iCs/>
          <w:lang w:val="es-ES"/>
        </w:rPr>
        <w:t>: Análisis históricos de Grado y Máster</w:t>
      </w:r>
      <w:r w:rsidRPr="006705B5">
        <w:rPr>
          <w:lang w:val="es-ES"/>
        </w:rPr>
        <w:t xml:space="preserve">, </w:t>
      </w:r>
      <w:r w:rsidR="00AF28F7">
        <w:rPr>
          <w:lang w:val="es-ES"/>
        </w:rPr>
        <w:t xml:space="preserve">37, 2018, 190-235, </w:t>
      </w:r>
      <w:r w:rsidRPr="006705B5">
        <w:rPr>
          <w:lang w:val="es-ES"/>
        </w:rPr>
        <w:t>ISSN-e 2444-3123</w:t>
      </w:r>
      <w:bookmarkEnd w:id="4"/>
      <w:r w:rsidR="00AF28F7">
        <w:rPr>
          <w:lang w:val="es-ES"/>
        </w:rPr>
        <w:t>.</w:t>
      </w:r>
    </w:p>
  </w:footnote>
  <w:footnote w:id="8">
    <w:p w14:paraId="158A9A8B" w14:textId="6FA22B53" w:rsidR="006705B5" w:rsidRPr="00AF28F7" w:rsidRDefault="006705B5" w:rsidP="00154918">
      <w:pPr>
        <w:pStyle w:val="Textodenotaderodap"/>
        <w:spacing w:line="240" w:lineRule="auto"/>
        <w:rPr>
          <w:lang w:val="es-ES"/>
        </w:rPr>
      </w:pPr>
      <w:r>
        <w:rPr>
          <w:rStyle w:val="Refdenotaderodap"/>
        </w:rPr>
        <w:footnoteRef/>
      </w:r>
      <w:r w:rsidRPr="006705B5">
        <w:rPr>
          <w:lang w:val="es-ES"/>
        </w:rPr>
        <w:t xml:space="preserve"> </w:t>
      </w:r>
      <w:bookmarkStart w:id="5" w:name="_Hlk163977354"/>
      <w:r w:rsidR="00AF28F7" w:rsidRPr="006705B5">
        <w:rPr>
          <w:lang w:val="es-ES"/>
        </w:rPr>
        <w:t xml:space="preserve">María del Carmen </w:t>
      </w:r>
      <w:r w:rsidR="00AF28F7">
        <w:rPr>
          <w:lang w:val="es-ES"/>
        </w:rPr>
        <w:t>GARCIA HERRERO, “</w:t>
      </w:r>
      <w:r w:rsidRPr="006705B5">
        <w:rPr>
          <w:lang w:val="es-ES"/>
        </w:rPr>
        <w:t>Elementos para una historia de la infancia y de la juventud a finales de la Edad Media</w:t>
      </w:r>
      <w:r w:rsidR="00AF28F7">
        <w:rPr>
          <w:lang w:val="es-ES"/>
        </w:rPr>
        <w:t xml:space="preserve">”, </w:t>
      </w:r>
      <w:r w:rsidRPr="00AF28F7">
        <w:rPr>
          <w:i/>
          <w:iCs/>
          <w:lang w:val="es-ES"/>
        </w:rPr>
        <w:t>La vida cotidiana en la Edad Media: VIII Semana de Estudios Medievales</w:t>
      </w:r>
      <w:r w:rsidR="00AF28F7">
        <w:rPr>
          <w:lang w:val="es-ES"/>
        </w:rPr>
        <w:t>,</w:t>
      </w:r>
      <w:r w:rsidRPr="006705B5">
        <w:rPr>
          <w:lang w:val="es-ES"/>
        </w:rPr>
        <w:t xml:space="preserve"> Nájera, del 4 al 8 de agosto de 1997</w:t>
      </w:r>
      <w:r w:rsidR="00AF28F7">
        <w:rPr>
          <w:lang w:val="es-ES"/>
        </w:rPr>
        <w:t xml:space="preserve">, </w:t>
      </w:r>
      <w:r w:rsidRPr="006705B5">
        <w:rPr>
          <w:lang w:val="es-ES"/>
        </w:rPr>
        <w:t>1998, p</w:t>
      </w:r>
      <w:r w:rsidR="00AF28F7">
        <w:rPr>
          <w:lang w:val="es-ES"/>
        </w:rPr>
        <w:t>p.</w:t>
      </w:r>
      <w:r w:rsidRPr="006705B5">
        <w:rPr>
          <w:lang w:val="es-ES"/>
        </w:rPr>
        <w:t xml:space="preserve"> </w:t>
      </w:r>
      <w:r w:rsidRPr="00AF28F7">
        <w:rPr>
          <w:lang w:val="es-ES"/>
        </w:rPr>
        <w:t>223-252</w:t>
      </w:r>
      <w:r w:rsidR="00AF28F7">
        <w:rPr>
          <w:lang w:val="es-ES"/>
        </w:rPr>
        <w:t xml:space="preserve">, </w:t>
      </w:r>
      <w:r w:rsidR="00AF28F7" w:rsidRPr="006705B5">
        <w:rPr>
          <w:lang w:val="es-ES"/>
        </w:rPr>
        <w:t>ISBN 84-89362-32-7</w:t>
      </w:r>
      <w:bookmarkEnd w:id="5"/>
      <w:r w:rsidRPr="00AF28F7">
        <w:rPr>
          <w:lang w:val="es-ES"/>
        </w:rPr>
        <w:t>.</w:t>
      </w:r>
    </w:p>
  </w:footnote>
  <w:footnote w:id="9">
    <w:p w14:paraId="1BA148E8" w14:textId="06999F79" w:rsidR="00CA5194" w:rsidRPr="008245A0" w:rsidRDefault="00CA5194" w:rsidP="00154918">
      <w:pPr>
        <w:pStyle w:val="Textodenotaderodap"/>
        <w:spacing w:line="240" w:lineRule="auto"/>
      </w:pPr>
      <w:r w:rsidRPr="006705B5">
        <w:rPr>
          <w:rStyle w:val="Refdenotaderodap"/>
        </w:rPr>
        <w:footnoteRef/>
      </w:r>
      <w:r w:rsidRPr="008245A0">
        <w:t xml:space="preserve"> </w:t>
      </w:r>
      <w:bookmarkStart w:id="6" w:name="_Hlk163973280"/>
      <w:r w:rsidR="008245A0" w:rsidRPr="008245A0">
        <w:rPr>
          <w:i/>
          <w:iCs/>
        </w:rPr>
        <w:t xml:space="preserve">Ordenações </w:t>
      </w:r>
      <w:proofErr w:type="spellStart"/>
      <w:r w:rsidR="008245A0" w:rsidRPr="008245A0">
        <w:rPr>
          <w:i/>
          <w:iCs/>
        </w:rPr>
        <w:t>Del-Rei</w:t>
      </w:r>
      <w:proofErr w:type="spellEnd"/>
      <w:r w:rsidR="008245A0" w:rsidRPr="008245A0">
        <w:rPr>
          <w:i/>
          <w:iCs/>
        </w:rPr>
        <w:t xml:space="preserve"> Dom Duarte</w:t>
      </w:r>
      <w:r w:rsidR="008245A0">
        <w:t>,</w:t>
      </w:r>
      <w:r w:rsidR="008245A0" w:rsidRPr="008245A0">
        <w:t xml:space="preserve"> Vol. I a </w:t>
      </w:r>
      <w:r w:rsidR="008245A0">
        <w:t xml:space="preserve">V, </w:t>
      </w:r>
      <w:r w:rsidR="008245A0" w:rsidRPr="008245A0">
        <w:t>Fundação Calouste Gulbenkian</w:t>
      </w:r>
      <w:r w:rsidR="008245A0">
        <w:t>,</w:t>
      </w:r>
      <w:r w:rsidR="008245A0" w:rsidRPr="008245A0">
        <w:t xml:space="preserve"> Lisboa</w:t>
      </w:r>
      <w:r w:rsidR="008245A0">
        <w:t xml:space="preserve">, </w:t>
      </w:r>
      <w:r w:rsidR="008245A0" w:rsidRPr="008245A0">
        <w:t>1988</w:t>
      </w:r>
      <w:r w:rsidR="008245A0">
        <w:t xml:space="preserve">, pp </w:t>
      </w:r>
      <w:bookmarkEnd w:id="6"/>
      <w:r w:rsidR="008245A0">
        <w:t>556-557.</w:t>
      </w:r>
    </w:p>
  </w:footnote>
  <w:footnote w:id="10">
    <w:p w14:paraId="69779BBF" w14:textId="77777777" w:rsidR="00AD611F" w:rsidRPr="008245A0" w:rsidRDefault="00AD611F" w:rsidP="00AD611F">
      <w:pPr>
        <w:pStyle w:val="Textodenotaderodap"/>
        <w:spacing w:line="240" w:lineRule="auto"/>
      </w:pPr>
      <w:r w:rsidRPr="006705B5">
        <w:rPr>
          <w:rStyle w:val="Refdenotaderodap"/>
        </w:rPr>
        <w:footnoteRef/>
      </w:r>
      <w:r w:rsidRPr="008245A0">
        <w:t xml:space="preserve"> </w:t>
      </w:r>
      <w:r w:rsidRPr="008245A0">
        <w:rPr>
          <w:i/>
          <w:iCs/>
        </w:rPr>
        <w:t xml:space="preserve">Ordenações </w:t>
      </w:r>
      <w:proofErr w:type="spellStart"/>
      <w:r w:rsidRPr="008245A0">
        <w:rPr>
          <w:i/>
          <w:iCs/>
        </w:rPr>
        <w:t>Del-Rei</w:t>
      </w:r>
      <w:proofErr w:type="spellEnd"/>
      <w:r w:rsidRPr="008245A0">
        <w:rPr>
          <w:i/>
          <w:iCs/>
        </w:rPr>
        <w:t xml:space="preserve"> Dom Duarte</w:t>
      </w:r>
      <w:r>
        <w:t>,</w:t>
      </w:r>
      <w:r w:rsidRPr="008245A0">
        <w:t xml:space="preserve"> Vol. I a </w:t>
      </w:r>
      <w:r>
        <w:t xml:space="preserve">V, </w:t>
      </w:r>
      <w:r w:rsidRPr="008245A0">
        <w:t>Fundação Calouste Gulbenkian</w:t>
      </w:r>
      <w:r>
        <w:t>,</w:t>
      </w:r>
      <w:r w:rsidRPr="008245A0">
        <w:t xml:space="preserve"> Lisboa</w:t>
      </w:r>
      <w:r>
        <w:t xml:space="preserve">, </w:t>
      </w:r>
      <w:r w:rsidRPr="008245A0">
        <w:t>1988</w:t>
      </w:r>
      <w:r>
        <w:t>, pp 556-557.</w:t>
      </w:r>
    </w:p>
  </w:footnote>
  <w:footnote w:id="11">
    <w:p w14:paraId="2634F589" w14:textId="6A648B62" w:rsidR="00880DFE" w:rsidRDefault="00880DFE" w:rsidP="00154918">
      <w:pPr>
        <w:pStyle w:val="Textodenotaderodap"/>
        <w:spacing w:line="240" w:lineRule="auto"/>
      </w:pPr>
      <w:r w:rsidRPr="006705B5">
        <w:rPr>
          <w:rStyle w:val="Refdenotaderodap"/>
        </w:rPr>
        <w:footnoteRef/>
      </w:r>
      <w:r w:rsidRPr="006705B5">
        <w:t xml:space="preserve"> </w:t>
      </w:r>
      <w:bookmarkStart w:id="7" w:name="_Hlk163977343"/>
      <w:r w:rsidR="008245A0" w:rsidRPr="008245A0">
        <w:rPr>
          <w:i/>
          <w:iCs/>
        </w:rPr>
        <w:t>Ordenações Manuelinas</w:t>
      </w:r>
      <w:r w:rsidR="008245A0">
        <w:t xml:space="preserve">, </w:t>
      </w:r>
      <w:r w:rsidR="008245A0" w:rsidRPr="008245A0">
        <w:t xml:space="preserve">Vol. I a </w:t>
      </w:r>
      <w:r w:rsidR="008245A0">
        <w:t>V,</w:t>
      </w:r>
      <w:r w:rsidR="008245A0" w:rsidRPr="008245A0">
        <w:t xml:space="preserve"> Fundação Calouste Gulbenkian</w:t>
      </w:r>
      <w:r w:rsidR="008245A0">
        <w:t xml:space="preserve">, </w:t>
      </w:r>
      <w:r w:rsidR="008245A0" w:rsidRPr="008245A0">
        <w:t>Lisboa</w:t>
      </w:r>
      <w:r w:rsidR="008245A0">
        <w:t>, 1984</w:t>
      </w:r>
      <w:bookmarkEnd w:id="7"/>
      <w:r w:rsidR="008245A0">
        <w:t xml:space="preserve">, </w:t>
      </w:r>
      <w:r w:rsidR="008245A0" w:rsidRPr="006705B5">
        <w:t>Livro 1, título LXVII</w:t>
      </w:r>
      <w:r w:rsidR="008245A0">
        <w:t xml:space="preserve">, </w:t>
      </w:r>
      <w:r w:rsidR="008245A0" w:rsidRPr="006705B5">
        <w:t xml:space="preserve">Livro 5, </w:t>
      </w:r>
      <w:proofErr w:type="gramStart"/>
      <w:r w:rsidR="008245A0" w:rsidRPr="006705B5">
        <w:t>titulo</w:t>
      </w:r>
      <w:proofErr w:type="gramEnd"/>
      <w:r w:rsidR="008245A0" w:rsidRPr="006705B5">
        <w:t xml:space="preserve"> LXXXVI</w:t>
      </w:r>
      <w:r w:rsidR="008245A0">
        <w:t xml:space="preserve"> e título LXXXVII.</w:t>
      </w:r>
    </w:p>
  </w:footnote>
  <w:footnote w:id="12">
    <w:p w14:paraId="55D956BC" w14:textId="71DB9D9E" w:rsidR="007110BB" w:rsidRDefault="007110BB">
      <w:pPr>
        <w:pStyle w:val="Textodenotaderodap"/>
      </w:pPr>
      <w:r>
        <w:rPr>
          <w:rStyle w:val="Refdenotaderodap"/>
        </w:rPr>
        <w:footnoteRef/>
      </w:r>
      <w:r>
        <w:t xml:space="preserve"> Ordenações Manuelinas, Livro 1, </w:t>
      </w:r>
      <w:proofErr w:type="gramStart"/>
      <w:r>
        <w:t>Titulo</w:t>
      </w:r>
      <w:proofErr w:type="gramEnd"/>
      <w:r>
        <w:t xml:space="preserve"> LXVII.</w:t>
      </w:r>
    </w:p>
  </w:footnote>
  <w:footnote w:id="13">
    <w:p w14:paraId="159E7C35" w14:textId="77777777" w:rsidR="00995527" w:rsidRDefault="00995527" w:rsidP="00995527">
      <w:pPr>
        <w:pStyle w:val="Textodenotaderodap"/>
      </w:pPr>
      <w:r>
        <w:rPr>
          <w:rStyle w:val="Refdenotaderodap"/>
        </w:rPr>
        <w:footnoteRef/>
      </w:r>
      <w:r>
        <w:t xml:space="preserve"> Ordenações Manuelinas, Livro 1, </w:t>
      </w:r>
      <w:proofErr w:type="gramStart"/>
      <w:r>
        <w:t>Titulo</w:t>
      </w:r>
      <w:proofErr w:type="gramEnd"/>
      <w:r>
        <w:t xml:space="preserve"> LXVII.</w:t>
      </w:r>
    </w:p>
  </w:footnote>
  <w:footnote w:id="14">
    <w:p w14:paraId="76EC7F29" w14:textId="42C10D06" w:rsidR="0071223A" w:rsidRPr="004846E9" w:rsidRDefault="0071223A" w:rsidP="004846E9">
      <w:pPr>
        <w:spacing w:line="240" w:lineRule="auto"/>
        <w:rPr>
          <w:color w:val="343A40"/>
          <w:sz w:val="20"/>
          <w:szCs w:val="20"/>
          <w:shd w:val="clear" w:color="auto" w:fill="FFFFFF"/>
        </w:rPr>
      </w:pPr>
      <w:r w:rsidRPr="004846E9">
        <w:rPr>
          <w:rStyle w:val="Refdenotaderodap"/>
          <w:sz w:val="20"/>
          <w:szCs w:val="20"/>
        </w:rPr>
        <w:footnoteRef/>
      </w:r>
      <w:r w:rsidRPr="004846E9">
        <w:rPr>
          <w:sz w:val="20"/>
          <w:szCs w:val="20"/>
        </w:rPr>
        <w:t xml:space="preserve"> </w:t>
      </w:r>
      <w:bookmarkStart w:id="8" w:name="_Hlk163977324"/>
      <w:r w:rsidR="008245A0">
        <w:rPr>
          <w:sz w:val="20"/>
          <w:szCs w:val="20"/>
        </w:rPr>
        <w:t>A. P. GUIMARÁES, &amp; D. R. ALVES, “</w:t>
      </w:r>
      <w:r w:rsidRPr="004846E9">
        <w:rPr>
          <w:sz w:val="20"/>
          <w:szCs w:val="20"/>
          <w:shd w:val="clear" w:color="auto" w:fill="FFFFFF"/>
        </w:rPr>
        <w:t>Adultério e Direito Penal desigual</w:t>
      </w:r>
      <w:r w:rsidR="008245A0">
        <w:rPr>
          <w:sz w:val="20"/>
          <w:szCs w:val="20"/>
          <w:shd w:val="clear" w:color="auto" w:fill="FFFFFF"/>
        </w:rPr>
        <w:t>”, i</w:t>
      </w:r>
      <w:r w:rsidRPr="004846E9">
        <w:rPr>
          <w:sz w:val="20"/>
          <w:szCs w:val="20"/>
          <w:shd w:val="clear" w:color="auto" w:fill="FFFFFF"/>
        </w:rPr>
        <w:t>n</w:t>
      </w:r>
      <w:r w:rsidR="008245A0">
        <w:rPr>
          <w:sz w:val="20"/>
          <w:szCs w:val="20"/>
          <w:shd w:val="clear" w:color="auto" w:fill="FFFFFF"/>
        </w:rPr>
        <w:t xml:space="preserve">: </w:t>
      </w:r>
      <w:r w:rsidRPr="004846E9">
        <w:rPr>
          <w:sz w:val="20"/>
          <w:szCs w:val="20"/>
          <w:shd w:val="clear" w:color="auto" w:fill="FFFFFF"/>
        </w:rPr>
        <w:t>L. B</w:t>
      </w:r>
      <w:r w:rsidR="008245A0">
        <w:rPr>
          <w:sz w:val="20"/>
          <w:szCs w:val="20"/>
          <w:shd w:val="clear" w:color="auto" w:fill="FFFFFF"/>
        </w:rPr>
        <w:t>UJOSA VADELL</w:t>
      </w:r>
      <w:r w:rsidRPr="004846E9">
        <w:rPr>
          <w:sz w:val="20"/>
          <w:szCs w:val="20"/>
          <w:shd w:val="clear" w:color="auto" w:fill="FFFFFF"/>
        </w:rPr>
        <w:t>, &amp; F. S. V</w:t>
      </w:r>
      <w:r w:rsidR="008245A0">
        <w:rPr>
          <w:sz w:val="20"/>
          <w:szCs w:val="20"/>
          <w:shd w:val="clear" w:color="auto" w:fill="FFFFFF"/>
        </w:rPr>
        <w:t>EIGA</w:t>
      </w:r>
      <w:r w:rsidRPr="004846E9">
        <w:rPr>
          <w:sz w:val="20"/>
          <w:szCs w:val="20"/>
          <w:shd w:val="clear" w:color="auto" w:fill="FFFFFF"/>
        </w:rPr>
        <w:t xml:space="preserve">, </w:t>
      </w:r>
      <w:proofErr w:type="spellStart"/>
      <w:r w:rsidRPr="008245A0">
        <w:rPr>
          <w:i/>
          <w:iCs/>
          <w:sz w:val="20"/>
          <w:szCs w:val="20"/>
          <w:shd w:val="clear" w:color="auto" w:fill="FFFFFF"/>
        </w:rPr>
        <w:t>Derecho</w:t>
      </w:r>
      <w:proofErr w:type="spellEnd"/>
      <w:r w:rsidRPr="008245A0">
        <w:rPr>
          <w:i/>
          <w:iCs/>
          <w:sz w:val="20"/>
          <w:szCs w:val="20"/>
          <w:shd w:val="clear" w:color="auto" w:fill="FFFFFF"/>
        </w:rPr>
        <w:t xml:space="preserve"> transnacional </w:t>
      </w:r>
      <w:proofErr w:type="spellStart"/>
      <w:r w:rsidRPr="008245A0">
        <w:rPr>
          <w:i/>
          <w:iCs/>
          <w:sz w:val="20"/>
          <w:szCs w:val="20"/>
          <w:shd w:val="clear" w:color="auto" w:fill="FFFFFF"/>
        </w:rPr>
        <w:t>iberoamericano</w:t>
      </w:r>
      <w:proofErr w:type="spellEnd"/>
      <w:r w:rsidRPr="004846E9">
        <w:rPr>
          <w:sz w:val="20"/>
          <w:szCs w:val="20"/>
          <w:shd w:val="clear" w:color="auto" w:fill="FFFFFF"/>
        </w:rPr>
        <w:t xml:space="preserve">, vol. 2, </w:t>
      </w:r>
      <w:r w:rsidR="00154918">
        <w:rPr>
          <w:sz w:val="20"/>
          <w:szCs w:val="20"/>
          <w:shd w:val="clear" w:color="auto" w:fill="FFFFFF"/>
        </w:rPr>
        <w:t xml:space="preserve">2021, </w:t>
      </w:r>
      <w:r w:rsidRPr="004846E9">
        <w:rPr>
          <w:sz w:val="20"/>
          <w:szCs w:val="20"/>
          <w:shd w:val="clear" w:color="auto" w:fill="FFFFFF"/>
        </w:rPr>
        <w:t>pp. 369-378</w:t>
      </w:r>
      <w:r w:rsidR="008245A0">
        <w:rPr>
          <w:sz w:val="20"/>
          <w:szCs w:val="20"/>
          <w:shd w:val="clear" w:color="auto" w:fill="FFFFFF"/>
        </w:rPr>
        <w:t>, disponível em:</w:t>
      </w:r>
      <w:r w:rsidRPr="004846E9">
        <w:rPr>
          <w:sz w:val="20"/>
          <w:szCs w:val="20"/>
          <w:shd w:val="clear" w:color="auto" w:fill="FFFFFF"/>
        </w:rPr>
        <w:t xml:space="preserve"> </w:t>
      </w:r>
      <w:hyperlink r:id="rId3" w:history="1">
        <w:r w:rsidRPr="004846E9">
          <w:rPr>
            <w:rStyle w:val="Hiperligao"/>
            <w:sz w:val="20"/>
            <w:szCs w:val="20"/>
            <w:shd w:val="clear" w:color="auto" w:fill="FFFFFF"/>
          </w:rPr>
          <w:t>http://hdl.handle.net/11328/3608</w:t>
        </w:r>
      </w:hyperlink>
      <w:bookmarkEnd w:id="8"/>
      <w:r w:rsidRPr="004846E9">
        <w:rPr>
          <w:color w:val="343A40"/>
          <w:sz w:val="20"/>
          <w:szCs w:val="20"/>
          <w:shd w:val="clear" w:color="auto" w:fill="FFFFFF"/>
        </w:rPr>
        <w:t xml:space="preserve"> </w:t>
      </w:r>
    </w:p>
  </w:footnote>
  <w:footnote w:id="15">
    <w:p w14:paraId="5292A87F" w14:textId="2748D7B8" w:rsidR="00877909" w:rsidRPr="004846E9" w:rsidRDefault="00877909" w:rsidP="004846E9">
      <w:pPr>
        <w:pStyle w:val="Textodenotaderodap"/>
        <w:spacing w:line="240" w:lineRule="auto"/>
      </w:pPr>
      <w:r w:rsidRPr="004846E9">
        <w:rPr>
          <w:rStyle w:val="Refdenotaderodap"/>
        </w:rPr>
        <w:footnoteRef/>
      </w:r>
      <w:r w:rsidRPr="004846E9">
        <w:t xml:space="preserve"> </w:t>
      </w:r>
      <w:r w:rsidR="008245A0">
        <w:t>F</w:t>
      </w:r>
      <w:bookmarkStart w:id="9" w:name="_Hlk163977300"/>
      <w:r w:rsidR="008245A0">
        <w:t>. LEBRUM,</w:t>
      </w:r>
      <w:r w:rsidR="008245A0" w:rsidRPr="008245A0">
        <w:t xml:space="preserve"> </w:t>
      </w:r>
      <w:r w:rsidR="008245A0" w:rsidRPr="008245A0">
        <w:rPr>
          <w:i/>
          <w:iCs/>
        </w:rPr>
        <w:t>A vida conjugal no Antigo Regime</w:t>
      </w:r>
      <w:r w:rsidR="008245A0" w:rsidRPr="008245A0">
        <w:t>. Edições Rolim</w:t>
      </w:r>
      <w:r w:rsidR="008245A0">
        <w:t xml:space="preserve">, Lisboa, </w:t>
      </w:r>
      <w:r w:rsidR="008245A0" w:rsidRPr="008245A0">
        <w:t>1988</w:t>
      </w:r>
      <w:bookmarkEnd w:id="9"/>
      <w:r w:rsidR="008245A0">
        <w:t>, p. 132</w:t>
      </w:r>
      <w:r w:rsidR="008245A0" w:rsidRPr="008245A0">
        <w:t>.</w:t>
      </w:r>
    </w:p>
  </w:footnote>
  <w:footnote w:id="16">
    <w:p w14:paraId="6B50818D" w14:textId="7BCDFEAC" w:rsidR="00877909" w:rsidRPr="004846E9" w:rsidRDefault="00877909" w:rsidP="004846E9">
      <w:pPr>
        <w:pStyle w:val="Textodenotaderodap"/>
        <w:spacing w:line="240" w:lineRule="auto"/>
      </w:pPr>
      <w:r w:rsidRPr="004846E9">
        <w:rPr>
          <w:rStyle w:val="Refdenotaderodap"/>
        </w:rPr>
        <w:footnoteRef/>
      </w:r>
      <w:r w:rsidRPr="004846E9">
        <w:t xml:space="preserve"> </w:t>
      </w:r>
      <w:bookmarkStart w:id="10" w:name="_Hlk163977313"/>
      <w:r w:rsidR="00C93614">
        <w:t>P. ARIÉS,</w:t>
      </w:r>
      <w:r w:rsidR="00C93614" w:rsidRPr="00C93614">
        <w:t xml:space="preserve"> </w:t>
      </w:r>
      <w:r w:rsidR="00C93614" w:rsidRPr="00C93614">
        <w:rPr>
          <w:i/>
          <w:iCs/>
        </w:rPr>
        <w:t>A criança e a vida familiar no Antigo Regime</w:t>
      </w:r>
      <w:r w:rsidR="00C93614">
        <w:t xml:space="preserve">, </w:t>
      </w:r>
      <w:r w:rsidR="00C93614" w:rsidRPr="00C93614">
        <w:t>Relógio d´água</w:t>
      </w:r>
      <w:r w:rsidR="00C93614">
        <w:t xml:space="preserve">, </w:t>
      </w:r>
      <w:r w:rsidR="00C93614" w:rsidRPr="00C93614">
        <w:t>1988</w:t>
      </w:r>
      <w:bookmarkEnd w:id="10"/>
      <w:r w:rsidR="00C93614">
        <w:t>, p. 11.</w:t>
      </w:r>
    </w:p>
  </w:footnote>
  <w:footnote w:id="17">
    <w:p w14:paraId="7437DBDE" w14:textId="355669AA" w:rsidR="00474914" w:rsidRDefault="00474914" w:rsidP="004846E9">
      <w:pPr>
        <w:pStyle w:val="Textodenotaderodap"/>
        <w:spacing w:line="240" w:lineRule="auto"/>
      </w:pPr>
      <w:r w:rsidRPr="004846E9">
        <w:rPr>
          <w:rStyle w:val="Refdenotaderodap"/>
        </w:rPr>
        <w:footnoteRef/>
      </w:r>
      <w:r>
        <w:t xml:space="preserve"> </w:t>
      </w:r>
      <w:r w:rsidR="00C93614">
        <w:t>P. ARIÉS,</w:t>
      </w:r>
      <w:r w:rsidR="00C93614" w:rsidRPr="00C93614">
        <w:t xml:space="preserve"> </w:t>
      </w:r>
      <w:r w:rsidR="00C93614" w:rsidRPr="00C93614">
        <w:rPr>
          <w:i/>
          <w:iCs/>
        </w:rPr>
        <w:t>A criança e a vida familiar no Antigo Regime</w:t>
      </w:r>
      <w:r w:rsidR="00C93614">
        <w:t xml:space="preserve">, </w:t>
      </w:r>
      <w:r w:rsidR="00C93614" w:rsidRPr="00C93614">
        <w:t>Relógio d´água</w:t>
      </w:r>
      <w:r w:rsidR="00C93614">
        <w:t xml:space="preserve">, </w:t>
      </w:r>
      <w:r w:rsidR="00C93614" w:rsidRPr="00C93614">
        <w:t>1988</w:t>
      </w:r>
      <w:r w:rsidR="00C93614">
        <w:t>, p. 38.</w:t>
      </w:r>
    </w:p>
  </w:footnote>
  <w:footnote w:id="18">
    <w:p w14:paraId="2A699498" w14:textId="075FD4B7" w:rsidR="00474914" w:rsidRDefault="00474914" w:rsidP="004846E9">
      <w:pPr>
        <w:pStyle w:val="Textodenotaderodap"/>
        <w:spacing w:line="240" w:lineRule="auto"/>
      </w:pPr>
      <w:r>
        <w:rPr>
          <w:rStyle w:val="Refdenotaderodap"/>
        </w:rPr>
        <w:footnoteRef/>
      </w:r>
      <w:r>
        <w:t xml:space="preserve"> Ficando como a terceira mais antiga de Espanha e com </w:t>
      </w:r>
      <w:r w:rsidRPr="00474914">
        <w:t xml:space="preserve">sete campus distribuídos por quatro cidades de Castela </w:t>
      </w:r>
      <w:r>
        <w:t>e</w:t>
      </w:r>
      <w:r w:rsidRPr="00474914">
        <w:t xml:space="preserve"> Le</w:t>
      </w:r>
      <w:r>
        <w:t>ão</w:t>
      </w:r>
      <w:r w:rsidRPr="00474914">
        <w:t>: Valladolid, </w:t>
      </w:r>
      <w:proofErr w:type="spellStart"/>
      <w:r w:rsidRPr="00474914">
        <w:t>Palencia</w:t>
      </w:r>
      <w:proofErr w:type="spellEnd"/>
      <w:r w:rsidRPr="00474914">
        <w:t>, </w:t>
      </w:r>
      <w:proofErr w:type="spellStart"/>
      <w:r w:rsidRPr="00474914">
        <w:t>Soria</w:t>
      </w:r>
      <w:proofErr w:type="spellEnd"/>
      <w:r w:rsidRPr="00474914">
        <w:t> y </w:t>
      </w:r>
      <w:proofErr w:type="spellStart"/>
      <w:r w:rsidRPr="00474914">
        <w:t>Segovia</w:t>
      </w:r>
      <w:proofErr w:type="spellEnd"/>
      <w:r>
        <w:t>.</w:t>
      </w:r>
    </w:p>
  </w:footnote>
  <w:footnote w:id="19">
    <w:p w14:paraId="3332659D" w14:textId="57A14A02" w:rsidR="00877909" w:rsidRDefault="00877909" w:rsidP="00E60C76">
      <w:pPr>
        <w:pStyle w:val="Textodenotaderodap"/>
        <w:spacing w:line="240" w:lineRule="auto"/>
      </w:pPr>
      <w:r>
        <w:rPr>
          <w:rStyle w:val="Refdenotaderodap"/>
        </w:rPr>
        <w:footnoteRef/>
      </w:r>
      <w:r>
        <w:t xml:space="preserve"> </w:t>
      </w:r>
      <w:proofErr w:type="spellStart"/>
      <w:r w:rsidR="00C54BB7" w:rsidRPr="00C54BB7">
        <w:t>Vigarello</w:t>
      </w:r>
      <w:proofErr w:type="spellEnd"/>
      <w:r w:rsidR="00C54BB7" w:rsidRPr="00C54BB7">
        <w:t xml:space="preserve">, G. VIGARELLO, </w:t>
      </w:r>
      <w:r w:rsidR="00C54BB7" w:rsidRPr="00C54BB7">
        <w:rPr>
          <w:i/>
          <w:iCs/>
        </w:rPr>
        <w:t>O Limpo e o Sujo, a higiene do corpo desde a Idade Média</w:t>
      </w:r>
      <w:r w:rsidR="00C54BB7" w:rsidRPr="00C54BB7">
        <w:t xml:space="preserve">. </w:t>
      </w:r>
      <w:r w:rsidR="00C54BB7" w:rsidRPr="00C7060F">
        <w:t>Fragmentos, 1985</w:t>
      </w:r>
      <w:r w:rsidR="00C54BB7">
        <w:t>, p. 20</w:t>
      </w:r>
      <w:r w:rsidR="00C93614" w:rsidRPr="00E60C76">
        <w:t>.</w:t>
      </w:r>
    </w:p>
  </w:footnote>
  <w:footnote w:id="20">
    <w:p w14:paraId="332B44AC" w14:textId="7386E87D" w:rsidR="00877909" w:rsidRDefault="00877909" w:rsidP="00485BD2">
      <w:pPr>
        <w:pStyle w:val="Textodenotaderodap"/>
        <w:spacing w:line="240" w:lineRule="auto"/>
      </w:pPr>
      <w:r>
        <w:rPr>
          <w:rStyle w:val="Refdenotaderodap"/>
        </w:rPr>
        <w:footnoteRef/>
      </w:r>
      <w:r>
        <w:t xml:space="preserve"> </w:t>
      </w:r>
      <w:r w:rsidR="00C93614" w:rsidRPr="00C93614">
        <w:t xml:space="preserve">Ordenações </w:t>
      </w:r>
      <w:proofErr w:type="spellStart"/>
      <w:r w:rsidR="00C93614" w:rsidRPr="00C93614">
        <w:t>Del-Rei</w:t>
      </w:r>
      <w:proofErr w:type="spellEnd"/>
      <w:r w:rsidR="00C93614" w:rsidRPr="00C93614">
        <w:t xml:space="preserve"> Dom Duarte, Vol. I a V, Fundação Calouste Gulbenkian, Lisboa, 1988, p</w:t>
      </w:r>
      <w:r w:rsidR="00C93614">
        <w:t>. V.</w:t>
      </w:r>
    </w:p>
  </w:footnote>
  <w:footnote w:id="21">
    <w:p w14:paraId="110636C5" w14:textId="49F716E8" w:rsidR="00C93614" w:rsidRDefault="00C93614" w:rsidP="00485BD2">
      <w:pPr>
        <w:pStyle w:val="Textodenotaderodap"/>
        <w:spacing w:line="240" w:lineRule="auto"/>
      </w:pPr>
      <w:r>
        <w:rPr>
          <w:rStyle w:val="Refdenotaderodap"/>
        </w:rPr>
        <w:footnoteRef/>
      </w:r>
      <w:r>
        <w:t xml:space="preserve"> </w:t>
      </w:r>
      <w:r w:rsidRPr="008245A0">
        <w:rPr>
          <w:i/>
          <w:iCs/>
        </w:rPr>
        <w:t xml:space="preserve">Ordenações </w:t>
      </w:r>
      <w:proofErr w:type="spellStart"/>
      <w:r w:rsidRPr="008245A0">
        <w:rPr>
          <w:i/>
          <w:iCs/>
        </w:rPr>
        <w:t>Del-Rei</w:t>
      </w:r>
      <w:proofErr w:type="spellEnd"/>
      <w:r w:rsidRPr="008245A0">
        <w:rPr>
          <w:i/>
          <w:iCs/>
        </w:rPr>
        <w:t xml:space="preserve"> Dom Duarte</w:t>
      </w:r>
      <w:r>
        <w:t>,</w:t>
      </w:r>
      <w:r w:rsidRPr="008245A0">
        <w:t xml:space="preserve"> Vol. I a </w:t>
      </w:r>
      <w:r>
        <w:t xml:space="preserve">V, </w:t>
      </w:r>
      <w:r w:rsidRPr="008245A0">
        <w:t>Fundação Calouste Gulbenkian</w:t>
      </w:r>
      <w:r>
        <w:t>,</w:t>
      </w:r>
      <w:r w:rsidRPr="008245A0">
        <w:t xml:space="preserve"> Lisboa</w:t>
      </w:r>
      <w:r>
        <w:t xml:space="preserve">, </w:t>
      </w:r>
      <w:r w:rsidRPr="008245A0">
        <w:t>1988</w:t>
      </w:r>
      <w:r>
        <w:t>, pp. 556-557.</w:t>
      </w:r>
    </w:p>
  </w:footnote>
  <w:footnote w:id="22">
    <w:p w14:paraId="7999A018" w14:textId="381BBAD4" w:rsidR="00C93614" w:rsidRDefault="00C93614" w:rsidP="00485BD2">
      <w:pPr>
        <w:pStyle w:val="Textodenotaderodap"/>
        <w:spacing w:line="240" w:lineRule="auto"/>
      </w:pPr>
      <w:r>
        <w:rPr>
          <w:rStyle w:val="Refdenotaderodap"/>
        </w:rPr>
        <w:footnoteRef/>
      </w:r>
      <w:r>
        <w:t xml:space="preserve"> </w:t>
      </w:r>
      <w:r w:rsidRPr="008245A0">
        <w:rPr>
          <w:i/>
          <w:iCs/>
        </w:rPr>
        <w:t xml:space="preserve">Ordenações </w:t>
      </w:r>
      <w:proofErr w:type="spellStart"/>
      <w:r w:rsidRPr="008245A0">
        <w:rPr>
          <w:i/>
          <w:iCs/>
        </w:rPr>
        <w:t>Del-Rei</w:t>
      </w:r>
      <w:proofErr w:type="spellEnd"/>
      <w:r w:rsidRPr="008245A0">
        <w:rPr>
          <w:i/>
          <w:iCs/>
        </w:rPr>
        <w:t xml:space="preserve"> Dom Duarte</w:t>
      </w:r>
      <w:r>
        <w:t>,</w:t>
      </w:r>
      <w:r w:rsidRPr="008245A0">
        <w:t xml:space="preserve"> Vol. I a </w:t>
      </w:r>
      <w:r>
        <w:t xml:space="preserve">V, </w:t>
      </w:r>
      <w:r w:rsidRPr="008245A0">
        <w:t>Fundação Calouste Gulbenkian</w:t>
      </w:r>
      <w:r>
        <w:t>,</w:t>
      </w:r>
      <w:r w:rsidRPr="008245A0">
        <w:t xml:space="preserve"> Lisboa</w:t>
      </w:r>
      <w:r>
        <w:t xml:space="preserve">, </w:t>
      </w:r>
      <w:r w:rsidRPr="008245A0">
        <w:t>1988</w:t>
      </w:r>
      <w:r>
        <w:t>, pp. 556-557.</w:t>
      </w:r>
    </w:p>
  </w:footnote>
  <w:footnote w:id="23">
    <w:p w14:paraId="100D4BC1" w14:textId="11FC89A6" w:rsidR="00C93614" w:rsidRDefault="00C93614" w:rsidP="00D86928">
      <w:pPr>
        <w:pStyle w:val="Textodenotaderodap"/>
        <w:spacing w:line="240" w:lineRule="auto"/>
      </w:pPr>
      <w:r>
        <w:rPr>
          <w:rStyle w:val="Refdenotaderodap"/>
        </w:rPr>
        <w:footnoteRef/>
      </w:r>
      <w:r>
        <w:t xml:space="preserve"> </w:t>
      </w:r>
      <w:bookmarkStart w:id="11" w:name="_Hlk163977284"/>
      <w:r w:rsidRPr="008245A0">
        <w:rPr>
          <w:i/>
          <w:iCs/>
        </w:rPr>
        <w:t xml:space="preserve">Ordenações </w:t>
      </w:r>
      <w:proofErr w:type="spellStart"/>
      <w:r w:rsidRPr="008245A0">
        <w:rPr>
          <w:i/>
          <w:iCs/>
        </w:rPr>
        <w:t>Del-Rei</w:t>
      </w:r>
      <w:proofErr w:type="spellEnd"/>
      <w:r w:rsidRPr="008245A0">
        <w:rPr>
          <w:i/>
          <w:iCs/>
        </w:rPr>
        <w:t xml:space="preserve"> Dom Duarte</w:t>
      </w:r>
      <w:r>
        <w:t>,</w:t>
      </w:r>
      <w:r w:rsidRPr="008245A0">
        <w:t xml:space="preserve"> Vol. I a </w:t>
      </w:r>
      <w:r>
        <w:t xml:space="preserve">V, </w:t>
      </w:r>
      <w:r w:rsidRPr="008245A0">
        <w:t>Fundação Calouste Gulbenkian</w:t>
      </w:r>
      <w:r>
        <w:t>,</w:t>
      </w:r>
      <w:r w:rsidRPr="008245A0">
        <w:t xml:space="preserve"> Lisboa</w:t>
      </w:r>
      <w:r>
        <w:t xml:space="preserve">, </w:t>
      </w:r>
      <w:r w:rsidRPr="008245A0">
        <w:t>1988</w:t>
      </w:r>
      <w:r>
        <w:t>, pp. 559-560</w:t>
      </w:r>
      <w:bookmarkEnd w:id="11"/>
      <w:r>
        <w:t>.</w:t>
      </w:r>
    </w:p>
  </w:footnote>
  <w:footnote w:id="24">
    <w:p w14:paraId="6D520485" w14:textId="5640AA70" w:rsidR="00877909" w:rsidRPr="00EC5B59" w:rsidRDefault="00877909" w:rsidP="00D86928">
      <w:pPr>
        <w:pStyle w:val="Textodenotaderodap"/>
        <w:spacing w:line="240" w:lineRule="auto"/>
      </w:pPr>
      <w:r>
        <w:rPr>
          <w:rStyle w:val="Refdenotaderodap"/>
        </w:rPr>
        <w:footnoteRef/>
      </w:r>
      <w:r>
        <w:t xml:space="preserve"> </w:t>
      </w:r>
      <w:r w:rsidR="007B7C3E" w:rsidRPr="00EC5B59">
        <w:rPr>
          <w:rStyle w:val="nfase"/>
          <w:i w:val="0"/>
          <w:iCs w:val="0"/>
          <w:shd w:val="clear" w:color="auto" w:fill="FFFFFF"/>
        </w:rPr>
        <w:t>Freitas</w:t>
      </w:r>
      <w:r w:rsidR="007B7C3E" w:rsidRPr="00EC5B59">
        <w:rPr>
          <w:shd w:val="clear" w:color="auto" w:fill="FFFFFF"/>
        </w:rPr>
        <w:t>, </w:t>
      </w:r>
      <w:r w:rsidR="007B7C3E" w:rsidRPr="00EC5B59">
        <w:rPr>
          <w:rStyle w:val="nfase"/>
          <w:i w:val="0"/>
          <w:iCs w:val="0"/>
          <w:shd w:val="clear" w:color="auto" w:fill="FFFFFF"/>
        </w:rPr>
        <w:t>Isabel Vaz</w:t>
      </w:r>
      <w:r w:rsidR="007B7C3E" w:rsidRPr="00EC5B59">
        <w:rPr>
          <w:shd w:val="clear" w:color="auto" w:fill="FFFFFF"/>
        </w:rPr>
        <w:t> de. Mercadores entre Portugal e Castela na Idade Média. TREA. 2009.</w:t>
      </w:r>
    </w:p>
  </w:footnote>
  <w:footnote w:id="25">
    <w:p w14:paraId="00B00124" w14:textId="1DBB256D" w:rsidR="00877909" w:rsidRDefault="00877909" w:rsidP="00D86928">
      <w:pPr>
        <w:pStyle w:val="Textodenotaderodap"/>
        <w:spacing w:line="240" w:lineRule="auto"/>
      </w:pPr>
      <w:r>
        <w:rPr>
          <w:rStyle w:val="Refdenotaderodap"/>
        </w:rPr>
        <w:footnoteRef/>
      </w:r>
      <w:r>
        <w:t xml:space="preserve"> </w:t>
      </w:r>
      <w:r w:rsidR="00D86928" w:rsidRPr="00D86928">
        <w:rPr>
          <w:i/>
          <w:iCs/>
        </w:rPr>
        <w:t>Ordenações Afonsinas</w:t>
      </w:r>
      <w:r w:rsidR="00D86928">
        <w:t>,</w:t>
      </w:r>
      <w:r w:rsidR="00D86928" w:rsidRPr="001B1B69">
        <w:t xml:space="preserve"> Vol. I a V. Fundação Calouste Gulbenkian</w:t>
      </w:r>
      <w:r w:rsidR="00D86928">
        <w:t xml:space="preserve">, </w:t>
      </w:r>
      <w:r w:rsidR="00D86928" w:rsidRPr="001B1B69">
        <w:t>Lisboa</w:t>
      </w:r>
      <w:r w:rsidR="00D86928">
        <w:t xml:space="preserve">, </w:t>
      </w:r>
      <w:r w:rsidR="00D86928" w:rsidRPr="001B1B69">
        <w:t>1984</w:t>
      </w:r>
      <w:r w:rsidR="00D86928">
        <w:t>.</w:t>
      </w:r>
    </w:p>
  </w:footnote>
  <w:footnote w:id="26">
    <w:p w14:paraId="122525CA" w14:textId="4351536E" w:rsidR="00877909" w:rsidRDefault="00877909" w:rsidP="00D86928">
      <w:pPr>
        <w:pStyle w:val="Textodenotaderodap"/>
        <w:spacing w:line="240" w:lineRule="auto"/>
      </w:pPr>
      <w:r>
        <w:rPr>
          <w:rStyle w:val="Refdenotaderodap"/>
        </w:rPr>
        <w:footnoteRef/>
      </w:r>
      <w:r>
        <w:t xml:space="preserve"> </w:t>
      </w:r>
      <w:bookmarkStart w:id="12" w:name="_Hlk163977274"/>
      <w:r w:rsidR="00D86928">
        <w:t>A. H. OLIVEIRA MARQUES,</w:t>
      </w:r>
      <w:r w:rsidR="00D86928" w:rsidRPr="00D86928">
        <w:t xml:space="preserve"> </w:t>
      </w:r>
      <w:r w:rsidR="00D86928" w:rsidRPr="00D86928">
        <w:rPr>
          <w:i/>
          <w:iCs/>
        </w:rPr>
        <w:t>A sociedade medieval portuguesa</w:t>
      </w:r>
      <w:r w:rsidR="00D86928">
        <w:t>,</w:t>
      </w:r>
      <w:r w:rsidR="00D86928" w:rsidRPr="00D86928">
        <w:t xml:space="preserve"> 4.ª ed</w:t>
      </w:r>
      <w:r w:rsidR="00D86928">
        <w:t>,</w:t>
      </w:r>
      <w:r w:rsidR="00D86928" w:rsidRPr="00D86928">
        <w:t xml:space="preserve"> Livraria Sá e Costa Editora</w:t>
      </w:r>
      <w:r w:rsidR="00D86928">
        <w:t xml:space="preserve">, </w:t>
      </w:r>
      <w:r w:rsidR="00D86928" w:rsidRPr="00D86928">
        <w:t>1981</w:t>
      </w:r>
      <w:bookmarkEnd w:id="12"/>
      <w:r w:rsidR="00E60C76">
        <w:t>, p. 105</w:t>
      </w:r>
      <w:r w:rsidR="002723D5">
        <w:t>.</w:t>
      </w:r>
    </w:p>
  </w:footnote>
  <w:footnote w:id="27">
    <w:p w14:paraId="1D2E933C" w14:textId="598DBE0B" w:rsidR="00D86928" w:rsidRDefault="00D86928" w:rsidP="00D86928">
      <w:pPr>
        <w:pStyle w:val="Textodenotaderodap"/>
        <w:spacing w:line="240" w:lineRule="auto"/>
      </w:pPr>
      <w:r>
        <w:rPr>
          <w:rStyle w:val="Refdenotaderodap"/>
        </w:rPr>
        <w:footnoteRef/>
      </w:r>
      <w:r>
        <w:t xml:space="preserve"> </w:t>
      </w:r>
      <w:r w:rsidRPr="00D86928">
        <w:rPr>
          <w:i/>
          <w:iCs/>
        </w:rPr>
        <w:t>Ordenações Afonsinas</w:t>
      </w:r>
      <w:r>
        <w:t>,</w:t>
      </w:r>
      <w:r w:rsidRPr="001B1B69">
        <w:t xml:space="preserve"> Vol. I a V. Fundação Calouste Gulbenkian</w:t>
      </w:r>
      <w:r>
        <w:t xml:space="preserve">, </w:t>
      </w:r>
      <w:r w:rsidRPr="001B1B69">
        <w:t>Lisboa</w:t>
      </w:r>
      <w:r>
        <w:t xml:space="preserve">, </w:t>
      </w:r>
      <w:r w:rsidRPr="001B1B69">
        <w:t>1984</w:t>
      </w:r>
      <w:r>
        <w:t>, Livro I, título XXXIX.</w:t>
      </w:r>
    </w:p>
  </w:footnote>
  <w:footnote w:id="28">
    <w:p w14:paraId="16CE557C" w14:textId="0CFF26BC" w:rsidR="00D86928" w:rsidRDefault="00D86928" w:rsidP="00D86928">
      <w:pPr>
        <w:pStyle w:val="Textodenotaderodap"/>
        <w:spacing w:line="240" w:lineRule="auto"/>
      </w:pPr>
      <w:r>
        <w:rPr>
          <w:rStyle w:val="Refdenotaderodap"/>
        </w:rPr>
        <w:footnoteRef/>
      </w:r>
      <w:r>
        <w:t xml:space="preserve"> </w:t>
      </w:r>
      <w:r w:rsidRPr="00D86928">
        <w:rPr>
          <w:i/>
          <w:iCs/>
        </w:rPr>
        <w:t>Ordenações Afonsinas</w:t>
      </w:r>
      <w:r>
        <w:t>,</w:t>
      </w:r>
      <w:r w:rsidRPr="001B1B69">
        <w:t xml:space="preserve"> Vol. I a V. Fundação Calouste Gulbenkian</w:t>
      </w:r>
      <w:r>
        <w:t xml:space="preserve">, </w:t>
      </w:r>
      <w:r w:rsidRPr="001B1B69">
        <w:t>Lisboa</w:t>
      </w:r>
      <w:r>
        <w:t xml:space="preserve">, </w:t>
      </w:r>
      <w:r w:rsidRPr="001B1B69">
        <w:t>1984</w:t>
      </w:r>
      <w:r>
        <w:t>, Livro I, XXXVIII.</w:t>
      </w:r>
    </w:p>
  </w:footnote>
  <w:footnote w:id="29">
    <w:p w14:paraId="69DB4D51" w14:textId="23BBDB1F" w:rsidR="00D86928" w:rsidRDefault="00D86928" w:rsidP="00D86928">
      <w:pPr>
        <w:pStyle w:val="Textodenotaderodap"/>
        <w:spacing w:line="240" w:lineRule="auto"/>
      </w:pPr>
      <w:r>
        <w:rPr>
          <w:rStyle w:val="Refdenotaderodap"/>
        </w:rPr>
        <w:footnoteRef/>
      </w:r>
      <w:r>
        <w:t xml:space="preserve"> </w:t>
      </w:r>
      <w:r w:rsidRPr="00D86928">
        <w:rPr>
          <w:i/>
          <w:iCs/>
        </w:rPr>
        <w:t>Ordenações Afonsinas</w:t>
      </w:r>
      <w:r>
        <w:t>,</w:t>
      </w:r>
      <w:r w:rsidRPr="001B1B69">
        <w:t xml:space="preserve"> Vol. I a V. Fundação Calouste Gulbenkian</w:t>
      </w:r>
      <w:r>
        <w:t xml:space="preserve">, </w:t>
      </w:r>
      <w:r w:rsidRPr="001B1B69">
        <w:t>Lisboa</w:t>
      </w:r>
      <w:r>
        <w:t xml:space="preserve">, </w:t>
      </w:r>
      <w:r w:rsidRPr="001B1B69">
        <w:t>1984</w:t>
      </w:r>
      <w:r>
        <w:t>, Livro V, XXVII.</w:t>
      </w:r>
    </w:p>
  </w:footnote>
  <w:footnote w:id="30">
    <w:p w14:paraId="56B2075E" w14:textId="2C388138" w:rsidR="00DC55D2" w:rsidRPr="0051670C" w:rsidRDefault="00DC55D2" w:rsidP="00D86928">
      <w:pPr>
        <w:pStyle w:val="Textodenotaderodap"/>
        <w:spacing w:line="240" w:lineRule="auto"/>
      </w:pPr>
      <w:r w:rsidRPr="0051670C">
        <w:rPr>
          <w:rStyle w:val="Refdenotaderodap"/>
        </w:rPr>
        <w:footnoteRef/>
      </w:r>
      <w:r w:rsidRPr="0051670C">
        <w:t xml:space="preserve"> </w:t>
      </w:r>
      <w:r w:rsidR="00D86928">
        <w:t xml:space="preserve">Joaquim Silva </w:t>
      </w:r>
      <w:r w:rsidRPr="0051670C">
        <w:t>CUNHA</w:t>
      </w:r>
      <w:r w:rsidR="00D86928">
        <w:t>,</w:t>
      </w:r>
      <w:r w:rsidRPr="0051670C">
        <w:t xml:space="preserve"> </w:t>
      </w:r>
      <w:r w:rsidRPr="0051670C">
        <w:rPr>
          <w:i/>
          <w:iCs/>
        </w:rPr>
        <w:t>História das Instituições</w:t>
      </w:r>
      <w:r w:rsidR="00D86928">
        <w:t>,</w:t>
      </w:r>
      <w:r w:rsidRPr="0051670C">
        <w:t xml:space="preserve"> Aulas Teóricas. Vol. I, 1.ª ed.</w:t>
      </w:r>
      <w:r w:rsidR="00D86928">
        <w:t>, Porto, Universidade Portucalense, 1994</w:t>
      </w:r>
      <w:r w:rsidRPr="0051670C">
        <w:t>, p. 680.</w:t>
      </w:r>
    </w:p>
  </w:footnote>
  <w:footnote w:id="31">
    <w:p w14:paraId="34FDA512" w14:textId="094131BE" w:rsidR="00DC55D2" w:rsidRPr="0051670C" w:rsidRDefault="00DC55D2" w:rsidP="00D86928">
      <w:pPr>
        <w:pStyle w:val="Textodenotaderodap"/>
        <w:spacing w:line="240" w:lineRule="auto"/>
      </w:pPr>
      <w:r w:rsidRPr="0051670C">
        <w:rPr>
          <w:rStyle w:val="Refdenotaderodap"/>
        </w:rPr>
        <w:footnoteRef/>
      </w:r>
      <w:r w:rsidRPr="0051670C">
        <w:t xml:space="preserve"> A Carta ou Carta de Lei começava com o nome próprio do rei, continham disposições destinadas a vigorar mais de 1 ano e na assinatura, o título do soberano vem precedido de “o Rei”. Difere do Alvará, que começa com a expressão “Eu El-Rei”, com disposições com vigência não superior a 1 ano e, na assinatura, o título do soberano vem sem artigo “Rei”. Diplomas diferentes, ambos passavam na Chancelaria. Mas cedo deixaram de se observar estas diferenças, confundindo-se e surgindo os Alvarás de Lei.</w:t>
      </w:r>
      <w:r w:rsidR="004846E9">
        <w:t xml:space="preserve"> Cf. </w:t>
      </w:r>
      <w:bookmarkStart w:id="13" w:name="_Hlk163977258"/>
      <w:r w:rsidRPr="0051670C">
        <w:t xml:space="preserve">CUNHA, Joaquim Silva. </w:t>
      </w:r>
      <w:r w:rsidRPr="0051670C">
        <w:rPr>
          <w:i/>
          <w:iCs/>
        </w:rPr>
        <w:t>História das Instituições</w:t>
      </w:r>
      <w:r w:rsidRPr="0051670C">
        <w:t xml:space="preserve">. Aulas Teóricas. Vol. II, 1.ª ed., </w:t>
      </w:r>
      <w:r w:rsidR="00D86928">
        <w:t>Porto, Universidade Portucalense, 1994</w:t>
      </w:r>
      <w:bookmarkEnd w:id="13"/>
      <w:r w:rsidR="00D86928">
        <w:t xml:space="preserve">, </w:t>
      </w:r>
      <w:r w:rsidRPr="0051670C">
        <w:t>p. 868, e, na 2.ª ed., p. 602.</w:t>
      </w:r>
    </w:p>
  </w:footnote>
  <w:footnote w:id="32">
    <w:p w14:paraId="2BFD2F43" w14:textId="48A150E6" w:rsidR="00D86928" w:rsidRDefault="00D86928" w:rsidP="00D86928">
      <w:pPr>
        <w:pStyle w:val="Textodenotaderodap"/>
        <w:spacing w:line="240" w:lineRule="auto"/>
      </w:pPr>
      <w:r>
        <w:rPr>
          <w:rStyle w:val="Refdenotaderodap"/>
        </w:rPr>
        <w:footnoteRef/>
      </w:r>
      <w:r>
        <w:t xml:space="preserve"> </w:t>
      </w:r>
      <w:r w:rsidRPr="00D86928">
        <w:rPr>
          <w:i/>
          <w:iCs/>
        </w:rPr>
        <w:t>Ordenações Afonsinas</w:t>
      </w:r>
      <w:r>
        <w:t>,</w:t>
      </w:r>
      <w:r w:rsidRPr="001B1B69">
        <w:t xml:space="preserve"> Vol. I a V. Fundação Calouste Gulbenkian</w:t>
      </w:r>
      <w:r>
        <w:t xml:space="preserve">, </w:t>
      </w:r>
      <w:r w:rsidRPr="001B1B69">
        <w:t>Lisboa</w:t>
      </w:r>
      <w:r>
        <w:t xml:space="preserve">, </w:t>
      </w:r>
      <w:r w:rsidRPr="001B1B69">
        <w:t>1984</w:t>
      </w:r>
      <w:r>
        <w:t xml:space="preserve">, </w:t>
      </w:r>
      <w:r w:rsidRPr="00D86928">
        <w:t>Livro I, Título XXXVIII</w:t>
      </w:r>
      <w:r>
        <w:t>.</w:t>
      </w:r>
    </w:p>
  </w:footnote>
  <w:footnote w:id="33">
    <w:p w14:paraId="0DF68F9D" w14:textId="2E2225E2" w:rsidR="00D86928" w:rsidRDefault="00D86928" w:rsidP="00D86928">
      <w:pPr>
        <w:pStyle w:val="Textodenotaderodap"/>
        <w:spacing w:line="240" w:lineRule="auto"/>
      </w:pPr>
      <w:r>
        <w:rPr>
          <w:rStyle w:val="Refdenotaderodap"/>
        </w:rPr>
        <w:footnoteRef/>
      </w:r>
      <w:r>
        <w:t xml:space="preserve"> </w:t>
      </w:r>
      <w:r w:rsidRPr="00D86928">
        <w:rPr>
          <w:i/>
          <w:iCs/>
        </w:rPr>
        <w:t>Ordenações Afonsinas</w:t>
      </w:r>
      <w:r>
        <w:t>,</w:t>
      </w:r>
      <w:r w:rsidRPr="001B1B69">
        <w:t xml:space="preserve"> Vol. I a V. Fundação Calouste Gulbenkian</w:t>
      </w:r>
      <w:r>
        <w:t xml:space="preserve">, </w:t>
      </w:r>
      <w:r w:rsidRPr="001B1B69">
        <w:t>Lisboa</w:t>
      </w:r>
      <w:r>
        <w:t xml:space="preserve">, </w:t>
      </w:r>
      <w:r w:rsidRPr="001B1B69">
        <w:t>1984</w:t>
      </w:r>
      <w:r>
        <w:t>,</w:t>
      </w:r>
      <w:r w:rsidRPr="00D86928">
        <w:t xml:space="preserve"> Livro I, Título XXXIX</w:t>
      </w:r>
      <w:r>
        <w:t>.</w:t>
      </w:r>
    </w:p>
  </w:footnote>
  <w:footnote w:id="34">
    <w:p w14:paraId="32FD827A" w14:textId="259CBF4A" w:rsidR="00D86928" w:rsidRDefault="00D86928" w:rsidP="00D86928">
      <w:pPr>
        <w:pStyle w:val="Textodenotaderodap"/>
        <w:spacing w:line="240" w:lineRule="auto"/>
      </w:pPr>
      <w:r>
        <w:rPr>
          <w:rStyle w:val="Refdenotaderodap"/>
        </w:rPr>
        <w:footnoteRef/>
      </w:r>
      <w:r>
        <w:t xml:space="preserve"> </w:t>
      </w:r>
      <w:r w:rsidRPr="00D86928">
        <w:rPr>
          <w:i/>
          <w:iCs/>
        </w:rPr>
        <w:t>Ordenações Afonsinas</w:t>
      </w:r>
      <w:r>
        <w:t>,</w:t>
      </w:r>
      <w:r w:rsidRPr="001B1B69">
        <w:t xml:space="preserve"> Vol. I a V. Fundação Calouste Gulbenkian</w:t>
      </w:r>
      <w:r>
        <w:t xml:space="preserve">, </w:t>
      </w:r>
      <w:r w:rsidRPr="001B1B69">
        <w:t>Lisboa</w:t>
      </w:r>
      <w:r>
        <w:t xml:space="preserve">, </w:t>
      </w:r>
      <w:r w:rsidRPr="001B1B69">
        <w:t>1984</w:t>
      </w:r>
      <w:r>
        <w:t xml:space="preserve">, </w:t>
      </w:r>
      <w:r w:rsidRPr="00D86928">
        <w:t>Livro I, Título LXXIII</w:t>
      </w:r>
      <w:r>
        <w:t>.</w:t>
      </w:r>
    </w:p>
  </w:footnote>
  <w:footnote w:id="35">
    <w:p w14:paraId="24891067" w14:textId="732C47DC" w:rsidR="00D86928" w:rsidRDefault="00D86928" w:rsidP="00D86928">
      <w:pPr>
        <w:pStyle w:val="Textodenotaderodap"/>
        <w:spacing w:line="240" w:lineRule="auto"/>
      </w:pPr>
      <w:r>
        <w:rPr>
          <w:rStyle w:val="Refdenotaderodap"/>
        </w:rPr>
        <w:footnoteRef/>
      </w:r>
      <w:r>
        <w:t xml:space="preserve"> </w:t>
      </w:r>
      <w:bookmarkStart w:id="15" w:name="_Hlk163974861"/>
      <w:r w:rsidRPr="00D86928">
        <w:rPr>
          <w:i/>
          <w:iCs/>
        </w:rPr>
        <w:t>Ordenações Afonsinas</w:t>
      </w:r>
      <w:r>
        <w:t>,</w:t>
      </w:r>
      <w:r w:rsidRPr="001B1B69">
        <w:t xml:space="preserve"> Vol. I a V. Fundação Calouste Gulbenkian</w:t>
      </w:r>
      <w:r>
        <w:t xml:space="preserve">, </w:t>
      </w:r>
      <w:r w:rsidRPr="001B1B69">
        <w:t>Lisboa</w:t>
      </w:r>
      <w:r>
        <w:t xml:space="preserve">, </w:t>
      </w:r>
      <w:r w:rsidRPr="001B1B69">
        <w:t>1984</w:t>
      </w:r>
      <w:r>
        <w:t xml:space="preserve">, </w:t>
      </w:r>
      <w:r w:rsidRPr="00D86928">
        <w:t>Livro I,</w:t>
      </w:r>
      <w:bookmarkEnd w:id="15"/>
      <w:r w:rsidRPr="00D86928">
        <w:t xml:space="preserve"> Título LXVII</w:t>
      </w:r>
      <w:r>
        <w:t>.</w:t>
      </w:r>
    </w:p>
  </w:footnote>
  <w:footnote w:id="36">
    <w:p w14:paraId="50F548A1" w14:textId="685115EE" w:rsidR="00485BD2" w:rsidRDefault="00485BD2">
      <w:pPr>
        <w:pStyle w:val="Textodenotaderodap"/>
      </w:pPr>
      <w:r>
        <w:rPr>
          <w:rStyle w:val="Refdenotaderodap"/>
        </w:rPr>
        <w:footnoteRef/>
      </w:r>
      <w:r>
        <w:t xml:space="preserve"> </w:t>
      </w:r>
      <w:r w:rsidRPr="00485BD2">
        <w:t xml:space="preserve">Ordenações Afonsinas, Vol. I a V. Fundação Calouste Gulbenkian, Lisboa, 1984, Livro </w:t>
      </w:r>
      <w:r>
        <w:t xml:space="preserve">I, </w:t>
      </w:r>
      <w:proofErr w:type="spellStart"/>
      <w:r>
        <w:t>Tìtulo</w:t>
      </w:r>
      <w:proofErr w:type="spellEnd"/>
      <w:r>
        <w:t xml:space="preserve"> LXVII.</w:t>
      </w:r>
    </w:p>
  </w:footnote>
  <w:footnote w:id="37">
    <w:p w14:paraId="61B12129" w14:textId="66A0013A" w:rsidR="00485BD2" w:rsidRDefault="00485BD2">
      <w:pPr>
        <w:pStyle w:val="Textodenotaderodap"/>
      </w:pPr>
      <w:r>
        <w:rPr>
          <w:rStyle w:val="Refdenotaderodap"/>
        </w:rPr>
        <w:footnoteRef/>
      </w:r>
      <w:r>
        <w:t xml:space="preserve"> </w:t>
      </w:r>
      <w:r w:rsidRPr="00D86928">
        <w:rPr>
          <w:i/>
          <w:iCs/>
        </w:rPr>
        <w:t>Ordenações Afonsinas</w:t>
      </w:r>
      <w:r>
        <w:t>,</w:t>
      </w:r>
      <w:r w:rsidRPr="001B1B69">
        <w:t xml:space="preserve"> Vol. I a V. Fundação Calouste Gulbenkian</w:t>
      </w:r>
      <w:r>
        <w:t xml:space="preserve">, </w:t>
      </w:r>
      <w:r w:rsidRPr="001B1B69">
        <w:t>Lisboa</w:t>
      </w:r>
      <w:r>
        <w:t xml:space="preserve">, </w:t>
      </w:r>
      <w:r w:rsidRPr="001B1B69">
        <w:t>1984</w:t>
      </w:r>
      <w:r>
        <w:t xml:space="preserve">, </w:t>
      </w:r>
      <w:r w:rsidRPr="00D86928">
        <w:t>Livro I,</w:t>
      </w:r>
      <w:r>
        <w:t xml:space="preserve"> Título LXVII.</w:t>
      </w:r>
    </w:p>
  </w:footnote>
  <w:footnote w:id="38">
    <w:p w14:paraId="53248A23" w14:textId="1A18E73D" w:rsidR="00485BD2" w:rsidRDefault="00485BD2">
      <w:pPr>
        <w:pStyle w:val="Textodenotaderodap"/>
      </w:pPr>
      <w:r>
        <w:rPr>
          <w:rStyle w:val="Refdenotaderodap"/>
        </w:rPr>
        <w:footnoteRef/>
      </w:r>
      <w:r>
        <w:t xml:space="preserve"> </w:t>
      </w:r>
      <w:r w:rsidRPr="00D86928">
        <w:rPr>
          <w:i/>
          <w:iCs/>
        </w:rPr>
        <w:t>Ordenações Afonsinas</w:t>
      </w:r>
      <w:r>
        <w:t>,</w:t>
      </w:r>
      <w:r w:rsidRPr="001B1B69">
        <w:t xml:space="preserve"> Vol. I a V. Fundação Calouste Gulbenkian</w:t>
      </w:r>
      <w:r>
        <w:t xml:space="preserve">, </w:t>
      </w:r>
      <w:r w:rsidRPr="001B1B69">
        <w:t>Lisboa</w:t>
      </w:r>
      <w:r>
        <w:t xml:space="preserve">, </w:t>
      </w:r>
      <w:r w:rsidRPr="001B1B69">
        <w:t>1984</w:t>
      </w:r>
      <w:r>
        <w:t xml:space="preserve">, </w:t>
      </w:r>
      <w:r w:rsidRPr="00D86928">
        <w:t>Livro I,</w:t>
      </w:r>
      <w:r>
        <w:t xml:space="preserve"> Título LXVII</w:t>
      </w:r>
    </w:p>
  </w:footnote>
  <w:footnote w:id="39">
    <w:p w14:paraId="62D9113A" w14:textId="6BE632E6" w:rsidR="00485BD2" w:rsidRDefault="00485BD2">
      <w:pPr>
        <w:pStyle w:val="Textodenotaderodap"/>
      </w:pPr>
      <w:r>
        <w:rPr>
          <w:rStyle w:val="Refdenotaderodap"/>
        </w:rPr>
        <w:footnoteRef/>
      </w:r>
      <w:r>
        <w:t xml:space="preserve"> </w:t>
      </w:r>
      <w:r w:rsidRPr="00D86928">
        <w:rPr>
          <w:i/>
          <w:iCs/>
        </w:rPr>
        <w:t>Ordenações Afonsinas</w:t>
      </w:r>
      <w:r>
        <w:t>,</w:t>
      </w:r>
      <w:r w:rsidRPr="001B1B69">
        <w:t xml:space="preserve"> Vol. I a V. Fundação Calouste Gulbenkian</w:t>
      </w:r>
      <w:r>
        <w:t xml:space="preserve">, </w:t>
      </w:r>
      <w:r w:rsidRPr="001B1B69">
        <w:t>Lisboa</w:t>
      </w:r>
      <w:r>
        <w:t xml:space="preserve">, </w:t>
      </w:r>
      <w:r w:rsidRPr="001B1B69">
        <w:t>1984</w:t>
      </w:r>
      <w:r>
        <w:t xml:space="preserve">, </w:t>
      </w:r>
      <w:r w:rsidRPr="00D86928">
        <w:t>Livro I</w:t>
      </w:r>
      <w:r>
        <w:t>V</w:t>
      </w:r>
      <w:r w:rsidRPr="00D86928">
        <w:t>,</w:t>
      </w:r>
      <w:r>
        <w:t xml:space="preserve"> Livro LXXII</w:t>
      </w:r>
    </w:p>
  </w:footnote>
  <w:footnote w:id="40">
    <w:p w14:paraId="46FED5B4" w14:textId="1942C22D" w:rsidR="00485BD2" w:rsidRDefault="00485BD2">
      <w:pPr>
        <w:pStyle w:val="Textodenotaderodap"/>
      </w:pPr>
      <w:r>
        <w:rPr>
          <w:rStyle w:val="Refdenotaderodap"/>
        </w:rPr>
        <w:footnoteRef/>
      </w:r>
      <w:r>
        <w:t xml:space="preserve"> </w:t>
      </w:r>
      <w:r w:rsidRPr="00D86928">
        <w:rPr>
          <w:i/>
          <w:iCs/>
        </w:rPr>
        <w:t>Ordenações Afonsinas</w:t>
      </w:r>
      <w:r>
        <w:t>,</w:t>
      </w:r>
      <w:r w:rsidRPr="001B1B69">
        <w:t xml:space="preserve"> Vol. I a V. Fundação Calouste Gulbenkian</w:t>
      </w:r>
      <w:r>
        <w:t xml:space="preserve">, </w:t>
      </w:r>
      <w:r w:rsidRPr="001B1B69">
        <w:t>Lisboa</w:t>
      </w:r>
      <w:r>
        <w:t xml:space="preserve">, </w:t>
      </w:r>
      <w:r w:rsidRPr="001B1B69">
        <w:t>1984</w:t>
      </w:r>
      <w:r>
        <w:t xml:space="preserve">, </w:t>
      </w:r>
      <w:r w:rsidRPr="00D86928">
        <w:t xml:space="preserve">Livro </w:t>
      </w:r>
      <w:r>
        <w:t>V, Título XXXII.</w:t>
      </w:r>
    </w:p>
  </w:footnote>
  <w:footnote w:id="41">
    <w:p w14:paraId="0C6DD546" w14:textId="3A6C4B2B" w:rsidR="00485BD2" w:rsidRDefault="00485BD2">
      <w:pPr>
        <w:pStyle w:val="Textodenotaderodap"/>
      </w:pPr>
      <w:r>
        <w:rPr>
          <w:rStyle w:val="Refdenotaderodap"/>
        </w:rPr>
        <w:footnoteRef/>
      </w:r>
      <w:r>
        <w:t xml:space="preserve"> </w:t>
      </w:r>
      <w:bookmarkStart w:id="16" w:name="_Hlk163977242"/>
      <w:r w:rsidRPr="00D86928">
        <w:rPr>
          <w:i/>
          <w:iCs/>
        </w:rPr>
        <w:t>Ordenações Afonsinas</w:t>
      </w:r>
      <w:r>
        <w:t>,</w:t>
      </w:r>
      <w:r w:rsidRPr="001B1B69">
        <w:t xml:space="preserve"> Vol. I a V. Fundação Calouste Gulbenkian</w:t>
      </w:r>
      <w:r>
        <w:t xml:space="preserve">, </w:t>
      </w:r>
      <w:r w:rsidRPr="001B1B69">
        <w:t>Lisboa</w:t>
      </w:r>
      <w:r>
        <w:t xml:space="preserve">, </w:t>
      </w:r>
      <w:r w:rsidRPr="001B1B69">
        <w:t>1984</w:t>
      </w:r>
      <w:bookmarkEnd w:id="16"/>
      <w:r>
        <w:t xml:space="preserve">, </w:t>
      </w:r>
      <w:r w:rsidRPr="00D86928">
        <w:t xml:space="preserve">Livro </w:t>
      </w:r>
      <w:r>
        <w:t>V, Título LXXXVI.</w:t>
      </w:r>
    </w:p>
  </w:footnote>
  <w:footnote w:id="42">
    <w:p w14:paraId="0F142ED3" w14:textId="335E8EA9" w:rsidR="00485BD2" w:rsidRDefault="00485BD2">
      <w:pPr>
        <w:pStyle w:val="Textodenotaderodap"/>
      </w:pPr>
      <w:r>
        <w:rPr>
          <w:rStyle w:val="Refdenotaderodap"/>
        </w:rPr>
        <w:footnoteRef/>
      </w:r>
      <w:r>
        <w:t xml:space="preserve"> </w:t>
      </w:r>
      <w:r w:rsidRPr="00D86928">
        <w:rPr>
          <w:i/>
          <w:iCs/>
        </w:rPr>
        <w:t>Ordenações Afonsinas</w:t>
      </w:r>
      <w:r>
        <w:t>,</w:t>
      </w:r>
      <w:r w:rsidRPr="001B1B69">
        <w:t xml:space="preserve"> Vol. I a V. Fundação Calouste Gulbenkian</w:t>
      </w:r>
      <w:r>
        <w:t xml:space="preserve">, </w:t>
      </w:r>
      <w:r w:rsidRPr="001B1B69">
        <w:t>Lisboa</w:t>
      </w:r>
      <w:r>
        <w:t xml:space="preserve">, </w:t>
      </w:r>
      <w:r w:rsidRPr="001B1B69">
        <w:t>1984</w:t>
      </w:r>
      <w:r>
        <w:t xml:space="preserve">, </w:t>
      </w:r>
      <w:r w:rsidRPr="00D86928">
        <w:t xml:space="preserve">Livro </w:t>
      </w:r>
      <w:r>
        <w:t>V, LXXXVII</w:t>
      </w:r>
    </w:p>
  </w:footnote>
  <w:footnote w:id="43">
    <w:p w14:paraId="56973029" w14:textId="1F57CE35" w:rsidR="0019216F" w:rsidRPr="004846E9" w:rsidRDefault="0019216F" w:rsidP="004846E9">
      <w:pPr>
        <w:pStyle w:val="Textodenotaderodap"/>
        <w:spacing w:line="240" w:lineRule="auto"/>
      </w:pPr>
      <w:r w:rsidRPr="004846E9">
        <w:rPr>
          <w:rStyle w:val="Refdenotaderodap"/>
        </w:rPr>
        <w:footnoteRef/>
      </w:r>
      <w:r w:rsidRPr="004846E9">
        <w:t xml:space="preserve"> </w:t>
      </w:r>
      <w:bookmarkStart w:id="17" w:name="_Hlk163977223"/>
      <w:r w:rsidR="00485BD2">
        <w:t xml:space="preserve">C. ALBUQUERQUE, </w:t>
      </w:r>
      <w:proofErr w:type="gramStart"/>
      <w:r w:rsidR="00485BD2" w:rsidRPr="00154918">
        <w:rPr>
          <w:i/>
          <w:iCs/>
        </w:rPr>
        <w:t>O</w:t>
      </w:r>
      <w:r w:rsidRPr="00154918">
        <w:rPr>
          <w:i/>
          <w:iCs/>
        </w:rPr>
        <w:t>s</w:t>
      </w:r>
      <w:proofErr w:type="gramEnd"/>
      <w:r w:rsidRPr="00154918">
        <w:rPr>
          <w:i/>
          <w:iCs/>
        </w:rPr>
        <w:t xml:space="preserve"> direitos da criança: as Nações Unidas, a Convenção e o Comité</w:t>
      </w:r>
      <w:r w:rsidRPr="004846E9">
        <w:t>. Ministério Público. Gabinete de Documentação e Direito Comparado</w:t>
      </w:r>
      <w:r w:rsidR="00485BD2">
        <w:t xml:space="preserve">, </w:t>
      </w:r>
      <w:r w:rsidR="00154918">
        <w:t xml:space="preserve">Portugal, </w:t>
      </w:r>
      <w:r w:rsidR="00485BD2" w:rsidRPr="004846E9">
        <w:t>2001</w:t>
      </w:r>
      <w:r w:rsidR="00485BD2">
        <w:t>, disponível em:</w:t>
      </w:r>
      <w:r w:rsidRPr="004846E9">
        <w:t xml:space="preserve"> </w:t>
      </w:r>
      <w:hyperlink r:id="rId4" w:history="1">
        <w:r w:rsidRPr="004846E9">
          <w:rPr>
            <w:rStyle w:val="Hiperligao"/>
          </w:rPr>
          <w:t>https://gddc.ministeriopublico.pt/sites/default/files/os_direitos_crianca_catarina_albuquerque.pdf</w:t>
        </w:r>
      </w:hyperlink>
      <w:bookmarkEnd w:id="17"/>
    </w:p>
  </w:footnote>
  <w:footnote w:id="44">
    <w:p w14:paraId="6BD91749" w14:textId="23022545" w:rsidR="00780DD7" w:rsidRPr="004846E9" w:rsidRDefault="00780DD7" w:rsidP="004846E9">
      <w:pPr>
        <w:pStyle w:val="Textodenotaderodap"/>
        <w:spacing w:line="240" w:lineRule="auto"/>
      </w:pPr>
      <w:r w:rsidRPr="004846E9">
        <w:rPr>
          <w:rStyle w:val="Refdenotaderodap"/>
        </w:rPr>
        <w:footnoteRef/>
      </w:r>
      <w:r w:rsidRPr="004846E9">
        <w:t xml:space="preserve"> </w:t>
      </w:r>
      <w:bookmarkStart w:id="18" w:name="_Hlk163977213"/>
      <w:r w:rsidR="00154918">
        <w:t>D. R., ALVES</w:t>
      </w:r>
      <w:r w:rsidR="0019216F" w:rsidRPr="004846E9">
        <w:t xml:space="preserve"> &amp; </w:t>
      </w:r>
      <w:r w:rsidR="00154918">
        <w:t>D.S. CASTILHOS,</w:t>
      </w:r>
      <w:r w:rsidR="0019216F" w:rsidRPr="004846E9">
        <w:t xml:space="preserve"> </w:t>
      </w:r>
      <w:r w:rsidR="00154918">
        <w:t>“</w:t>
      </w:r>
      <w:r w:rsidR="0019216F" w:rsidRPr="004846E9">
        <w:t xml:space="preserve">A evolução dos direitos humanos na Europa: os principais momentos desde a ausência de direitos fundamentais na União Europeia até a </w:t>
      </w:r>
      <w:proofErr w:type="spellStart"/>
      <w:r w:rsidR="0019216F" w:rsidRPr="004846E9">
        <w:t>actualidade</w:t>
      </w:r>
      <w:proofErr w:type="spellEnd"/>
      <w:r w:rsidR="00154918">
        <w:t xml:space="preserve">”, in: </w:t>
      </w:r>
      <w:r w:rsidR="0019216F" w:rsidRPr="004846E9">
        <w:t>G. A. B</w:t>
      </w:r>
      <w:r w:rsidR="00154918">
        <w:t>EDIN</w:t>
      </w:r>
      <w:r w:rsidR="0019216F" w:rsidRPr="004846E9">
        <w:t xml:space="preserve">, </w:t>
      </w:r>
      <w:r w:rsidR="0019216F" w:rsidRPr="004846E9">
        <w:rPr>
          <w:i/>
          <w:iCs/>
        </w:rPr>
        <w:t>Cidadania, Justiça e Controle Social.</w:t>
      </w:r>
      <w:r w:rsidR="0019216F" w:rsidRPr="004846E9">
        <w:t xml:space="preserve"> </w:t>
      </w:r>
      <w:proofErr w:type="spellStart"/>
      <w:r w:rsidR="0019216F" w:rsidRPr="004846E9">
        <w:t>Essere</w:t>
      </w:r>
      <w:proofErr w:type="spellEnd"/>
      <w:r w:rsidR="0019216F" w:rsidRPr="004846E9">
        <w:t xml:space="preserve"> </w:t>
      </w:r>
      <w:proofErr w:type="spellStart"/>
      <w:r w:rsidR="0019216F" w:rsidRPr="004846E9">
        <w:t>nel</w:t>
      </w:r>
      <w:proofErr w:type="spellEnd"/>
      <w:r w:rsidR="0019216F" w:rsidRPr="004846E9">
        <w:t xml:space="preserve"> Mondo</w:t>
      </w:r>
      <w:r w:rsidR="00154918">
        <w:t xml:space="preserve">, 2016 disponível em: </w:t>
      </w:r>
      <w:hyperlink r:id="rId5" w:history="1">
        <w:r w:rsidR="00154918" w:rsidRPr="001C4D09">
          <w:rPr>
            <w:rStyle w:val="Hiperligao"/>
          </w:rPr>
          <w:t>http://hdl.handle.net/11328/1461</w:t>
        </w:r>
      </w:hyperlink>
      <w:bookmarkEnd w:id="18"/>
    </w:p>
  </w:footnote>
  <w:footnote w:id="45">
    <w:p w14:paraId="76684E0E" w14:textId="619423A4" w:rsidR="002E5282" w:rsidRPr="00C7060F" w:rsidRDefault="00780DD7" w:rsidP="004846E9">
      <w:pPr>
        <w:pStyle w:val="Textodenotaderodap"/>
        <w:spacing w:line="240" w:lineRule="auto"/>
        <w:rPr>
          <w:color w:val="343A40"/>
          <w:shd w:val="clear" w:color="auto" w:fill="FFFFFF"/>
        </w:rPr>
      </w:pPr>
      <w:r w:rsidRPr="004846E9">
        <w:rPr>
          <w:rStyle w:val="Refdenotaderodap"/>
        </w:rPr>
        <w:footnoteRef/>
      </w:r>
      <w:r w:rsidRPr="004846E9">
        <w:t xml:space="preserve"> </w:t>
      </w:r>
      <w:bookmarkStart w:id="19" w:name="_Hlk163977202"/>
      <w:r w:rsidR="00154918">
        <w:t>S. CARVALHO, D. R. ALVES, N. DURÃO, C. SANTOS-PEREIRA, S. TOMÁS, D. S. CASTILHOS, O. C. CARVALHO,</w:t>
      </w:r>
      <w:r w:rsidR="002E5282" w:rsidRPr="004846E9">
        <w:rPr>
          <w:shd w:val="clear" w:color="auto" w:fill="FFFFFF"/>
        </w:rPr>
        <w:t xml:space="preserve"> Convenção sobre os direitos da criança: Conhecimento e cumprimento. </w:t>
      </w:r>
      <w:r w:rsidR="002E5282" w:rsidRPr="004846E9">
        <w:rPr>
          <w:shd w:val="clear" w:color="auto" w:fill="FFFFFF"/>
          <w:lang w:val="es-ES_tradnl"/>
        </w:rPr>
        <w:t xml:space="preserve">In M. P. </w:t>
      </w:r>
      <w:r w:rsidR="00154918">
        <w:rPr>
          <w:shd w:val="clear" w:color="auto" w:fill="FFFFFF"/>
          <w:lang w:val="es-ES_tradnl"/>
        </w:rPr>
        <w:t xml:space="preserve">PANDO BALLESTEROS, </w:t>
      </w:r>
      <w:r w:rsidR="002E5282" w:rsidRPr="004846E9">
        <w:rPr>
          <w:shd w:val="clear" w:color="auto" w:fill="FFFFFF"/>
          <w:lang w:val="es-ES_tradnl"/>
        </w:rPr>
        <w:t xml:space="preserve">P. </w:t>
      </w:r>
      <w:r w:rsidR="00154918">
        <w:rPr>
          <w:shd w:val="clear" w:color="auto" w:fill="FFFFFF"/>
          <w:lang w:val="es-ES_tradnl"/>
        </w:rPr>
        <w:t xml:space="preserve">GARRIDO RODRÍGUEZ </w:t>
      </w:r>
      <w:r w:rsidR="002E5282" w:rsidRPr="004846E9">
        <w:rPr>
          <w:shd w:val="clear" w:color="auto" w:fill="FFFFFF"/>
          <w:lang w:val="es-ES_tradnl"/>
        </w:rPr>
        <w:t xml:space="preserve">&amp; A. </w:t>
      </w:r>
      <w:r w:rsidR="00154918">
        <w:rPr>
          <w:shd w:val="clear" w:color="auto" w:fill="FFFFFF"/>
          <w:lang w:val="es-ES_tradnl"/>
        </w:rPr>
        <w:t>MUÑOZ RAMÍREZ</w:t>
      </w:r>
      <w:r w:rsidR="002E5282" w:rsidRPr="004846E9">
        <w:rPr>
          <w:shd w:val="clear" w:color="auto" w:fill="FFFFFF"/>
          <w:lang w:val="es-ES_tradnl"/>
        </w:rPr>
        <w:t xml:space="preserve"> (eds.), </w:t>
      </w:r>
      <w:r w:rsidR="002E5282" w:rsidRPr="00154918">
        <w:rPr>
          <w:i/>
          <w:iCs/>
          <w:shd w:val="clear" w:color="auto" w:fill="FFFFFF"/>
          <w:lang w:val="es-ES_tradnl"/>
        </w:rPr>
        <w:t>El cincuentenario de los pactos internacionales de derechos humanos de la ONU</w:t>
      </w:r>
      <w:r w:rsidR="002E5282" w:rsidRPr="004846E9">
        <w:rPr>
          <w:shd w:val="clear" w:color="auto" w:fill="FFFFFF"/>
          <w:lang w:val="es-ES_tradnl"/>
        </w:rPr>
        <w:t xml:space="preserve">: Libro homenaje a la Profesora Maria Esther Martínez </w:t>
      </w:r>
      <w:proofErr w:type="spellStart"/>
      <w:r w:rsidR="002E5282" w:rsidRPr="004846E9">
        <w:rPr>
          <w:shd w:val="clear" w:color="auto" w:fill="FFFFFF"/>
          <w:lang w:val="es-ES_tradnl"/>
        </w:rPr>
        <w:t>Quinteiro</w:t>
      </w:r>
      <w:proofErr w:type="spellEnd"/>
      <w:r w:rsidR="00154918">
        <w:rPr>
          <w:shd w:val="clear" w:color="auto" w:fill="FFFFFF"/>
          <w:lang w:val="es-ES_tradnl"/>
        </w:rPr>
        <w:t xml:space="preserve">. </w:t>
      </w:r>
      <w:proofErr w:type="spellStart"/>
      <w:r w:rsidR="00154918" w:rsidRPr="00C7060F">
        <w:rPr>
          <w:shd w:val="clear" w:color="auto" w:fill="FFFFFF"/>
        </w:rPr>
        <w:t>Ediciones</w:t>
      </w:r>
      <w:proofErr w:type="spellEnd"/>
      <w:r w:rsidR="00154918" w:rsidRPr="00C7060F">
        <w:rPr>
          <w:shd w:val="clear" w:color="auto" w:fill="FFFFFF"/>
        </w:rPr>
        <w:t xml:space="preserve"> </w:t>
      </w:r>
      <w:proofErr w:type="spellStart"/>
      <w:r w:rsidR="00154918" w:rsidRPr="00C7060F">
        <w:rPr>
          <w:shd w:val="clear" w:color="auto" w:fill="FFFFFF"/>
        </w:rPr>
        <w:t>Universidad</w:t>
      </w:r>
      <w:proofErr w:type="spellEnd"/>
      <w:r w:rsidR="00154918" w:rsidRPr="00C7060F">
        <w:rPr>
          <w:shd w:val="clear" w:color="auto" w:fill="FFFFFF"/>
        </w:rPr>
        <w:t xml:space="preserve">, Salamanca, 2018, </w:t>
      </w:r>
      <w:r w:rsidR="002E5282" w:rsidRPr="00C7060F">
        <w:rPr>
          <w:shd w:val="clear" w:color="auto" w:fill="FFFFFF"/>
        </w:rPr>
        <w:t>pp. 1649-1660</w:t>
      </w:r>
      <w:r w:rsidR="00154918" w:rsidRPr="00C7060F">
        <w:rPr>
          <w:shd w:val="clear" w:color="auto" w:fill="FFFFFF"/>
        </w:rPr>
        <w:t>, d</w:t>
      </w:r>
      <w:r w:rsidR="002E5282" w:rsidRPr="00C7060F">
        <w:rPr>
          <w:shd w:val="clear" w:color="auto" w:fill="FFFFFF"/>
        </w:rPr>
        <w:t xml:space="preserve">isponível </w:t>
      </w:r>
      <w:r w:rsidR="00154918" w:rsidRPr="00C7060F">
        <w:rPr>
          <w:shd w:val="clear" w:color="auto" w:fill="FFFFFF"/>
        </w:rPr>
        <w:t>em:</w:t>
      </w:r>
      <w:r w:rsidR="002E5282" w:rsidRPr="00C7060F">
        <w:rPr>
          <w:shd w:val="clear" w:color="auto" w:fill="FFFFFF"/>
        </w:rPr>
        <w:t xml:space="preserve"> </w:t>
      </w:r>
      <w:bookmarkStart w:id="20" w:name="_Hlk163975643"/>
      <w:r w:rsidR="00154918">
        <w:rPr>
          <w:shd w:val="clear" w:color="auto" w:fill="FFFFFF"/>
        </w:rPr>
        <w:fldChar w:fldCharType="begin"/>
      </w:r>
      <w:r w:rsidR="00154918" w:rsidRPr="00C7060F">
        <w:rPr>
          <w:shd w:val="clear" w:color="auto" w:fill="FFFFFF"/>
        </w:rPr>
        <w:instrText>HYPERLINK "http://hdl.handle.net/11328/2504"</w:instrText>
      </w:r>
      <w:r w:rsidR="00154918">
        <w:rPr>
          <w:shd w:val="clear" w:color="auto" w:fill="FFFFFF"/>
        </w:rPr>
        <w:fldChar w:fldCharType="separate"/>
      </w:r>
      <w:r w:rsidR="00154918" w:rsidRPr="00C7060F">
        <w:rPr>
          <w:rStyle w:val="Hiperligao"/>
          <w:shd w:val="clear" w:color="auto" w:fill="FFFFFF"/>
        </w:rPr>
        <w:t>http://hdl.handle.net/11328/2504</w:t>
      </w:r>
      <w:bookmarkEnd w:id="20"/>
      <w:r w:rsidR="00154918">
        <w:rPr>
          <w:shd w:val="clear" w:color="auto" w:fill="FFFFFF"/>
        </w:rPr>
        <w:fldChar w:fldCharType="end"/>
      </w:r>
      <w:r w:rsidR="00154918" w:rsidRPr="00C7060F">
        <w:rPr>
          <w:shd w:val="clear" w:color="auto" w:fill="FFFFFF"/>
        </w:rPr>
        <w:t xml:space="preserve"> </w:t>
      </w:r>
      <w:r w:rsidR="002E5282" w:rsidRPr="00C7060F">
        <w:rPr>
          <w:shd w:val="clear" w:color="auto" w:fill="FFFFFF"/>
        </w:rPr>
        <w:t xml:space="preserve"> </w:t>
      </w:r>
      <w:bookmarkEnd w:id="19"/>
    </w:p>
  </w:footnote>
  <w:footnote w:id="46">
    <w:p w14:paraId="3453489B" w14:textId="48FC5565" w:rsidR="00780DD7" w:rsidRPr="004846E9" w:rsidRDefault="00780DD7" w:rsidP="004846E9">
      <w:pPr>
        <w:pStyle w:val="Textodenotaderodap"/>
        <w:spacing w:line="240" w:lineRule="auto"/>
      </w:pPr>
      <w:r w:rsidRPr="004846E9">
        <w:rPr>
          <w:rStyle w:val="Refdenotaderodap"/>
        </w:rPr>
        <w:footnoteRef/>
      </w:r>
      <w:r w:rsidRPr="004846E9">
        <w:t xml:space="preserve"> </w:t>
      </w:r>
      <w:bookmarkStart w:id="21" w:name="_Hlk163977186"/>
      <w:r w:rsidR="00A276A1">
        <w:t xml:space="preserve">D. R. ALVES, </w:t>
      </w:r>
      <w:r w:rsidR="00A276A1" w:rsidRPr="00A276A1">
        <w:t>Cronologia da Construção Europeia Comunitária - Apontamentos Policopiados</w:t>
      </w:r>
      <w:r w:rsidR="00A276A1">
        <w:t>, Universidade Portucalense, Porto, 2022</w:t>
      </w:r>
      <w:bookmarkEnd w:id="21"/>
      <w:r w:rsidR="00A276A1">
        <w:t xml:space="preserve">, </w:t>
      </w:r>
    </w:p>
  </w:footnote>
  <w:footnote w:id="47">
    <w:p w14:paraId="513A6AF6" w14:textId="6F74C75B" w:rsidR="00780DD7" w:rsidRPr="004846E9" w:rsidRDefault="00780DD7" w:rsidP="004846E9">
      <w:pPr>
        <w:pStyle w:val="Textodenotaderodap"/>
        <w:spacing w:line="240" w:lineRule="auto"/>
      </w:pPr>
      <w:r w:rsidRPr="004846E9">
        <w:rPr>
          <w:rStyle w:val="Refdenotaderodap"/>
        </w:rPr>
        <w:footnoteRef/>
      </w:r>
      <w:r w:rsidR="00A276A1">
        <w:t xml:space="preserve"> </w:t>
      </w:r>
      <w:bookmarkStart w:id="22" w:name="_Hlk163977173"/>
      <w:r w:rsidR="00A276A1" w:rsidRPr="00A276A1">
        <w:t xml:space="preserve">P.M. FROUFE, J. C. GOMES, "Mercado interno e concorrência", in A. SILVEIRA, M. CANOTILHO, P. M. FROUFE, </w:t>
      </w:r>
      <w:r w:rsidR="00A276A1" w:rsidRPr="00A276A1">
        <w:rPr>
          <w:i/>
          <w:iCs/>
        </w:rPr>
        <w:t>Direito da União Europeia</w:t>
      </w:r>
      <w:r w:rsidR="00A276A1" w:rsidRPr="00A276A1">
        <w:t>, elementos de direito e políticas públicas, Almedina, Coimbra, 2016, pp. 449-504</w:t>
      </w:r>
      <w:bookmarkEnd w:id="22"/>
      <w:r w:rsidR="00A276A1" w:rsidRPr="00A276A1">
        <w:t>.</w:t>
      </w:r>
    </w:p>
  </w:footnote>
  <w:footnote w:id="48">
    <w:p w14:paraId="3A334199" w14:textId="3472BD92" w:rsidR="00780DD7" w:rsidRPr="00154918" w:rsidRDefault="00780DD7" w:rsidP="00154918">
      <w:pPr>
        <w:pStyle w:val="v1msonormal"/>
        <w:spacing w:before="0" w:beforeAutospacing="0" w:after="0" w:afterAutospacing="0" w:line="240" w:lineRule="auto"/>
        <w:rPr>
          <w:rFonts w:ascii="Times New Roman" w:eastAsia="Times New Roman" w:hAnsi="Times New Roman" w:cs="Times New Roman"/>
          <w:sz w:val="20"/>
          <w:szCs w:val="20"/>
          <w:lang w:eastAsia="en-US"/>
          <w14:ligatures w14:val="standardContextual"/>
        </w:rPr>
      </w:pPr>
      <w:r w:rsidRPr="004846E9">
        <w:rPr>
          <w:rStyle w:val="Refdenotaderodap"/>
          <w:rFonts w:ascii="Times New Roman" w:hAnsi="Times New Roman" w:cs="Times New Roman"/>
          <w:sz w:val="20"/>
          <w:szCs w:val="20"/>
        </w:rPr>
        <w:footnoteRef/>
      </w:r>
      <w:r w:rsidRPr="004846E9">
        <w:rPr>
          <w:rFonts w:ascii="Times New Roman" w:hAnsi="Times New Roman" w:cs="Times New Roman"/>
          <w:sz w:val="20"/>
          <w:szCs w:val="20"/>
        </w:rPr>
        <w:t xml:space="preserve"> </w:t>
      </w:r>
      <w:r w:rsidR="00154918">
        <w:rPr>
          <w:rFonts w:ascii="Times New Roman" w:hAnsi="Times New Roman" w:cs="Times New Roman"/>
          <w:sz w:val="20"/>
          <w:szCs w:val="20"/>
        </w:rPr>
        <w:t xml:space="preserve">D. R. ALVES, </w:t>
      </w:r>
      <w:r w:rsidR="00C34F5A" w:rsidRPr="004846E9">
        <w:rPr>
          <w:rFonts w:ascii="Times New Roman" w:eastAsia="Times New Roman" w:hAnsi="Times New Roman" w:cs="Times New Roman"/>
          <w:sz w:val="20"/>
          <w:szCs w:val="20"/>
          <w:lang w:eastAsia="en-US"/>
          <w14:ligatures w14:val="standardContextual"/>
        </w:rPr>
        <w:t xml:space="preserve">&amp; </w:t>
      </w:r>
      <w:r w:rsidR="00154918">
        <w:rPr>
          <w:rFonts w:ascii="Times New Roman" w:eastAsia="Times New Roman" w:hAnsi="Times New Roman" w:cs="Times New Roman"/>
          <w:sz w:val="20"/>
          <w:szCs w:val="20"/>
          <w:lang w:eastAsia="en-US"/>
          <w14:ligatures w14:val="standardContextual"/>
        </w:rPr>
        <w:t>D.S. CASTILHOS,</w:t>
      </w:r>
      <w:r w:rsidR="00C34F5A" w:rsidRPr="004846E9">
        <w:rPr>
          <w:rFonts w:ascii="Times New Roman" w:eastAsia="Times New Roman" w:hAnsi="Times New Roman" w:cs="Times New Roman"/>
          <w:sz w:val="20"/>
          <w:szCs w:val="20"/>
          <w:lang w:eastAsia="en-US"/>
          <w14:ligatures w14:val="standardContextual"/>
        </w:rPr>
        <w:t xml:space="preserve"> </w:t>
      </w:r>
      <w:r w:rsidR="00154918">
        <w:rPr>
          <w:rFonts w:ascii="Times New Roman" w:eastAsia="Times New Roman" w:hAnsi="Times New Roman" w:cs="Times New Roman"/>
          <w:sz w:val="20"/>
          <w:szCs w:val="20"/>
          <w:lang w:eastAsia="en-US"/>
          <w14:ligatures w14:val="standardContextual"/>
        </w:rPr>
        <w:t>“</w:t>
      </w:r>
      <w:r w:rsidR="00C34F5A" w:rsidRPr="004846E9">
        <w:rPr>
          <w:rFonts w:ascii="Times New Roman" w:eastAsia="Times New Roman" w:hAnsi="Times New Roman" w:cs="Times New Roman"/>
          <w:sz w:val="20"/>
          <w:szCs w:val="20"/>
          <w:lang w:eastAsia="en-US"/>
          <w14:ligatures w14:val="standardContextual"/>
        </w:rPr>
        <w:t>As crianças nos textos jurídicos da União Europeia</w:t>
      </w:r>
      <w:r w:rsidR="00154918">
        <w:rPr>
          <w:rFonts w:ascii="Times New Roman" w:eastAsia="Times New Roman" w:hAnsi="Times New Roman" w:cs="Times New Roman"/>
          <w:sz w:val="20"/>
          <w:szCs w:val="20"/>
          <w:lang w:eastAsia="en-US"/>
          <w14:ligatures w14:val="standardContextual"/>
        </w:rPr>
        <w:t xml:space="preserve">”, </w:t>
      </w:r>
      <w:r w:rsidR="00C34F5A" w:rsidRPr="004846E9">
        <w:rPr>
          <w:rFonts w:ascii="Times New Roman" w:eastAsia="Times New Roman" w:hAnsi="Times New Roman" w:cs="Times New Roman"/>
          <w:sz w:val="20"/>
          <w:szCs w:val="20"/>
          <w:lang w:eastAsia="en-US"/>
          <w14:ligatures w14:val="standardContextual"/>
        </w:rPr>
        <w:t xml:space="preserve">In A. </w:t>
      </w:r>
      <w:r w:rsidR="00154918">
        <w:rPr>
          <w:rFonts w:ascii="Times New Roman" w:eastAsia="Times New Roman" w:hAnsi="Times New Roman" w:cs="Times New Roman"/>
          <w:sz w:val="20"/>
          <w:szCs w:val="20"/>
          <w:lang w:eastAsia="en-US"/>
          <w14:ligatures w14:val="standardContextual"/>
        </w:rPr>
        <w:t>NEVES</w:t>
      </w:r>
      <w:r w:rsidR="00C34F5A" w:rsidRPr="004846E9">
        <w:rPr>
          <w:rFonts w:ascii="Times New Roman" w:eastAsia="Times New Roman" w:hAnsi="Times New Roman" w:cs="Times New Roman"/>
          <w:sz w:val="20"/>
          <w:szCs w:val="20"/>
          <w:lang w:eastAsia="en-US"/>
          <w14:ligatures w14:val="standardContextual"/>
        </w:rPr>
        <w:t xml:space="preserve">, I. </w:t>
      </w:r>
      <w:r w:rsidR="00154918">
        <w:rPr>
          <w:rFonts w:ascii="Times New Roman" w:eastAsia="Times New Roman" w:hAnsi="Times New Roman" w:cs="Times New Roman"/>
          <w:sz w:val="20"/>
          <w:szCs w:val="20"/>
          <w:lang w:eastAsia="en-US"/>
          <w14:ligatures w14:val="standardContextual"/>
        </w:rPr>
        <w:t>MACHADO</w:t>
      </w:r>
      <w:r w:rsidR="00C34F5A" w:rsidRPr="004846E9">
        <w:rPr>
          <w:rFonts w:ascii="Times New Roman" w:eastAsia="Times New Roman" w:hAnsi="Times New Roman" w:cs="Times New Roman"/>
          <w:sz w:val="20"/>
          <w:szCs w:val="20"/>
          <w:lang w:eastAsia="en-US"/>
          <w14:ligatures w14:val="standardContextual"/>
        </w:rPr>
        <w:t xml:space="preserve">, M. S. </w:t>
      </w:r>
      <w:r w:rsidR="00154918">
        <w:rPr>
          <w:rFonts w:ascii="Times New Roman" w:eastAsia="Times New Roman" w:hAnsi="Times New Roman" w:cs="Times New Roman"/>
          <w:sz w:val="20"/>
          <w:szCs w:val="20"/>
          <w:lang w:eastAsia="en-US"/>
          <w14:ligatures w14:val="standardContextual"/>
        </w:rPr>
        <w:t>OLIVEIRA</w:t>
      </w:r>
      <w:r w:rsidR="00C34F5A" w:rsidRPr="004846E9">
        <w:rPr>
          <w:rFonts w:ascii="Times New Roman" w:eastAsia="Times New Roman" w:hAnsi="Times New Roman" w:cs="Times New Roman"/>
          <w:sz w:val="20"/>
          <w:szCs w:val="20"/>
          <w:lang w:eastAsia="en-US"/>
          <w14:ligatures w14:val="standardContextual"/>
        </w:rPr>
        <w:t xml:space="preserve">, M. S. </w:t>
      </w:r>
      <w:r w:rsidR="00154918">
        <w:rPr>
          <w:rFonts w:ascii="Times New Roman" w:eastAsia="Times New Roman" w:hAnsi="Times New Roman" w:cs="Times New Roman"/>
          <w:sz w:val="20"/>
          <w:szCs w:val="20"/>
          <w:lang w:eastAsia="en-US"/>
          <w14:ligatures w14:val="standardContextual"/>
        </w:rPr>
        <w:t>ALMEIDA</w:t>
      </w:r>
      <w:r w:rsidR="00C34F5A" w:rsidRPr="004846E9">
        <w:rPr>
          <w:rFonts w:ascii="Times New Roman" w:eastAsia="Times New Roman" w:hAnsi="Times New Roman" w:cs="Times New Roman"/>
          <w:sz w:val="20"/>
          <w:szCs w:val="20"/>
          <w:lang w:eastAsia="en-US"/>
          <w14:ligatures w14:val="standardContextual"/>
        </w:rPr>
        <w:t xml:space="preserve">, &amp; P. </w:t>
      </w:r>
      <w:r w:rsidR="00154918">
        <w:rPr>
          <w:rFonts w:ascii="Times New Roman" w:eastAsia="Times New Roman" w:hAnsi="Times New Roman" w:cs="Times New Roman"/>
          <w:sz w:val="20"/>
          <w:szCs w:val="20"/>
          <w:lang w:eastAsia="en-US"/>
          <w14:ligatures w14:val="standardContextual"/>
        </w:rPr>
        <w:t>OLIVEIRA</w:t>
      </w:r>
      <w:r w:rsidR="00C34F5A" w:rsidRPr="004846E9">
        <w:rPr>
          <w:rFonts w:ascii="Times New Roman" w:eastAsia="Times New Roman" w:hAnsi="Times New Roman" w:cs="Times New Roman"/>
          <w:sz w:val="20"/>
          <w:szCs w:val="20"/>
          <w:lang w:eastAsia="en-US"/>
          <w14:ligatures w14:val="standardContextual"/>
        </w:rPr>
        <w:t xml:space="preserve"> (</w:t>
      </w:r>
      <w:proofErr w:type="spellStart"/>
      <w:r w:rsidR="00C34F5A" w:rsidRPr="004846E9">
        <w:rPr>
          <w:rFonts w:ascii="Times New Roman" w:eastAsia="Times New Roman" w:hAnsi="Times New Roman" w:cs="Times New Roman"/>
          <w:sz w:val="20"/>
          <w:szCs w:val="20"/>
          <w:lang w:eastAsia="en-US"/>
          <w14:ligatures w14:val="standardContextual"/>
        </w:rPr>
        <w:t>Coords</w:t>
      </w:r>
      <w:proofErr w:type="spellEnd"/>
      <w:r w:rsidR="00C34F5A" w:rsidRPr="004846E9">
        <w:rPr>
          <w:rFonts w:ascii="Times New Roman" w:eastAsia="Times New Roman" w:hAnsi="Times New Roman" w:cs="Times New Roman"/>
          <w:sz w:val="20"/>
          <w:szCs w:val="20"/>
          <w:lang w:eastAsia="en-US"/>
          <w14:ligatures w14:val="standardContextual"/>
        </w:rPr>
        <w:t xml:space="preserve">.), </w:t>
      </w:r>
      <w:r w:rsidR="00C34F5A" w:rsidRPr="004846E9">
        <w:rPr>
          <w:rFonts w:ascii="Times New Roman" w:eastAsia="Times New Roman" w:hAnsi="Times New Roman" w:cs="Times New Roman"/>
          <w:i/>
          <w:iCs/>
          <w:sz w:val="20"/>
          <w:szCs w:val="20"/>
          <w:lang w:eastAsia="en-US"/>
          <w14:ligatures w14:val="standardContextual"/>
        </w:rPr>
        <w:t>VI Congresso Ibero-Americano de Intervenção Social: Infância e Juventude</w:t>
      </w:r>
      <w:r w:rsidR="00C34F5A" w:rsidRPr="004846E9">
        <w:rPr>
          <w:rFonts w:ascii="Times New Roman" w:eastAsia="Times New Roman" w:hAnsi="Times New Roman" w:cs="Times New Roman"/>
          <w:sz w:val="20"/>
          <w:szCs w:val="20"/>
          <w:lang w:eastAsia="en-US"/>
          <w14:ligatures w14:val="standardContextual"/>
        </w:rPr>
        <w:t xml:space="preserve">, </w:t>
      </w:r>
      <w:r w:rsidR="00154918">
        <w:rPr>
          <w:rFonts w:ascii="Times New Roman" w:eastAsia="Times New Roman" w:hAnsi="Times New Roman" w:cs="Times New Roman"/>
          <w:sz w:val="20"/>
          <w:szCs w:val="20"/>
          <w:lang w:eastAsia="en-US"/>
          <w14:ligatures w14:val="standardContextual"/>
        </w:rPr>
        <w:t xml:space="preserve">Lema d’Origem, </w:t>
      </w:r>
      <w:r w:rsidR="00C34F5A" w:rsidRPr="004846E9">
        <w:rPr>
          <w:rFonts w:ascii="Times New Roman" w:eastAsia="Times New Roman" w:hAnsi="Times New Roman" w:cs="Times New Roman"/>
          <w:sz w:val="20"/>
          <w:szCs w:val="20"/>
          <w:lang w:eastAsia="en-US"/>
          <w14:ligatures w14:val="standardContextual"/>
        </w:rPr>
        <w:t>Porto, 2023</w:t>
      </w:r>
      <w:r w:rsidR="00154918">
        <w:rPr>
          <w:rFonts w:ascii="Times New Roman" w:eastAsia="Times New Roman" w:hAnsi="Times New Roman" w:cs="Times New Roman"/>
          <w:sz w:val="20"/>
          <w:szCs w:val="20"/>
          <w:lang w:eastAsia="en-US"/>
          <w14:ligatures w14:val="standardContextual"/>
        </w:rPr>
        <w:t>,</w:t>
      </w:r>
      <w:r w:rsidR="00C34F5A" w:rsidRPr="004846E9">
        <w:rPr>
          <w:rFonts w:ascii="Times New Roman" w:eastAsia="Times New Roman" w:hAnsi="Times New Roman" w:cs="Times New Roman"/>
          <w:sz w:val="20"/>
          <w:szCs w:val="20"/>
          <w:lang w:eastAsia="en-US"/>
          <w14:ligatures w14:val="standardContextual"/>
        </w:rPr>
        <w:t xml:space="preserve"> pp. 21-36</w:t>
      </w:r>
      <w:r w:rsidR="00154918">
        <w:rPr>
          <w:rFonts w:ascii="Times New Roman" w:eastAsia="Times New Roman" w:hAnsi="Times New Roman" w:cs="Times New Roman"/>
          <w:sz w:val="20"/>
          <w:szCs w:val="20"/>
          <w:lang w:eastAsia="en-US"/>
          <w14:ligatures w14:val="standardContextual"/>
        </w:rPr>
        <w:t xml:space="preserve">, disponível em: </w:t>
      </w:r>
      <w:hyperlink r:id="rId6" w:tgtFrame="_blank" w:history="1">
        <w:r w:rsidR="00C34F5A" w:rsidRPr="004846E9">
          <w:rPr>
            <w:rStyle w:val="Hiperligao"/>
            <w:rFonts w:ascii="Times New Roman" w:hAnsi="Times New Roman" w:cs="Times New Roman"/>
            <w:color w:val="0563C1"/>
            <w:sz w:val="20"/>
            <w:szCs w:val="20"/>
            <w14:ligatures w14:val="standardContextual"/>
          </w:rPr>
          <w:t>https://hdl.handle.net/11328/5319</w:t>
        </w:r>
      </w:hyperlink>
    </w:p>
  </w:footnote>
  <w:footnote w:id="49">
    <w:p w14:paraId="0DC61157" w14:textId="674612F6" w:rsidR="008231CB" w:rsidRPr="004846E9" w:rsidRDefault="00780DD7" w:rsidP="007B7036">
      <w:pPr>
        <w:pStyle w:val="Pa16"/>
        <w:spacing w:line="240" w:lineRule="auto"/>
        <w:ind w:firstLine="709"/>
        <w:jc w:val="both"/>
        <w:rPr>
          <w:rFonts w:ascii="Times New Roman" w:hAnsi="Times New Roman"/>
          <w:color w:val="000000"/>
          <w:sz w:val="20"/>
          <w:szCs w:val="20"/>
        </w:rPr>
      </w:pPr>
      <w:r w:rsidRPr="004846E9">
        <w:rPr>
          <w:rStyle w:val="Refdenotaderodap"/>
          <w:rFonts w:ascii="Times New Roman" w:hAnsi="Times New Roman"/>
          <w:sz w:val="20"/>
          <w:szCs w:val="20"/>
        </w:rPr>
        <w:footnoteRef/>
      </w:r>
      <w:r w:rsidRPr="004846E9">
        <w:rPr>
          <w:rFonts w:ascii="Times New Roman" w:hAnsi="Times New Roman"/>
          <w:sz w:val="20"/>
          <w:szCs w:val="20"/>
        </w:rPr>
        <w:t xml:space="preserve"> </w:t>
      </w:r>
      <w:bookmarkStart w:id="23" w:name="_Hlk163977153"/>
      <w:r w:rsidR="00A276A1">
        <w:rPr>
          <w:rFonts w:ascii="Times New Roman" w:hAnsi="Times New Roman"/>
          <w:sz w:val="20"/>
          <w:szCs w:val="20"/>
        </w:rPr>
        <w:t>I. P. RESTIER, “</w:t>
      </w:r>
      <w:r w:rsidR="00C406E7" w:rsidRPr="00A276A1">
        <w:rPr>
          <w:rStyle w:val="A4"/>
          <w:rFonts w:ascii="Times New Roman" w:hAnsi="Times New Roman" w:cs="Times New Roman"/>
          <w:i w:val="0"/>
          <w:iCs w:val="0"/>
          <w:sz w:val="20"/>
          <w:szCs w:val="20"/>
        </w:rPr>
        <w:t>A proteção dos Direitos das Crianças no quadro das competências da União Europeia</w:t>
      </w:r>
      <w:r w:rsidR="00A276A1">
        <w:rPr>
          <w:rStyle w:val="A4"/>
          <w:rFonts w:ascii="Times New Roman" w:hAnsi="Times New Roman" w:cs="Times New Roman"/>
          <w:i w:val="0"/>
          <w:iCs w:val="0"/>
          <w:sz w:val="20"/>
          <w:szCs w:val="20"/>
        </w:rPr>
        <w:t xml:space="preserve">”, </w:t>
      </w:r>
      <w:r w:rsidR="00A276A1">
        <w:rPr>
          <w:rFonts w:ascii="Times New Roman" w:eastAsia="Times New Roman" w:hAnsi="Times New Roman"/>
          <w:sz w:val="20"/>
          <w:szCs w:val="20"/>
          <w:lang w:eastAsia="en-US"/>
          <w14:ligatures w14:val="standardContextual"/>
        </w:rPr>
        <w:t>in</w:t>
      </w:r>
      <w:r w:rsidR="008231CB" w:rsidRPr="004846E9">
        <w:rPr>
          <w:rFonts w:ascii="Times New Roman" w:eastAsia="Times New Roman" w:hAnsi="Times New Roman"/>
          <w:sz w:val="20"/>
          <w:szCs w:val="20"/>
          <w:lang w:eastAsia="en-US"/>
          <w14:ligatures w14:val="standardContextual"/>
        </w:rPr>
        <w:t xml:space="preserve"> A. N</w:t>
      </w:r>
      <w:r w:rsidR="00A276A1">
        <w:rPr>
          <w:rFonts w:ascii="Times New Roman" w:eastAsia="Times New Roman" w:hAnsi="Times New Roman"/>
          <w:sz w:val="20"/>
          <w:szCs w:val="20"/>
          <w:lang w:eastAsia="en-US"/>
          <w14:ligatures w14:val="standardContextual"/>
        </w:rPr>
        <w:t>EVES</w:t>
      </w:r>
      <w:r w:rsidR="008231CB" w:rsidRPr="004846E9">
        <w:rPr>
          <w:rFonts w:ascii="Times New Roman" w:eastAsia="Times New Roman" w:hAnsi="Times New Roman"/>
          <w:sz w:val="20"/>
          <w:szCs w:val="20"/>
          <w:lang w:eastAsia="en-US"/>
          <w14:ligatures w14:val="standardContextual"/>
        </w:rPr>
        <w:t>, I. M</w:t>
      </w:r>
      <w:r w:rsidR="00A276A1">
        <w:rPr>
          <w:rFonts w:ascii="Times New Roman" w:eastAsia="Times New Roman" w:hAnsi="Times New Roman"/>
          <w:sz w:val="20"/>
          <w:szCs w:val="20"/>
          <w:lang w:eastAsia="en-US"/>
          <w14:ligatures w14:val="standardContextual"/>
        </w:rPr>
        <w:t>ACHADO, M. S. OLIVEIRA, M. S. ALMEIDA</w:t>
      </w:r>
      <w:r w:rsidR="008231CB" w:rsidRPr="004846E9">
        <w:rPr>
          <w:rFonts w:ascii="Times New Roman" w:eastAsia="Times New Roman" w:hAnsi="Times New Roman"/>
          <w:sz w:val="20"/>
          <w:szCs w:val="20"/>
          <w:lang w:eastAsia="en-US"/>
          <w14:ligatures w14:val="standardContextual"/>
        </w:rPr>
        <w:t>, &amp; P. O</w:t>
      </w:r>
      <w:r w:rsidR="00A276A1">
        <w:rPr>
          <w:rFonts w:ascii="Times New Roman" w:eastAsia="Times New Roman" w:hAnsi="Times New Roman"/>
          <w:sz w:val="20"/>
          <w:szCs w:val="20"/>
          <w:lang w:eastAsia="en-US"/>
          <w14:ligatures w14:val="standardContextual"/>
        </w:rPr>
        <w:t xml:space="preserve">LIVEIRA </w:t>
      </w:r>
      <w:r w:rsidR="008231CB" w:rsidRPr="004846E9">
        <w:rPr>
          <w:rFonts w:ascii="Times New Roman" w:eastAsia="Times New Roman" w:hAnsi="Times New Roman"/>
          <w:sz w:val="20"/>
          <w:szCs w:val="20"/>
          <w:lang w:eastAsia="en-US"/>
          <w14:ligatures w14:val="standardContextual"/>
        </w:rPr>
        <w:t>(</w:t>
      </w:r>
      <w:proofErr w:type="spellStart"/>
      <w:r w:rsidR="008231CB" w:rsidRPr="004846E9">
        <w:rPr>
          <w:rFonts w:ascii="Times New Roman" w:eastAsia="Times New Roman" w:hAnsi="Times New Roman"/>
          <w:sz w:val="20"/>
          <w:szCs w:val="20"/>
          <w:lang w:eastAsia="en-US"/>
          <w14:ligatures w14:val="standardContextual"/>
        </w:rPr>
        <w:t>Coords</w:t>
      </w:r>
      <w:proofErr w:type="spellEnd"/>
      <w:r w:rsidR="008231CB" w:rsidRPr="004846E9">
        <w:rPr>
          <w:rFonts w:ascii="Times New Roman" w:eastAsia="Times New Roman" w:hAnsi="Times New Roman"/>
          <w:sz w:val="20"/>
          <w:szCs w:val="20"/>
          <w:lang w:eastAsia="en-US"/>
          <w14:ligatures w14:val="standardContextual"/>
        </w:rPr>
        <w:t xml:space="preserve">.), </w:t>
      </w:r>
      <w:r w:rsidR="008231CB" w:rsidRPr="004846E9">
        <w:rPr>
          <w:rFonts w:ascii="Times New Roman" w:eastAsia="Times New Roman" w:hAnsi="Times New Roman"/>
          <w:i/>
          <w:iCs/>
          <w:sz w:val="20"/>
          <w:szCs w:val="20"/>
          <w:lang w:eastAsia="en-US"/>
          <w14:ligatures w14:val="standardContextual"/>
        </w:rPr>
        <w:t>VI Congresso Ibero-Americano de Intervenção Social: Infância e Juventude</w:t>
      </w:r>
      <w:r w:rsidR="008231CB" w:rsidRPr="004846E9">
        <w:rPr>
          <w:rFonts w:ascii="Times New Roman" w:eastAsia="Times New Roman" w:hAnsi="Times New Roman"/>
          <w:sz w:val="20"/>
          <w:szCs w:val="20"/>
          <w:lang w:eastAsia="en-US"/>
          <w14:ligatures w14:val="standardContextual"/>
        </w:rPr>
        <w:t xml:space="preserve">, </w:t>
      </w:r>
      <w:r w:rsidR="00A276A1" w:rsidRPr="004846E9">
        <w:rPr>
          <w:rFonts w:ascii="Times New Roman" w:eastAsia="Times New Roman" w:hAnsi="Times New Roman"/>
          <w:sz w:val="20"/>
          <w:szCs w:val="20"/>
          <w:lang w:eastAsia="en-US"/>
          <w14:ligatures w14:val="standardContextual"/>
        </w:rPr>
        <w:t xml:space="preserve">Lema d'Origem </w:t>
      </w:r>
      <w:r w:rsidR="008231CB" w:rsidRPr="004846E9">
        <w:rPr>
          <w:rFonts w:ascii="Times New Roman" w:eastAsia="Times New Roman" w:hAnsi="Times New Roman"/>
          <w:sz w:val="20"/>
          <w:szCs w:val="20"/>
          <w:lang w:eastAsia="en-US"/>
          <w14:ligatures w14:val="standardContextual"/>
        </w:rPr>
        <w:t>Porto,</w:t>
      </w:r>
      <w:r w:rsidR="00A276A1">
        <w:rPr>
          <w:rFonts w:ascii="Times New Roman" w:eastAsia="Times New Roman" w:hAnsi="Times New Roman"/>
          <w:sz w:val="20"/>
          <w:szCs w:val="20"/>
          <w:lang w:eastAsia="en-US"/>
          <w14:ligatures w14:val="standardContextual"/>
        </w:rPr>
        <w:t xml:space="preserve"> 2023, </w:t>
      </w:r>
      <w:r w:rsidR="008231CB" w:rsidRPr="004846E9">
        <w:rPr>
          <w:rFonts w:ascii="Times New Roman" w:eastAsia="Times New Roman" w:hAnsi="Times New Roman"/>
          <w:sz w:val="20"/>
          <w:szCs w:val="20"/>
          <w:lang w:eastAsia="en-US"/>
          <w14:ligatures w14:val="standardContextual"/>
        </w:rPr>
        <w:t>pp. 21-36</w:t>
      </w:r>
      <w:bookmarkEnd w:id="23"/>
      <w:r w:rsidR="008231CB" w:rsidRPr="004846E9">
        <w:rPr>
          <w:rFonts w:ascii="Times New Roman" w:eastAsia="Times New Roman" w:hAnsi="Times New Roman"/>
          <w:sz w:val="20"/>
          <w:szCs w:val="20"/>
          <w:lang w:eastAsia="en-US"/>
          <w14:ligatures w14:val="standardContextual"/>
        </w:rPr>
        <w:t>.</w:t>
      </w:r>
    </w:p>
  </w:footnote>
  <w:footnote w:id="50">
    <w:p w14:paraId="41CEA935" w14:textId="77777777" w:rsidR="00BD2202" w:rsidRPr="004846E9" w:rsidRDefault="00BD2202" w:rsidP="004846E9">
      <w:pPr>
        <w:pStyle w:val="Textodenotaderodap"/>
        <w:spacing w:line="240" w:lineRule="auto"/>
      </w:pPr>
      <w:r w:rsidRPr="004846E9">
        <w:rPr>
          <w:rStyle w:val="Refdenotaderodap"/>
        </w:rPr>
        <w:footnoteRef/>
      </w:r>
      <w:r w:rsidRPr="004846E9">
        <w:t xml:space="preserve"> Texto dos tratados disponível em </w:t>
      </w:r>
      <w:hyperlink r:id="rId7" w:history="1">
        <w:r w:rsidRPr="004846E9">
          <w:rPr>
            <w:rStyle w:val="Hiperligao"/>
          </w:rPr>
          <w:t>https://eur-lex.europa.eu/collection/eu-law/treaties/treaties-force.html</w:t>
        </w:r>
      </w:hyperlink>
      <w:r w:rsidRPr="004846E9">
        <w:t xml:space="preserve"> </w:t>
      </w:r>
    </w:p>
  </w:footnote>
  <w:footnote w:id="51">
    <w:p w14:paraId="2E6C572C" w14:textId="63358046" w:rsidR="00780DD7" w:rsidRPr="004846E9" w:rsidRDefault="00780DD7" w:rsidP="004846E9">
      <w:pPr>
        <w:pStyle w:val="Textodenotaderodap"/>
        <w:spacing w:line="240" w:lineRule="auto"/>
      </w:pPr>
      <w:r w:rsidRPr="004846E9">
        <w:rPr>
          <w:rStyle w:val="Refdenotaderodap"/>
        </w:rPr>
        <w:footnoteRef/>
      </w:r>
      <w:r w:rsidRPr="004846E9">
        <w:t xml:space="preserve"> </w:t>
      </w:r>
      <w:bookmarkStart w:id="24" w:name="_Hlk163977138"/>
      <w:r w:rsidR="002723D5" w:rsidRPr="002723D5">
        <w:t xml:space="preserve">D. R. ALVES, F. PACHECO, "De que falamos quando falamos de direitos fundamentais?", in: J. P. XAVIER; C. P. ALBUQUERQUE; J. SIMÕES; M. CRUZ, </w:t>
      </w:r>
      <w:proofErr w:type="spellStart"/>
      <w:r w:rsidR="002723D5" w:rsidRPr="002723D5">
        <w:rPr>
          <w:i/>
          <w:iCs/>
        </w:rPr>
        <w:t>Past</w:t>
      </w:r>
      <w:proofErr w:type="spellEnd"/>
      <w:r w:rsidR="002723D5" w:rsidRPr="002723D5">
        <w:rPr>
          <w:i/>
          <w:iCs/>
        </w:rPr>
        <w:t xml:space="preserve">, </w:t>
      </w:r>
      <w:proofErr w:type="spellStart"/>
      <w:r w:rsidR="002723D5" w:rsidRPr="002723D5">
        <w:rPr>
          <w:i/>
          <w:iCs/>
        </w:rPr>
        <w:t>Present</w:t>
      </w:r>
      <w:proofErr w:type="spellEnd"/>
      <w:r w:rsidR="002723D5" w:rsidRPr="002723D5">
        <w:rPr>
          <w:i/>
          <w:iCs/>
        </w:rPr>
        <w:t xml:space="preserve"> </w:t>
      </w:r>
      <w:proofErr w:type="spellStart"/>
      <w:r w:rsidR="002723D5" w:rsidRPr="002723D5">
        <w:rPr>
          <w:i/>
          <w:iCs/>
        </w:rPr>
        <w:t>and</w:t>
      </w:r>
      <w:proofErr w:type="spellEnd"/>
      <w:r w:rsidR="002723D5" w:rsidRPr="002723D5">
        <w:rPr>
          <w:i/>
          <w:iCs/>
        </w:rPr>
        <w:t xml:space="preserve"> Future </w:t>
      </w:r>
      <w:proofErr w:type="spellStart"/>
      <w:r w:rsidR="002723D5" w:rsidRPr="002723D5">
        <w:rPr>
          <w:i/>
          <w:iCs/>
        </w:rPr>
        <w:t>of</w:t>
      </w:r>
      <w:proofErr w:type="spellEnd"/>
      <w:r w:rsidR="002723D5" w:rsidRPr="002723D5">
        <w:rPr>
          <w:i/>
          <w:iCs/>
        </w:rPr>
        <w:t xml:space="preserve"> </w:t>
      </w:r>
      <w:proofErr w:type="spellStart"/>
      <w:r w:rsidR="002723D5" w:rsidRPr="002723D5">
        <w:rPr>
          <w:i/>
          <w:iCs/>
        </w:rPr>
        <w:t>Human</w:t>
      </w:r>
      <w:proofErr w:type="spellEnd"/>
      <w:r w:rsidR="002723D5" w:rsidRPr="002723D5">
        <w:rPr>
          <w:i/>
          <w:iCs/>
        </w:rPr>
        <w:t xml:space="preserve"> </w:t>
      </w:r>
      <w:proofErr w:type="spellStart"/>
      <w:r w:rsidR="002723D5" w:rsidRPr="002723D5">
        <w:rPr>
          <w:i/>
          <w:iCs/>
        </w:rPr>
        <w:t>Rights</w:t>
      </w:r>
      <w:proofErr w:type="spellEnd"/>
      <w:r w:rsidR="002723D5" w:rsidRPr="002723D5">
        <w:t xml:space="preserve">: </w:t>
      </w:r>
      <w:proofErr w:type="spellStart"/>
      <w:r w:rsidR="002723D5" w:rsidRPr="002723D5">
        <w:t>After</w:t>
      </w:r>
      <w:proofErr w:type="spellEnd"/>
      <w:r w:rsidR="002723D5" w:rsidRPr="002723D5">
        <w:t xml:space="preserve"> </w:t>
      </w:r>
      <w:proofErr w:type="spellStart"/>
      <w:r w:rsidR="002723D5" w:rsidRPr="002723D5">
        <w:t>the</w:t>
      </w:r>
      <w:proofErr w:type="spellEnd"/>
      <w:r w:rsidR="002723D5" w:rsidRPr="002723D5">
        <w:t xml:space="preserve"> 70th </w:t>
      </w:r>
      <w:proofErr w:type="spellStart"/>
      <w:r w:rsidR="002723D5" w:rsidRPr="002723D5">
        <w:t>Anniversary</w:t>
      </w:r>
      <w:proofErr w:type="spellEnd"/>
      <w:r w:rsidR="002723D5" w:rsidRPr="002723D5">
        <w:t xml:space="preserve"> </w:t>
      </w:r>
      <w:proofErr w:type="spellStart"/>
      <w:r w:rsidR="002723D5" w:rsidRPr="002723D5">
        <w:t>of</w:t>
      </w:r>
      <w:proofErr w:type="spellEnd"/>
      <w:r w:rsidR="002723D5" w:rsidRPr="002723D5">
        <w:t xml:space="preserve"> </w:t>
      </w:r>
      <w:proofErr w:type="spellStart"/>
      <w:r w:rsidR="002723D5" w:rsidRPr="002723D5">
        <w:t>the</w:t>
      </w:r>
      <w:proofErr w:type="spellEnd"/>
      <w:r w:rsidR="002723D5" w:rsidRPr="002723D5">
        <w:t xml:space="preserve"> Universal </w:t>
      </w:r>
      <w:proofErr w:type="spellStart"/>
      <w:r w:rsidR="002723D5" w:rsidRPr="002723D5">
        <w:t>Declaration</w:t>
      </w:r>
      <w:proofErr w:type="spellEnd"/>
      <w:r w:rsidR="002723D5" w:rsidRPr="002723D5">
        <w:t xml:space="preserve"> </w:t>
      </w:r>
      <w:proofErr w:type="spellStart"/>
      <w:r w:rsidR="002723D5" w:rsidRPr="002723D5">
        <w:t>of</w:t>
      </w:r>
      <w:proofErr w:type="spellEnd"/>
      <w:r w:rsidR="002723D5" w:rsidRPr="002723D5">
        <w:t xml:space="preserve"> </w:t>
      </w:r>
      <w:proofErr w:type="spellStart"/>
      <w:r w:rsidR="002723D5" w:rsidRPr="002723D5">
        <w:t>Human</w:t>
      </w:r>
      <w:proofErr w:type="spellEnd"/>
      <w:r w:rsidR="002723D5" w:rsidRPr="002723D5">
        <w:t xml:space="preserve"> </w:t>
      </w:r>
      <w:proofErr w:type="spellStart"/>
      <w:r w:rsidR="002723D5" w:rsidRPr="002723D5">
        <w:t>Rights</w:t>
      </w:r>
      <w:proofErr w:type="spellEnd"/>
      <w:r w:rsidR="002723D5" w:rsidRPr="002723D5">
        <w:t xml:space="preserve"> 1948-2018, Imprensa Universidade de Coimbra, 2021, pp. 61-86</w:t>
      </w:r>
      <w:bookmarkEnd w:id="24"/>
      <w:r w:rsidR="002723D5" w:rsidRPr="002723D5">
        <w:t>.</w:t>
      </w:r>
    </w:p>
  </w:footnote>
  <w:footnote w:id="52">
    <w:p w14:paraId="18C706E3" w14:textId="4F16F710" w:rsidR="00780DD7" w:rsidRPr="004846E9" w:rsidRDefault="00780DD7" w:rsidP="004846E9">
      <w:pPr>
        <w:pStyle w:val="Textodenotaderodap"/>
        <w:spacing w:line="240" w:lineRule="auto"/>
      </w:pPr>
      <w:r w:rsidRPr="004846E9">
        <w:rPr>
          <w:rStyle w:val="Refdenotaderodap"/>
        </w:rPr>
        <w:footnoteRef/>
      </w:r>
      <w:r w:rsidRPr="004846E9">
        <w:t xml:space="preserve"> </w:t>
      </w:r>
      <w:bookmarkStart w:id="25" w:name="_Hlk163977121"/>
      <w:r w:rsidR="002723D5" w:rsidRPr="002723D5">
        <w:t xml:space="preserve">F. PACHECO, </w:t>
      </w:r>
      <w:r w:rsidR="002723D5" w:rsidRPr="002723D5">
        <w:rPr>
          <w:i/>
          <w:iCs/>
        </w:rPr>
        <w:t>Entre limites e expansibilidade: as disposições horizontais da Carta dos Direitos Fundamentais da União Europeia</w:t>
      </w:r>
      <w:r w:rsidR="002723D5" w:rsidRPr="002723D5">
        <w:t>, Tese de Doutoramento, Universidade Católica, 2015.</w:t>
      </w:r>
      <w:bookmarkEnd w:id="25"/>
    </w:p>
  </w:footnote>
  <w:footnote w:id="53">
    <w:p w14:paraId="06CC436E" w14:textId="4A013A58" w:rsidR="00780DD7" w:rsidRPr="004846E9" w:rsidRDefault="00780DD7" w:rsidP="004846E9">
      <w:pPr>
        <w:pStyle w:val="Textodenotaderodap"/>
        <w:spacing w:line="240" w:lineRule="auto"/>
      </w:pPr>
      <w:r w:rsidRPr="004846E9">
        <w:rPr>
          <w:rStyle w:val="Refdenotaderodap"/>
        </w:rPr>
        <w:footnoteRef/>
      </w:r>
      <w:r w:rsidRPr="004846E9">
        <w:t xml:space="preserve"> </w:t>
      </w:r>
      <w:r w:rsidR="002723D5" w:rsidRPr="002723D5">
        <w:t xml:space="preserve">R. C. MARTINS, "Anotação ao </w:t>
      </w:r>
      <w:proofErr w:type="spellStart"/>
      <w:r w:rsidR="002723D5" w:rsidRPr="002723D5">
        <w:t>art</w:t>
      </w:r>
      <w:proofErr w:type="spellEnd"/>
      <w:r w:rsidR="002723D5" w:rsidRPr="002723D5">
        <w:t xml:space="preserve">. 24.º", in: Canotilho, Mariana; Silveira, Alessandra, </w:t>
      </w:r>
      <w:r w:rsidR="002723D5" w:rsidRPr="002723D5">
        <w:rPr>
          <w:i/>
          <w:iCs/>
        </w:rPr>
        <w:t>Carta de Direitos Fundamentais da União Europeia Comentada</w:t>
      </w:r>
      <w:r w:rsidR="002723D5" w:rsidRPr="002723D5">
        <w:t>, Almedina, Coimbra, 2013</w:t>
      </w:r>
      <w:r w:rsidR="002723D5">
        <w:t>, p. 298.</w:t>
      </w:r>
    </w:p>
  </w:footnote>
  <w:footnote w:id="54">
    <w:p w14:paraId="0573DA2B" w14:textId="5C51A663" w:rsidR="00780DD7" w:rsidRPr="004846E9" w:rsidRDefault="00780DD7" w:rsidP="004846E9">
      <w:pPr>
        <w:pStyle w:val="Textodenotaderodap"/>
        <w:spacing w:line="240" w:lineRule="auto"/>
      </w:pPr>
      <w:r w:rsidRPr="004846E9">
        <w:rPr>
          <w:rStyle w:val="Refdenotaderodap"/>
        </w:rPr>
        <w:footnoteRef/>
      </w:r>
      <w:r w:rsidRPr="004846E9">
        <w:t xml:space="preserve"> </w:t>
      </w:r>
      <w:r w:rsidR="002723D5" w:rsidRPr="002723D5">
        <w:t xml:space="preserve">R. C. MARTINS, "Anotação ao </w:t>
      </w:r>
      <w:proofErr w:type="spellStart"/>
      <w:r w:rsidR="002723D5" w:rsidRPr="002723D5">
        <w:t>art</w:t>
      </w:r>
      <w:proofErr w:type="spellEnd"/>
      <w:r w:rsidR="002723D5" w:rsidRPr="002723D5">
        <w:t>. 24.º", in: Canotilho, Mariana; Silveira, Alessandra, Carta de Direitos Fundamentais da União Europeia Comentada, Almedina, Coimbra, 2013</w:t>
      </w:r>
      <w:r w:rsidR="002723D5">
        <w:t>, p. 299.</w:t>
      </w:r>
    </w:p>
  </w:footnote>
  <w:footnote w:id="55">
    <w:p w14:paraId="4E795D35" w14:textId="149B61B5" w:rsidR="00780DD7" w:rsidRPr="004846E9" w:rsidRDefault="00780DD7" w:rsidP="004846E9">
      <w:pPr>
        <w:pStyle w:val="Textodenotaderodap"/>
        <w:spacing w:line="240" w:lineRule="auto"/>
      </w:pPr>
      <w:r w:rsidRPr="004846E9">
        <w:rPr>
          <w:rStyle w:val="Refdenotaderodap"/>
        </w:rPr>
        <w:footnoteRef/>
      </w:r>
      <w:r w:rsidRPr="004846E9">
        <w:t xml:space="preserve"> </w:t>
      </w:r>
      <w:r w:rsidR="002723D5">
        <w:t xml:space="preserve">D. R. ALVES, </w:t>
      </w:r>
      <w:r w:rsidR="002723D5" w:rsidRPr="004846E9">
        <w:rPr>
          <w:rFonts w:eastAsia="Times New Roman"/>
          <w:lang w:eastAsia="en-US"/>
          <w14:ligatures w14:val="standardContextual"/>
        </w:rPr>
        <w:t xml:space="preserve">&amp; </w:t>
      </w:r>
      <w:r w:rsidR="002723D5">
        <w:rPr>
          <w:rFonts w:eastAsia="Times New Roman"/>
          <w:lang w:eastAsia="en-US"/>
          <w14:ligatures w14:val="standardContextual"/>
        </w:rPr>
        <w:t>D.S. CASTILHOS,</w:t>
      </w:r>
      <w:r w:rsidR="002723D5" w:rsidRPr="004846E9">
        <w:rPr>
          <w:rFonts w:eastAsia="Times New Roman"/>
          <w:lang w:eastAsia="en-US"/>
          <w14:ligatures w14:val="standardContextual"/>
        </w:rPr>
        <w:t xml:space="preserve"> </w:t>
      </w:r>
      <w:r w:rsidR="002723D5">
        <w:rPr>
          <w:rFonts w:eastAsia="Times New Roman"/>
          <w:lang w:eastAsia="en-US"/>
          <w14:ligatures w14:val="standardContextual"/>
        </w:rPr>
        <w:t>“</w:t>
      </w:r>
      <w:r w:rsidR="002723D5" w:rsidRPr="004846E9">
        <w:rPr>
          <w:rFonts w:eastAsia="Times New Roman"/>
          <w:lang w:eastAsia="en-US"/>
          <w14:ligatures w14:val="standardContextual"/>
        </w:rPr>
        <w:t>As crianças nos textos jurídicos da União Europeia</w:t>
      </w:r>
      <w:r w:rsidR="002723D5">
        <w:rPr>
          <w:rFonts w:eastAsia="Times New Roman"/>
          <w:lang w:eastAsia="en-US"/>
          <w14:ligatures w14:val="standardContextual"/>
        </w:rPr>
        <w:t xml:space="preserve">”, </w:t>
      </w:r>
      <w:r w:rsidR="002723D5" w:rsidRPr="004846E9">
        <w:rPr>
          <w:rFonts w:eastAsia="Times New Roman"/>
          <w:lang w:eastAsia="en-US"/>
          <w14:ligatures w14:val="standardContextual"/>
        </w:rPr>
        <w:t xml:space="preserve">In A. </w:t>
      </w:r>
      <w:r w:rsidR="002723D5">
        <w:rPr>
          <w:rFonts w:eastAsia="Times New Roman"/>
          <w:lang w:eastAsia="en-US"/>
          <w14:ligatures w14:val="standardContextual"/>
        </w:rPr>
        <w:t>NEVES</w:t>
      </w:r>
      <w:r w:rsidR="002723D5" w:rsidRPr="004846E9">
        <w:rPr>
          <w:rFonts w:eastAsia="Times New Roman"/>
          <w:lang w:eastAsia="en-US"/>
          <w14:ligatures w14:val="standardContextual"/>
        </w:rPr>
        <w:t xml:space="preserve">, I. </w:t>
      </w:r>
      <w:r w:rsidR="002723D5">
        <w:rPr>
          <w:rFonts w:eastAsia="Times New Roman"/>
          <w:lang w:eastAsia="en-US"/>
          <w14:ligatures w14:val="standardContextual"/>
        </w:rPr>
        <w:t>MACHADO</w:t>
      </w:r>
      <w:r w:rsidR="002723D5" w:rsidRPr="004846E9">
        <w:rPr>
          <w:rFonts w:eastAsia="Times New Roman"/>
          <w:lang w:eastAsia="en-US"/>
          <w14:ligatures w14:val="standardContextual"/>
        </w:rPr>
        <w:t xml:space="preserve">, M. S. </w:t>
      </w:r>
      <w:r w:rsidR="002723D5">
        <w:rPr>
          <w:rFonts w:eastAsia="Times New Roman"/>
          <w:lang w:eastAsia="en-US"/>
          <w14:ligatures w14:val="standardContextual"/>
        </w:rPr>
        <w:t>OLIVEIRA</w:t>
      </w:r>
      <w:r w:rsidR="002723D5" w:rsidRPr="004846E9">
        <w:rPr>
          <w:rFonts w:eastAsia="Times New Roman"/>
          <w:lang w:eastAsia="en-US"/>
          <w14:ligatures w14:val="standardContextual"/>
        </w:rPr>
        <w:t xml:space="preserve">, M. S. </w:t>
      </w:r>
      <w:r w:rsidR="002723D5">
        <w:rPr>
          <w:rFonts w:eastAsia="Times New Roman"/>
          <w:lang w:eastAsia="en-US"/>
          <w14:ligatures w14:val="standardContextual"/>
        </w:rPr>
        <w:t>ALMEIDA</w:t>
      </w:r>
      <w:r w:rsidR="002723D5" w:rsidRPr="004846E9">
        <w:rPr>
          <w:rFonts w:eastAsia="Times New Roman"/>
          <w:lang w:eastAsia="en-US"/>
          <w14:ligatures w14:val="standardContextual"/>
        </w:rPr>
        <w:t xml:space="preserve">, &amp; P. </w:t>
      </w:r>
      <w:r w:rsidR="002723D5">
        <w:rPr>
          <w:rFonts w:eastAsia="Times New Roman"/>
          <w:lang w:eastAsia="en-US"/>
          <w14:ligatures w14:val="standardContextual"/>
        </w:rPr>
        <w:t>OLIVEIRA</w:t>
      </w:r>
      <w:r w:rsidR="002723D5" w:rsidRPr="004846E9">
        <w:rPr>
          <w:rFonts w:eastAsia="Times New Roman"/>
          <w:lang w:eastAsia="en-US"/>
          <w14:ligatures w14:val="standardContextual"/>
        </w:rPr>
        <w:t xml:space="preserve"> (</w:t>
      </w:r>
      <w:proofErr w:type="spellStart"/>
      <w:r w:rsidR="002723D5" w:rsidRPr="004846E9">
        <w:rPr>
          <w:rFonts w:eastAsia="Times New Roman"/>
          <w:lang w:eastAsia="en-US"/>
          <w14:ligatures w14:val="standardContextual"/>
        </w:rPr>
        <w:t>Coords</w:t>
      </w:r>
      <w:proofErr w:type="spellEnd"/>
      <w:r w:rsidR="002723D5" w:rsidRPr="004846E9">
        <w:rPr>
          <w:rFonts w:eastAsia="Times New Roman"/>
          <w:lang w:eastAsia="en-US"/>
          <w14:ligatures w14:val="standardContextual"/>
        </w:rPr>
        <w:t xml:space="preserve">.), </w:t>
      </w:r>
      <w:r w:rsidR="002723D5" w:rsidRPr="004846E9">
        <w:rPr>
          <w:rFonts w:eastAsia="Times New Roman"/>
          <w:i/>
          <w:iCs/>
          <w:lang w:eastAsia="en-US"/>
          <w14:ligatures w14:val="standardContextual"/>
        </w:rPr>
        <w:t>VI Congresso Ibero-Americano de Intervenção Social: Infância e Juventude</w:t>
      </w:r>
      <w:r w:rsidR="002723D5" w:rsidRPr="004846E9">
        <w:rPr>
          <w:rFonts w:eastAsia="Times New Roman"/>
          <w:lang w:eastAsia="en-US"/>
          <w14:ligatures w14:val="standardContextual"/>
        </w:rPr>
        <w:t xml:space="preserve">, </w:t>
      </w:r>
      <w:r w:rsidR="002723D5">
        <w:rPr>
          <w:rFonts w:eastAsia="Times New Roman"/>
          <w:lang w:eastAsia="en-US"/>
          <w14:ligatures w14:val="standardContextual"/>
        </w:rPr>
        <w:t xml:space="preserve">Lema d’Origem, </w:t>
      </w:r>
      <w:r w:rsidR="002723D5" w:rsidRPr="004846E9">
        <w:rPr>
          <w:rFonts w:eastAsia="Times New Roman"/>
          <w:lang w:eastAsia="en-US"/>
          <w14:ligatures w14:val="standardContextual"/>
        </w:rPr>
        <w:t>Porto, 2023</w:t>
      </w:r>
      <w:r w:rsidR="002723D5">
        <w:rPr>
          <w:rFonts w:eastAsia="Times New Roman"/>
          <w:lang w:eastAsia="en-US"/>
          <w14:ligatures w14:val="standardContextual"/>
        </w:rPr>
        <w:t>,</w:t>
      </w:r>
      <w:r w:rsidR="002723D5" w:rsidRPr="004846E9">
        <w:rPr>
          <w:rFonts w:eastAsia="Times New Roman"/>
          <w:lang w:eastAsia="en-US"/>
          <w14:ligatures w14:val="standardContextual"/>
        </w:rPr>
        <w:t xml:space="preserve"> pp. 21-36</w:t>
      </w:r>
      <w:r w:rsidR="002723D5">
        <w:rPr>
          <w:rFonts w:eastAsia="Times New Roman"/>
          <w:lang w:eastAsia="en-US"/>
          <w14:ligatures w14:val="standardContextual"/>
        </w:rPr>
        <w:t xml:space="preserve">, disponível em: </w:t>
      </w:r>
      <w:hyperlink r:id="rId8" w:tgtFrame="_blank" w:history="1">
        <w:r w:rsidR="002723D5" w:rsidRPr="004846E9">
          <w:rPr>
            <w:rStyle w:val="Hiperligao"/>
            <w:color w:val="0563C1"/>
            <w14:ligatures w14:val="standardContextual"/>
          </w:rPr>
          <w:t>https://hdl.handle.net/11328/5319</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F7C52"/>
    <w:multiLevelType w:val="multilevel"/>
    <w:tmpl w:val="4C34E70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15:restartNumberingAfterBreak="0">
    <w:nsid w:val="2C7119FD"/>
    <w:multiLevelType w:val="hybridMultilevel"/>
    <w:tmpl w:val="2278BEC2"/>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45D95C32"/>
    <w:multiLevelType w:val="hybridMultilevel"/>
    <w:tmpl w:val="8D7C308A"/>
    <w:lvl w:ilvl="0" w:tplc="08160001">
      <w:start w:val="1"/>
      <w:numFmt w:val="bullet"/>
      <w:lvlText w:val=""/>
      <w:lvlJc w:val="left"/>
      <w:pPr>
        <w:ind w:left="720" w:hanging="360"/>
      </w:pPr>
      <w:rPr>
        <w:rFonts w:ascii="Symbol" w:hAnsi="Symbol" w:cs="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cs="Wingdings" w:hint="default"/>
      </w:rPr>
    </w:lvl>
    <w:lvl w:ilvl="3" w:tplc="08160001" w:tentative="1">
      <w:start w:val="1"/>
      <w:numFmt w:val="bullet"/>
      <w:lvlText w:val=""/>
      <w:lvlJc w:val="left"/>
      <w:pPr>
        <w:ind w:left="2880" w:hanging="360"/>
      </w:pPr>
      <w:rPr>
        <w:rFonts w:ascii="Symbol" w:hAnsi="Symbol" w:cs="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cs="Wingdings" w:hint="default"/>
      </w:rPr>
    </w:lvl>
    <w:lvl w:ilvl="6" w:tplc="08160001" w:tentative="1">
      <w:start w:val="1"/>
      <w:numFmt w:val="bullet"/>
      <w:lvlText w:val=""/>
      <w:lvlJc w:val="left"/>
      <w:pPr>
        <w:ind w:left="5040" w:hanging="360"/>
      </w:pPr>
      <w:rPr>
        <w:rFonts w:ascii="Symbol" w:hAnsi="Symbol" w:cs="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648004C"/>
    <w:multiLevelType w:val="multilevel"/>
    <w:tmpl w:val="12A0D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B85C2A"/>
    <w:multiLevelType w:val="multilevel"/>
    <w:tmpl w:val="F1862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1C32B9"/>
    <w:multiLevelType w:val="multilevel"/>
    <w:tmpl w:val="2C506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BD28F5"/>
    <w:multiLevelType w:val="multilevel"/>
    <w:tmpl w:val="D70EBDD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7" w15:restartNumberingAfterBreak="0">
    <w:nsid w:val="50080121"/>
    <w:multiLevelType w:val="multilevel"/>
    <w:tmpl w:val="ED662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DF32EC"/>
    <w:multiLevelType w:val="hybridMultilevel"/>
    <w:tmpl w:val="718A48B2"/>
    <w:lvl w:ilvl="0" w:tplc="08160001">
      <w:start w:val="1"/>
      <w:numFmt w:val="bullet"/>
      <w:lvlText w:val=""/>
      <w:lvlJc w:val="left"/>
      <w:pPr>
        <w:ind w:left="720" w:hanging="360"/>
      </w:pPr>
      <w:rPr>
        <w:rFonts w:ascii="Symbol" w:hAnsi="Symbol" w:cs="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cs="Wingdings" w:hint="default"/>
      </w:rPr>
    </w:lvl>
    <w:lvl w:ilvl="3" w:tplc="08160001" w:tentative="1">
      <w:start w:val="1"/>
      <w:numFmt w:val="bullet"/>
      <w:lvlText w:val=""/>
      <w:lvlJc w:val="left"/>
      <w:pPr>
        <w:ind w:left="2880" w:hanging="360"/>
      </w:pPr>
      <w:rPr>
        <w:rFonts w:ascii="Symbol" w:hAnsi="Symbol" w:cs="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cs="Wingdings" w:hint="default"/>
      </w:rPr>
    </w:lvl>
    <w:lvl w:ilvl="6" w:tplc="08160001" w:tentative="1">
      <w:start w:val="1"/>
      <w:numFmt w:val="bullet"/>
      <w:lvlText w:val=""/>
      <w:lvlJc w:val="left"/>
      <w:pPr>
        <w:ind w:left="5040" w:hanging="360"/>
      </w:pPr>
      <w:rPr>
        <w:rFonts w:ascii="Symbol" w:hAnsi="Symbol" w:cs="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53DA1A57"/>
    <w:multiLevelType w:val="hybridMultilevel"/>
    <w:tmpl w:val="4BAC8B5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15:restartNumberingAfterBreak="0">
    <w:nsid w:val="5CE62911"/>
    <w:multiLevelType w:val="hybridMultilevel"/>
    <w:tmpl w:val="32AC795A"/>
    <w:lvl w:ilvl="0" w:tplc="08160001">
      <w:start w:val="1"/>
      <w:numFmt w:val="bullet"/>
      <w:lvlText w:val=""/>
      <w:lvlJc w:val="left"/>
      <w:pPr>
        <w:ind w:left="720" w:hanging="360"/>
      </w:pPr>
      <w:rPr>
        <w:rFonts w:ascii="Symbol" w:hAnsi="Symbol" w:cs="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cs="Wingdings" w:hint="default"/>
      </w:rPr>
    </w:lvl>
    <w:lvl w:ilvl="3" w:tplc="08160001" w:tentative="1">
      <w:start w:val="1"/>
      <w:numFmt w:val="bullet"/>
      <w:lvlText w:val=""/>
      <w:lvlJc w:val="left"/>
      <w:pPr>
        <w:ind w:left="2880" w:hanging="360"/>
      </w:pPr>
      <w:rPr>
        <w:rFonts w:ascii="Symbol" w:hAnsi="Symbol" w:cs="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cs="Wingdings" w:hint="default"/>
      </w:rPr>
    </w:lvl>
    <w:lvl w:ilvl="6" w:tplc="08160001" w:tentative="1">
      <w:start w:val="1"/>
      <w:numFmt w:val="bullet"/>
      <w:lvlText w:val=""/>
      <w:lvlJc w:val="left"/>
      <w:pPr>
        <w:ind w:left="5040" w:hanging="360"/>
      </w:pPr>
      <w:rPr>
        <w:rFonts w:ascii="Symbol" w:hAnsi="Symbol" w:cs="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4FA2725"/>
    <w:multiLevelType w:val="multilevel"/>
    <w:tmpl w:val="CB9258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697F0DFD"/>
    <w:multiLevelType w:val="multilevel"/>
    <w:tmpl w:val="86F62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117852"/>
    <w:multiLevelType w:val="multilevel"/>
    <w:tmpl w:val="64E4DF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D8D4FB2"/>
    <w:multiLevelType w:val="hybridMultilevel"/>
    <w:tmpl w:val="53B82456"/>
    <w:lvl w:ilvl="0" w:tplc="08160001">
      <w:start w:val="1"/>
      <w:numFmt w:val="bullet"/>
      <w:lvlText w:val=""/>
      <w:lvlJc w:val="left"/>
      <w:pPr>
        <w:ind w:left="720" w:hanging="360"/>
      </w:pPr>
      <w:rPr>
        <w:rFonts w:ascii="Symbol" w:hAnsi="Symbol" w:cs="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cs="Wingdings" w:hint="default"/>
      </w:rPr>
    </w:lvl>
    <w:lvl w:ilvl="3" w:tplc="08160001" w:tentative="1">
      <w:start w:val="1"/>
      <w:numFmt w:val="bullet"/>
      <w:lvlText w:val=""/>
      <w:lvlJc w:val="left"/>
      <w:pPr>
        <w:ind w:left="2880" w:hanging="360"/>
      </w:pPr>
      <w:rPr>
        <w:rFonts w:ascii="Symbol" w:hAnsi="Symbol" w:cs="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cs="Wingdings" w:hint="default"/>
      </w:rPr>
    </w:lvl>
    <w:lvl w:ilvl="6" w:tplc="08160001" w:tentative="1">
      <w:start w:val="1"/>
      <w:numFmt w:val="bullet"/>
      <w:lvlText w:val=""/>
      <w:lvlJc w:val="left"/>
      <w:pPr>
        <w:ind w:left="5040" w:hanging="360"/>
      </w:pPr>
      <w:rPr>
        <w:rFonts w:ascii="Symbol" w:hAnsi="Symbol" w:cs="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7F401278"/>
    <w:multiLevelType w:val="hybridMultilevel"/>
    <w:tmpl w:val="98321F3E"/>
    <w:lvl w:ilvl="0" w:tplc="801E7CDC">
      <w:numFmt w:val="bullet"/>
      <w:lvlText w:val=""/>
      <w:lvlJc w:val="left"/>
      <w:pPr>
        <w:tabs>
          <w:tab w:val="num" w:pos="720"/>
        </w:tabs>
        <w:ind w:left="720" w:hanging="360"/>
      </w:pPr>
      <w:rPr>
        <w:rFonts w:ascii="Symbol" w:eastAsia="Times New Roman" w:hAnsi="Symbol" w:hint="default"/>
      </w:rPr>
    </w:lvl>
    <w:lvl w:ilvl="1" w:tplc="08160003" w:tentative="1">
      <w:start w:val="1"/>
      <w:numFmt w:val="bullet"/>
      <w:lvlText w:val="o"/>
      <w:lvlJc w:val="left"/>
      <w:pPr>
        <w:tabs>
          <w:tab w:val="num" w:pos="1440"/>
        </w:tabs>
        <w:ind w:left="1440" w:hanging="360"/>
      </w:pPr>
      <w:rPr>
        <w:rFonts w:ascii="Courier New" w:hAnsi="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4"/>
  </w:num>
  <w:num w:numId="3">
    <w:abstractNumId w:val="2"/>
  </w:num>
  <w:num w:numId="4">
    <w:abstractNumId w:val="8"/>
  </w:num>
  <w:num w:numId="5">
    <w:abstractNumId w:val="6"/>
  </w:num>
  <w:num w:numId="6">
    <w:abstractNumId w:val="0"/>
  </w:num>
  <w:num w:numId="7">
    <w:abstractNumId w:val="7"/>
  </w:num>
  <w:num w:numId="8">
    <w:abstractNumId w:val="12"/>
  </w:num>
  <w:num w:numId="9">
    <w:abstractNumId w:val="4"/>
  </w:num>
  <w:num w:numId="10">
    <w:abstractNumId w:val="5"/>
  </w:num>
  <w:num w:numId="11">
    <w:abstractNumId w:val="15"/>
  </w:num>
  <w:num w:numId="12">
    <w:abstractNumId w:val="3"/>
  </w:num>
  <w:num w:numId="13">
    <w:abstractNumId w:val="13"/>
  </w:num>
  <w:num w:numId="14">
    <w:abstractNumId w:val="1"/>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3CE"/>
    <w:rsid w:val="0000048B"/>
    <w:rsid w:val="00000928"/>
    <w:rsid w:val="00001FDF"/>
    <w:rsid w:val="00002021"/>
    <w:rsid w:val="00002C10"/>
    <w:rsid w:val="0000312B"/>
    <w:rsid w:val="00003ACB"/>
    <w:rsid w:val="000047DF"/>
    <w:rsid w:val="000053D2"/>
    <w:rsid w:val="00005891"/>
    <w:rsid w:val="00006293"/>
    <w:rsid w:val="00011F5E"/>
    <w:rsid w:val="00012165"/>
    <w:rsid w:val="000132C9"/>
    <w:rsid w:val="0001362E"/>
    <w:rsid w:val="000141B9"/>
    <w:rsid w:val="00014D53"/>
    <w:rsid w:val="00015542"/>
    <w:rsid w:val="00017D88"/>
    <w:rsid w:val="000213F3"/>
    <w:rsid w:val="000221FC"/>
    <w:rsid w:val="00023E4B"/>
    <w:rsid w:val="00024AC0"/>
    <w:rsid w:val="00026116"/>
    <w:rsid w:val="000267D8"/>
    <w:rsid w:val="000274F2"/>
    <w:rsid w:val="000276E7"/>
    <w:rsid w:val="0003174F"/>
    <w:rsid w:val="00031D8A"/>
    <w:rsid w:val="00032990"/>
    <w:rsid w:val="00033A4B"/>
    <w:rsid w:val="000362E8"/>
    <w:rsid w:val="00036F0F"/>
    <w:rsid w:val="00037656"/>
    <w:rsid w:val="00037BDD"/>
    <w:rsid w:val="00037C95"/>
    <w:rsid w:val="00040662"/>
    <w:rsid w:val="0004206B"/>
    <w:rsid w:val="00042AF0"/>
    <w:rsid w:val="00045FFD"/>
    <w:rsid w:val="00046FF2"/>
    <w:rsid w:val="0005160C"/>
    <w:rsid w:val="00054318"/>
    <w:rsid w:val="00054FBB"/>
    <w:rsid w:val="000550AB"/>
    <w:rsid w:val="00055D63"/>
    <w:rsid w:val="000561F9"/>
    <w:rsid w:val="000645A0"/>
    <w:rsid w:val="0006623D"/>
    <w:rsid w:val="00066405"/>
    <w:rsid w:val="0006698C"/>
    <w:rsid w:val="000676CB"/>
    <w:rsid w:val="00071F07"/>
    <w:rsid w:val="000721F7"/>
    <w:rsid w:val="000722A6"/>
    <w:rsid w:val="00072C82"/>
    <w:rsid w:val="00073672"/>
    <w:rsid w:val="00081AB0"/>
    <w:rsid w:val="00082D81"/>
    <w:rsid w:val="0008340D"/>
    <w:rsid w:val="00083B2C"/>
    <w:rsid w:val="00084DFF"/>
    <w:rsid w:val="000855F8"/>
    <w:rsid w:val="0008594B"/>
    <w:rsid w:val="00085F19"/>
    <w:rsid w:val="00085F3B"/>
    <w:rsid w:val="00087150"/>
    <w:rsid w:val="00091082"/>
    <w:rsid w:val="00093061"/>
    <w:rsid w:val="00096110"/>
    <w:rsid w:val="000A021B"/>
    <w:rsid w:val="000A15AF"/>
    <w:rsid w:val="000A4559"/>
    <w:rsid w:val="000A555F"/>
    <w:rsid w:val="000A5F2D"/>
    <w:rsid w:val="000A636F"/>
    <w:rsid w:val="000A677F"/>
    <w:rsid w:val="000A7B17"/>
    <w:rsid w:val="000B012E"/>
    <w:rsid w:val="000B461C"/>
    <w:rsid w:val="000B4713"/>
    <w:rsid w:val="000B49CD"/>
    <w:rsid w:val="000B4B28"/>
    <w:rsid w:val="000B4DA6"/>
    <w:rsid w:val="000B53C7"/>
    <w:rsid w:val="000B640D"/>
    <w:rsid w:val="000B6D86"/>
    <w:rsid w:val="000C1085"/>
    <w:rsid w:val="000C3362"/>
    <w:rsid w:val="000C4DF8"/>
    <w:rsid w:val="000C5E4B"/>
    <w:rsid w:val="000C5FCE"/>
    <w:rsid w:val="000D1698"/>
    <w:rsid w:val="000D6211"/>
    <w:rsid w:val="000D6DB1"/>
    <w:rsid w:val="000E0FD7"/>
    <w:rsid w:val="000E352B"/>
    <w:rsid w:val="000E3A8E"/>
    <w:rsid w:val="000E3EB7"/>
    <w:rsid w:val="000E5A2C"/>
    <w:rsid w:val="000E7720"/>
    <w:rsid w:val="000E798F"/>
    <w:rsid w:val="000F0720"/>
    <w:rsid w:val="000F1F44"/>
    <w:rsid w:val="000F3484"/>
    <w:rsid w:val="000F3C1C"/>
    <w:rsid w:val="000F5712"/>
    <w:rsid w:val="000F65CC"/>
    <w:rsid w:val="000F7523"/>
    <w:rsid w:val="00100A70"/>
    <w:rsid w:val="00101A22"/>
    <w:rsid w:val="001034D5"/>
    <w:rsid w:val="00103B0C"/>
    <w:rsid w:val="00103F19"/>
    <w:rsid w:val="001042F8"/>
    <w:rsid w:val="00104844"/>
    <w:rsid w:val="0010607A"/>
    <w:rsid w:val="00111404"/>
    <w:rsid w:val="00111AD5"/>
    <w:rsid w:val="00112563"/>
    <w:rsid w:val="001126D7"/>
    <w:rsid w:val="00114BA1"/>
    <w:rsid w:val="00115291"/>
    <w:rsid w:val="00121088"/>
    <w:rsid w:val="00121BE8"/>
    <w:rsid w:val="00122044"/>
    <w:rsid w:val="00123117"/>
    <w:rsid w:val="00123F5E"/>
    <w:rsid w:val="0012512C"/>
    <w:rsid w:val="0012519F"/>
    <w:rsid w:val="0012609F"/>
    <w:rsid w:val="00126764"/>
    <w:rsid w:val="00130B64"/>
    <w:rsid w:val="00132D63"/>
    <w:rsid w:val="00133AD0"/>
    <w:rsid w:val="0013423F"/>
    <w:rsid w:val="001417BB"/>
    <w:rsid w:val="00142379"/>
    <w:rsid w:val="001431B6"/>
    <w:rsid w:val="0014373F"/>
    <w:rsid w:val="00143AAD"/>
    <w:rsid w:val="001446F6"/>
    <w:rsid w:val="00145DCE"/>
    <w:rsid w:val="0015019B"/>
    <w:rsid w:val="00150ED2"/>
    <w:rsid w:val="00152076"/>
    <w:rsid w:val="001545CF"/>
    <w:rsid w:val="00154918"/>
    <w:rsid w:val="0015571B"/>
    <w:rsid w:val="00156163"/>
    <w:rsid w:val="001561AE"/>
    <w:rsid w:val="00157691"/>
    <w:rsid w:val="00157F35"/>
    <w:rsid w:val="00162DBA"/>
    <w:rsid w:val="00166F30"/>
    <w:rsid w:val="001673C5"/>
    <w:rsid w:val="001701AB"/>
    <w:rsid w:val="0017054A"/>
    <w:rsid w:val="00171001"/>
    <w:rsid w:val="0017217A"/>
    <w:rsid w:val="00172EAA"/>
    <w:rsid w:val="00174231"/>
    <w:rsid w:val="00174B9F"/>
    <w:rsid w:val="00175195"/>
    <w:rsid w:val="001751F6"/>
    <w:rsid w:val="00175D1E"/>
    <w:rsid w:val="00177F9B"/>
    <w:rsid w:val="00181B00"/>
    <w:rsid w:val="001854DF"/>
    <w:rsid w:val="00187276"/>
    <w:rsid w:val="00187754"/>
    <w:rsid w:val="001877DB"/>
    <w:rsid w:val="00187895"/>
    <w:rsid w:val="00187E93"/>
    <w:rsid w:val="00187FE9"/>
    <w:rsid w:val="001901D1"/>
    <w:rsid w:val="001902BD"/>
    <w:rsid w:val="001909DB"/>
    <w:rsid w:val="00190FD9"/>
    <w:rsid w:val="0019216F"/>
    <w:rsid w:val="00195DAA"/>
    <w:rsid w:val="001A42C2"/>
    <w:rsid w:val="001A74B4"/>
    <w:rsid w:val="001A74E3"/>
    <w:rsid w:val="001B0AA6"/>
    <w:rsid w:val="001B1B69"/>
    <w:rsid w:val="001B3167"/>
    <w:rsid w:val="001B3376"/>
    <w:rsid w:val="001B6229"/>
    <w:rsid w:val="001B6327"/>
    <w:rsid w:val="001B75EE"/>
    <w:rsid w:val="001C08A5"/>
    <w:rsid w:val="001C29AE"/>
    <w:rsid w:val="001C3958"/>
    <w:rsid w:val="001C5BF8"/>
    <w:rsid w:val="001C78E0"/>
    <w:rsid w:val="001C7A2C"/>
    <w:rsid w:val="001D0261"/>
    <w:rsid w:val="001D1556"/>
    <w:rsid w:val="001D2DB8"/>
    <w:rsid w:val="001D48C2"/>
    <w:rsid w:val="001D55E0"/>
    <w:rsid w:val="001D641B"/>
    <w:rsid w:val="001E13EF"/>
    <w:rsid w:val="001E1462"/>
    <w:rsid w:val="001E2A9B"/>
    <w:rsid w:val="001E3B03"/>
    <w:rsid w:val="001E4098"/>
    <w:rsid w:val="001E4DA9"/>
    <w:rsid w:val="001E5423"/>
    <w:rsid w:val="001E5CFA"/>
    <w:rsid w:val="001E5E13"/>
    <w:rsid w:val="001E723E"/>
    <w:rsid w:val="001E7870"/>
    <w:rsid w:val="001E78BB"/>
    <w:rsid w:val="001E7DC1"/>
    <w:rsid w:val="001E7DF0"/>
    <w:rsid w:val="001F0966"/>
    <w:rsid w:val="001F136A"/>
    <w:rsid w:val="001F18BA"/>
    <w:rsid w:val="001F1986"/>
    <w:rsid w:val="001F3866"/>
    <w:rsid w:val="001F5A87"/>
    <w:rsid w:val="00201CD8"/>
    <w:rsid w:val="002047FE"/>
    <w:rsid w:val="00206814"/>
    <w:rsid w:val="0021127D"/>
    <w:rsid w:val="0021178A"/>
    <w:rsid w:val="00212561"/>
    <w:rsid w:val="002137CA"/>
    <w:rsid w:val="00213ED8"/>
    <w:rsid w:val="002147DA"/>
    <w:rsid w:val="00217993"/>
    <w:rsid w:val="00217F5A"/>
    <w:rsid w:val="002203C0"/>
    <w:rsid w:val="00220FC2"/>
    <w:rsid w:val="00222D4D"/>
    <w:rsid w:val="00222EC8"/>
    <w:rsid w:val="00223089"/>
    <w:rsid w:val="002236F1"/>
    <w:rsid w:val="002241A6"/>
    <w:rsid w:val="00224377"/>
    <w:rsid w:val="002251BA"/>
    <w:rsid w:val="00225376"/>
    <w:rsid w:val="00226B88"/>
    <w:rsid w:val="002330FE"/>
    <w:rsid w:val="00234737"/>
    <w:rsid w:val="002350F0"/>
    <w:rsid w:val="0023627B"/>
    <w:rsid w:val="00240F68"/>
    <w:rsid w:val="00242832"/>
    <w:rsid w:val="002428F0"/>
    <w:rsid w:val="00242DF9"/>
    <w:rsid w:val="00243C24"/>
    <w:rsid w:val="0024454C"/>
    <w:rsid w:val="002477A5"/>
    <w:rsid w:val="00247A76"/>
    <w:rsid w:val="00247CA0"/>
    <w:rsid w:val="00247DC2"/>
    <w:rsid w:val="00250D25"/>
    <w:rsid w:val="00252C7D"/>
    <w:rsid w:val="00253539"/>
    <w:rsid w:val="00253C23"/>
    <w:rsid w:val="00255BC2"/>
    <w:rsid w:val="00256385"/>
    <w:rsid w:val="00257E31"/>
    <w:rsid w:val="00257E8B"/>
    <w:rsid w:val="002601F8"/>
    <w:rsid w:val="002603FB"/>
    <w:rsid w:val="0026052E"/>
    <w:rsid w:val="00262E5B"/>
    <w:rsid w:val="00263162"/>
    <w:rsid w:val="002632E9"/>
    <w:rsid w:val="00267EAD"/>
    <w:rsid w:val="00267FCA"/>
    <w:rsid w:val="002708F0"/>
    <w:rsid w:val="00270B0C"/>
    <w:rsid w:val="0027128D"/>
    <w:rsid w:val="002723D5"/>
    <w:rsid w:val="00274094"/>
    <w:rsid w:val="00276C40"/>
    <w:rsid w:val="00276C48"/>
    <w:rsid w:val="00277058"/>
    <w:rsid w:val="00280850"/>
    <w:rsid w:val="00281414"/>
    <w:rsid w:val="00281CEF"/>
    <w:rsid w:val="00282214"/>
    <w:rsid w:val="00282381"/>
    <w:rsid w:val="002828FE"/>
    <w:rsid w:val="00282FDB"/>
    <w:rsid w:val="00283584"/>
    <w:rsid w:val="00284A58"/>
    <w:rsid w:val="002851B9"/>
    <w:rsid w:val="0029105A"/>
    <w:rsid w:val="00292D8E"/>
    <w:rsid w:val="00294ECA"/>
    <w:rsid w:val="0029742C"/>
    <w:rsid w:val="00297633"/>
    <w:rsid w:val="002978E9"/>
    <w:rsid w:val="002A0C31"/>
    <w:rsid w:val="002A0DBD"/>
    <w:rsid w:val="002A25B8"/>
    <w:rsid w:val="002A3062"/>
    <w:rsid w:val="002A3103"/>
    <w:rsid w:val="002B0543"/>
    <w:rsid w:val="002B0920"/>
    <w:rsid w:val="002B39EB"/>
    <w:rsid w:val="002B4F2C"/>
    <w:rsid w:val="002B6D10"/>
    <w:rsid w:val="002C0970"/>
    <w:rsid w:val="002C0DCA"/>
    <w:rsid w:val="002C2DB2"/>
    <w:rsid w:val="002C32AC"/>
    <w:rsid w:val="002C3A7E"/>
    <w:rsid w:val="002C742C"/>
    <w:rsid w:val="002C7D8D"/>
    <w:rsid w:val="002D14EC"/>
    <w:rsid w:val="002D20DA"/>
    <w:rsid w:val="002D5605"/>
    <w:rsid w:val="002D7C75"/>
    <w:rsid w:val="002D7D1F"/>
    <w:rsid w:val="002E2331"/>
    <w:rsid w:val="002E30D6"/>
    <w:rsid w:val="002E32D4"/>
    <w:rsid w:val="002E5282"/>
    <w:rsid w:val="002E5D60"/>
    <w:rsid w:val="002E7030"/>
    <w:rsid w:val="002E7CB3"/>
    <w:rsid w:val="002E7E49"/>
    <w:rsid w:val="002F056A"/>
    <w:rsid w:val="002F1CAC"/>
    <w:rsid w:val="0030031D"/>
    <w:rsid w:val="003036E6"/>
    <w:rsid w:val="00303DF8"/>
    <w:rsid w:val="00303FC8"/>
    <w:rsid w:val="00304206"/>
    <w:rsid w:val="003055E3"/>
    <w:rsid w:val="003058E4"/>
    <w:rsid w:val="00305B05"/>
    <w:rsid w:val="00305BA2"/>
    <w:rsid w:val="00306BA6"/>
    <w:rsid w:val="003075CA"/>
    <w:rsid w:val="00307BFC"/>
    <w:rsid w:val="00307EDD"/>
    <w:rsid w:val="0031035E"/>
    <w:rsid w:val="00310E0F"/>
    <w:rsid w:val="00312E29"/>
    <w:rsid w:val="003134DE"/>
    <w:rsid w:val="003145FC"/>
    <w:rsid w:val="00315B44"/>
    <w:rsid w:val="00316B13"/>
    <w:rsid w:val="00316B79"/>
    <w:rsid w:val="00320190"/>
    <w:rsid w:val="00321E71"/>
    <w:rsid w:val="00330260"/>
    <w:rsid w:val="003328E2"/>
    <w:rsid w:val="00332B2A"/>
    <w:rsid w:val="00332DA6"/>
    <w:rsid w:val="00334883"/>
    <w:rsid w:val="003350D2"/>
    <w:rsid w:val="003362A3"/>
    <w:rsid w:val="003362BC"/>
    <w:rsid w:val="00341471"/>
    <w:rsid w:val="00343AE1"/>
    <w:rsid w:val="003452C3"/>
    <w:rsid w:val="00345758"/>
    <w:rsid w:val="00347C76"/>
    <w:rsid w:val="00350487"/>
    <w:rsid w:val="00350519"/>
    <w:rsid w:val="0035112E"/>
    <w:rsid w:val="003525F7"/>
    <w:rsid w:val="00353447"/>
    <w:rsid w:val="00353B35"/>
    <w:rsid w:val="00353BC6"/>
    <w:rsid w:val="00354213"/>
    <w:rsid w:val="00354402"/>
    <w:rsid w:val="0035466F"/>
    <w:rsid w:val="0035668B"/>
    <w:rsid w:val="00356B56"/>
    <w:rsid w:val="00362732"/>
    <w:rsid w:val="00364642"/>
    <w:rsid w:val="00365F43"/>
    <w:rsid w:val="00370AE2"/>
    <w:rsid w:val="003723A6"/>
    <w:rsid w:val="003724CD"/>
    <w:rsid w:val="0037304E"/>
    <w:rsid w:val="00373525"/>
    <w:rsid w:val="00373B61"/>
    <w:rsid w:val="00373EA2"/>
    <w:rsid w:val="0037423A"/>
    <w:rsid w:val="00374E38"/>
    <w:rsid w:val="003752F6"/>
    <w:rsid w:val="003763A2"/>
    <w:rsid w:val="003765CC"/>
    <w:rsid w:val="003775CF"/>
    <w:rsid w:val="00380492"/>
    <w:rsid w:val="003806E1"/>
    <w:rsid w:val="00381292"/>
    <w:rsid w:val="0038325E"/>
    <w:rsid w:val="003840B8"/>
    <w:rsid w:val="0038495D"/>
    <w:rsid w:val="00385071"/>
    <w:rsid w:val="00386377"/>
    <w:rsid w:val="00387072"/>
    <w:rsid w:val="00390262"/>
    <w:rsid w:val="0039026A"/>
    <w:rsid w:val="003903AA"/>
    <w:rsid w:val="00390E41"/>
    <w:rsid w:val="00392C80"/>
    <w:rsid w:val="00394D18"/>
    <w:rsid w:val="00395756"/>
    <w:rsid w:val="003A1C6C"/>
    <w:rsid w:val="003A23E9"/>
    <w:rsid w:val="003A2830"/>
    <w:rsid w:val="003A2DF3"/>
    <w:rsid w:val="003A32E1"/>
    <w:rsid w:val="003A4626"/>
    <w:rsid w:val="003A475C"/>
    <w:rsid w:val="003A4D2C"/>
    <w:rsid w:val="003A6419"/>
    <w:rsid w:val="003A6BE3"/>
    <w:rsid w:val="003A7F4F"/>
    <w:rsid w:val="003B07F6"/>
    <w:rsid w:val="003B1A88"/>
    <w:rsid w:val="003B5B6C"/>
    <w:rsid w:val="003B7709"/>
    <w:rsid w:val="003B7F78"/>
    <w:rsid w:val="003C0582"/>
    <w:rsid w:val="003C22A8"/>
    <w:rsid w:val="003C682F"/>
    <w:rsid w:val="003D18E9"/>
    <w:rsid w:val="003D1D34"/>
    <w:rsid w:val="003D2201"/>
    <w:rsid w:val="003D25C7"/>
    <w:rsid w:val="003D26B4"/>
    <w:rsid w:val="003D5299"/>
    <w:rsid w:val="003D5F81"/>
    <w:rsid w:val="003D7932"/>
    <w:rsid w:val="003F0703"/>
    <w:rsid w:val="003F1204"/>
    <w:rsid w:val="003F16AB"/>
    <w:rsid w:val="003F2867"/>
    <w:rsid w:val="003F38F1"/>
    <w:rsid w:val="003F4C6D"/>
    <w:rsid w:val="003F5708"/>
    <w:rsid w:val="003F6F42"/>
    <w:rsid w:val="00401EE1"/>
    <w:rsid w:val="00401FA6"/>
    <w:rsid w:val="00402851"/>
    <w:rsid w:val="00402913"/>
    <w:rsid w:val="00402ECE"/>
    <w:rsid w:val="00402F25"/>
    <w:rsid w:val="00403389"/>
    <w:rsid w:val="00403A2B"/>
    <w:rsid w:val="00403AA7"/>
    <w:rsid w:val="0040495D"/>
    <w:rsid w:val="00404F5C"/>
    <w:rsid w:val="00405805"/>
    <w:rsid w:val="00406092"/>
    <w:rsid w:val="004109BA"/>
    <w:rsid w:val="00411644"/>
    <w:rsid w:val="00412596"/>
    <w:rsid w:val="00413EC2"/>
    <w:rsid w:val="00414A4B"/>
    <w:rsid w:val="004158AF"/>
    <w:rsid w:val="004170BE"/>
    <w:rsid w:val="00420251"/>
    <w:rsid w:val="00420623"/>
    <w:rsid w:val="00422355"/>
    <w:rsid w:val="00422F77"/>
    <w:rsid w:val="00423C43"/>
    <w:rsid w:val="00423FE2"/>
    <w:rsid w:val="0042578C"/>
    <w:rsid w:val="00427709"/>
    <w:rsid w:val="00427F6B"/>
    <w:rsid w:val="004301D3"/>
    <w:rsid w:val="004307D0"/>
    <w:rsid w:val="00430EDA"/>
    <w:rsid w:val="00431788"/>
    <w:rsid w:val="00431965"/>
    <w:rsid w:val="00432216"/>
    <w:rsid w:val="00432EF0"/>
    <w:rsid w:val="00433D23"/>
    <w:rsid w:val="00436B85"/>
    <w:rsid w:val="00436E0B"/>
    <w:rsid w:val="00436EB9"/>
    <w:rsid w:val="00437EE8"/>
    <w:rsid w:val="00442FB9"/>
    <w:rsid w:val="00446675"/>
    <w:rsid w:val="004504BB"/>
    <w:rsid w:val="004507DF"/>
    <w:rsid w:val="0045277B"/>
    <w:rsid w:val="004535F8"/>
    <w:rsid w:val="0045435D"/>
    <w:rsid w:val="00454726"/>
    <w:rsid w:val="00454B8D"/>
    <w:rsid w:val="004568AC"/>
    <w:rsid w:val="00457478"/>
    <w:rsid w:val="004576B3"/>
    <w:rsid w:val="004578E3"/>
    <w:rsid w:val="004609FE"/>
    <w:rsid w:val="004624F6"/>
    <w:rsid w:val="00465046"/>
    <w:rsid w:val="00470F5A"/>
    <w:rsid w:val="00474914"/>
    <w:rsid w:val="00475847"/>
    <w:rsid w:val="00475E6B"/>
    <w:rsid w:val="00481945"/>
    <w:rsid w:val="00483259"/>
    <w:rsid w:val="00483A3E"/>
    <w:rsid w:val="00483EDC"/>
    <w:rsid w:val="004846E9"/>
    <w:rsid w:val="00485381"/>
    <w:rsid w:val="00485BD2"/>
    <w:rsid w:val="0048650F"/>
    <w:rsid w:val="00487531"/>
    <w:rsid w:val="00490035"/>
    <w:rsid w:val="00490296"/>
    <w:rsid w:val="00490AD3"/>
    <w:rsid w:val="00490FA6"/>
    <w:rsid w:val="00491690"/>
    <w:rsid w:val="00491AAD"/>
    <w:rsid w:val="0049227A"/>
    <w:rsid w:val="00492920"/>
    <w:rsid w:val="00496F1E"/>
    <w:rsid w:val="004A1EAB"/>
    <w:rsid w:val="004A2A55"/>
    <w:rsid w:val="004A3504"/>
    <w:rsid w:val="004A75A2"/>
    <w:rsid w:val="004B0AB8"/>
    <w:rsid w:val="004B113F"/>
    <w:rsid w:val="004B1692"/>
    <w:rsid w:val="004B281C"/>
    <w:rsid w:val="004B28C4"/>
    <w:rsid w:val="004B49B9"/>
    <w:rsid w:val="004B4ED3"/>
    <w:rsid w:val="004B5AB9"/>
    <w:rsid w:val="004B7ECC"/>
    <w:rsid w:val="004C166D"/>
    <w:rsid w:val="004C29B7"/>
    <w:rsid w:val="004C3453"/>
    <w:rsid w:val="004C4A14"/>
    <w:rsid w:val="004C7867"/>
    <w:rsid w:val="004D04FD"/>
    <w:rsid w:val="004D260D"/>
    <w:rsid w:val="004D3210"/>
    <w:rsid w:val="004D3F80"/>
    <w:rsid w:val="004D5D41"/>
    <w:rsid w:val="004D6CDF"/>
    <w:rsid w:val="004E0BFA"/>
    <w:rsid w:val="004E2A35"/>
    <w:rsid w:val="004E349B"/>
    <w:rsid w:val="004E34A1"/>
    <w:rsid w:val="004E3A74"/>
    <w:rsid w:val="004E4F4B"/>
    <w:rsid w:val="004E62DB"/>
    <w:rsid w:val="004F009E"/>
    <w:rsid w:val="004F2F91"/>
    <w:rsid w:val="004F3860"/>
    <w:rsid w:val="004F3FC0"/>
    <w:rsid w:val="004F4499"/>
    <w:rsid w:val="004F48D4"/>
    <w:rsid w:val="004F6CFC"/>
    <w:rsid w:val="004F791B"/>
    <w:rsid w:val="00500391"/>
    <w:rsid w:val="005008E7"/>
    <w:rsid w:val="00502A09"/>
    <w:rsid w:val="0050498F"/>
    <w:rsid w:val="00505CB4"/>
    <w:rsid w:val="00505CFC"/>
    <w:rsid w:val="005064B4"/>
    <w:rsid w:val="0050670F"/>
    <w:rsid w:val="005113B1"/>
    <w:rsid w:val="00512711"/>
    <w:rsid w:val="00512D57"/>
    <w:rsid w:val="00512DB4"/>
    <w:rsid w:val="00513443"/>
    <w:rsid w:val="005134A2"/>
    <w:rsid w:val="00513817"/>
    <w:rsid w:val="00513DCA"/>
    <w:rsid w:val="0051447B"/>
    <w:rsid w:val="00515E28"/>
    <w:rsid w:val="005233C1"/>
    <w:rsid w:val="00525CC6"/>
    <w:rsid w:val="005301FB"/>
    <w:rsid w:val="00531C51"/>
    <w:rsid w:val="0053346A"/>
    <w:rsid w:val="00534500"/>
    <w:rsid w:val="00535630"/>
    <w:rsid w:val="0053621E"/>
    <w:rsid w:val="00537A2C"/>
    <w:rsid w:val="005407D9"/>
    <w:rsid w:val="00540E2F"/>
    <w:rsid w:val="005410FC"/>
    <w:rsid w:val="00541578"/>
    <w:rsid w:val="005417F1"/>
    <w:rsid w:val="00541C60"/>
    <w:rsid w:val="00541DCA"/>
    <w:rsid w:val="005431BC"/>
    <w:rsid w:val="005469D5"/>
    <w:rsid w:val="0054751C"/>
    <w:rsid w:val="00550012"/>
    <w:rsid w:val="00550021"/>
    <w:rsid w:val="005522B0"/>
    <w:rsid w:val="00552673"/>
    <w:rsid w:val="00552E13"/>
    <w:rsid w:val="00553259"/>
    <w:rsid w:val="00553576"/>
    <w:rsid w:val="00553713"/>
    <w:rsid w:val="00553837"/>
    <w:rsid w:val="00557E82"/>
    <w:rsid w:val="00557FEC"/>
    <w:rsid w:val="00561C67"/>
    <w:rsid w:val="00562985"/>
    <w:rsid w:val="005629C9"/>
    <w:rsid w:val="00563467"/>
    <w:rsid w:val="00563470"/>
    <w:rsid w:val="00563F1E"/>
    <w:rsid w:val="00564425"/>
    <w:rsid w:val="00564B13"/>
    <w:rsid w:val="005656FD"/>
    <w:rsid w:val="00567A4C"/>
    <w:rsid w:val="0057008A"/>
    <w:rsid w:val="00570673"/>
    <w:rsid w:val="00571372"/>
    <w:rsid w:val="00571548"/>
    <w:rsid w:val="0057308B"/>
    <w:rsid w:val="00573E4E"/>
    <w:rsid w:val="005744CB"/>
    <w:rsid w:val="00574BEC"/>
    <w:rsid w:val="00575A10"/>
    <w:rsid w:val="00576EBA"/>
    <w:rsid w:val="00576F7D"/>
    <w:rsid w:val="0058041D"/>
    <w:rsid w:val="0058098F"/>
    <w:rsid w:val="00581454"/>
    <w:rsid w:val="005830FD"/>
    <w:rsid w:val="005845BC"/>
    <w:rsid w:val="00584D63"/>
    <w:rsid w:val="005854A9"/>
    <w:rsid w:val="005907DC"/>
    <w:rsid w:val="00592C3C"/>
    <w:rsid w:val="00593F84"/>
    <w:rsid w:val="00594709"/>
    <w:rsid w:val="005A0075"/>
    <w:rsid w:val="005A019C"/>
    <w:rsid w:val="005A13AE"/>
    <w:rsid w:val="005A292A"/>
    <w:rsid w:val="005A3254"/>
    <w:rsid w:val="005A39E7"/>
    <w:rsid w:val="005A4479"/>
    <w:rsid w:val="005A5029"/>
    <w:rsid w:val="005A51E6"/>
    <w:rsid w:val="005A63E9"/>
    <w:rsid w:val="005A7157"/>
    <w:rsid w:val="005A71BB"/>
    <w:rsid w:val="005A7211"/>
    <w:rsid w:val="005B0028"/>
    <w:rsid w:val="005B01E5"/>
    <w:rsid w:val="005B1E3F"/>
    <w:rsid w:val="005B28AB"/>
    <w:rsid w:val="005B2F1A"/>
    <w:rsid w:val="005B53DE"/>
    <w:rsid w:val="005B586C"/>
    <w:rsid w:val="005B5D99"/>
    <w:rsid w:val="005B5ED5"/>
    <w:rsid w:val="005B6B20"/>
    <w:rsid w:val="005B7969"/>
    <w:rsid w:val="005C2E29"/>
    <w:rsid w:val="005C38E6"/>
    <w:rsid w:val="005C450B"/>
    <w:rsid w:val="005C5E29"/>
    <w:rsid w:val="005D3E33"/>
    <w:rsid w:val="005D4155"/>
    <w:rsid w:val="005D4DE9"/>
    <w:rsid w:val="005D7508"/>
    <w:rsid w:val="005E1674"/>
    <w:rsid w:val="005E1EAE"/>
    <w:rsid w:val="005E4AD0"/>
    <w:rsid w:val="005E5D77"/>
    <w:rsid w:val="005E5ED0"/>
    <w:rsid w:val="005E62D5"/>
    <w:rsid w:val="005F06FE"/>
    <w:rsid w:val="005F1383"/>
    <w:rsid w:val="005F1695"/>
    <w:rsid w:val="005F1B9C"/>
    <w:rsid w:val="005F1D1A"/>
    <w:rsid w:val="005F3538"/>
    <w:rsid w:val="005F4B13"/>
    <w:rsid w:val="0060055A"/>
    <w:rsid w:val="00600710"/>
    <w:rsid w:val="00600CEC"/>
    <w:rsid w:val="00600DF6"/>
    <w:rsid w:val="00601C2B"/>
    <w:rsid w:val="0060296C"/>
    <w:rsid w:val="00602EFC"/>
    <w:rsid w:val="0060405B"/>
    <w:rsid w:val="00604DD6"/>
    <w:rsid w:val="006055CB"/>
    <w:rsid w:val="00611BE4"/>
    <w:rsid w:val="006127D2"/>
    <w:rsid w:val="00616B18"/>
    <w:rsid w:val="00621539"/>
    <w:rsid w:val="00622A73"/>
    <w:rsid w:val="00623961"/>
    <w:rsid w:val="00624122"/>
    <w:rsid w:val="00625CC2"/>
    <w:rsid w:val="0062635E"/>
    <w:rsid w:val="00627300"/>
    <w:rsid w:val="00627FF1"/>
    <w:rsid w:val="006302B1"/>
    <w:rsid w:val="006334D6"/>
    <w:rsid w:val="00633B5A"/>
    <w:rsid w:val="00635411"/>
    <w:rsid w:val="006357F3"/>
    <w:rsid w:val="0063697B"/>
    <w:rsid w:val="0063761B"/>
    <w:rsid w:val="00637CD6"/>
    <w:rsid w:val="0064086D"/>
    <w:rsid w:val="006424CF"/>
    <w:rsid w:val="006432ED"/>
    <w:rsid w:val="00643F11"/>
    <w:rsid w:val="006448E0"/>
    <w:rsid w:val="00644F5A"/>
    <w:rsid w:val="00646EC6"/>
    <w:rsid w:val="00647D68"/>
    <w:rsid w:val="006501C6"/>
    <w:rsid w:val="00652D5A"/>
    <w:rsid w:val="006559AA"/>
    <w:rsid w:val="00660F12"/>
    <w:rsid w:val="0066177A"/>
    <w:rsid w:val="00662596"/>
    <w:rsid w:val="006636D0"/>
    <w:rsid w:val="00665ABD"/>
    <w:rsid w:val="00666082"/>
    <w:rsid w:val="00666595"/>
    <w:rsid w:val="00667907"/>
    <w:rsid w:val="00667AB0"/>
    <w:rsid w:val="006705B5"/>
    <w:rsid w:val="00670838"/>
    <w:rsid w:val="00671F16"/>
    <w:rsid w:val="00672A75"/>
    <w:rsid w:val="00673A71"/>
    <w:rsid w:val="00673C0B"/>
    <w:rsid w:val="00673C5E"/>
    <w:rsid w:val="00675E39"/>
    <w:rsid w:val="00676DE9"/>
    <w:rsid w:val="0068077A"/>
    <w:rsid w:val="0068302D"/>
    <w:rsid w:val="00683A6C"/>
    <w:rsid w:val="00684485"/>
    <w:rsid w:val="00684B08"/>
    <w:rsid w:val="006850AC"/>
    <w:rsid w:val="0068571F"/>
    <w:rsid w:val="006875B5"/>
    <w:rsid w:val="006912A8"/>
    <w:rsid w:val="00692193"/>
    <w:rsid w:val="006922CD"/>
    <w:rsid w:val="00692D7B"/>
    <w:rsid w:val="00693CC2"/>
    <w:rsid w:val="0069443D"/>
    <w:rsid w:val="00694C0E"/>
    <w:rsid w:val="00694CC7"/>
    <w:rsid w:val="00696036"/>
    <w:rsid w:val="00696C33"/>
    <w:rsid w:val="00696D7C"/>
    <w:rsid w:val="00697134"/>
    <w:rsid w:val="00697C5A"/>
    <w:rsid w:val="006A3443"/>
    <w:rsid w:val="006A4881"/>
    <w:rsid w:val="006A4D99"/>
    <w:rsid w:val="006A5494"/>
    <w:rsid w:val="006A5EA3"/>
    <w:rsid w:val="006A6002"/>
    <w:rsid w:val="006A6447"/>
    <w:rsid w:val="006A7198"/>
    <w:rsid w:val="006A74F9"/>
    <w:rsid w:val="006B014C"/>
    <w:rsid w:val="006B0CCA"/>
    <w:rsid w:val="006B12B9"/>
    <w:rsid w:val="006B1E8F"/>
    <w:rsid w:val="006B339D"/>
    <w:rsid w:val="006B451D"/>
    <w:rsid w:val="006B5190"/>
    <w:rsid w:val="006B53AE"/>
    <w:rsid w:val="006B5F2F"/>
    <w:rsid w:val="006B6D01"/>
    <w:rsid w:val="006B6DBF"/>
    <w:rsid w:val="006B7F38"/>
    <w:rsid w:val="006C22C7"/>
    <w:rsid w:val="006C443A"/>
    <w:rsid w:val="006C4CBF"/>
    <w:rsid w:val="006C6530"/>
    <w:rsid w:val="006C6795"/>
    <w:rsid w:val="006C6898"/>
    <w:rsid w:val="006D14E0"/>
    <w:rsid w:val="006D1F37"/>
    <w:rsid w:val="006D6B7B"/>
    <w:rsid w:val="006D7969"/>
    <w:rsid w:val="006D7D1D"/>
    <w:rsid w:val="006E0AFC"/>
    <w:rsid w:val="006E12CC"/>
    <w:rsid w:val="006E1BC4"/>
    <w:rsid w:val="006E23C7"/>
    <w:rsid w:val="006E3F88"/>
    <w:rsid w:val="006E47DA"/>
    <w:rsid w:val="006E4ADB"/>
    <w:rsid w:val="006E6123"/>
    <w:rsid w:val="006E69B6"/>
    <w:rsid w:val="006E7B5B"/>
    <w:rsid w:val="006F0F81"/>
    <w:rsid w:val="006F108A"/>
    <w:rsid w:val="006F35E6"/>
    <w:rsid w:val="006F3B1E"/>
    <w:rsid w:val="006F550B"/>
    <w:rsid w:val="006F5CFF"/>
    <w:rsid w:val="006F69EF"/>
    <w:rsid w:val="0070294E"/>
    <w:rsid w:val="0070324B"/>
    <w:rsid w:val="007038AA"/>
    <w:rsid w:val="0070396D"/>
    <w:rsid w:val="00705012"/>
    <w:rsid w:val="0070684E"/>
    <w:rsid w:val="00707D6F"/>
    <w:rsid w:val="007110BB"/>
    <w:rsid w:val="007120D4"/>
    <w:rsid w:val="0071223A"/>
    <w:rsid w:val="007134F5"/>
    <w:rsid w:val="00716C24"/>
    <w:rsid w:val="00717469"/>
    <w:rsid w:val="00717B9A"/>
    <w:rsid w:val="007216E4"/>
    <w:rsid w:val="007226F4"/>
    <w:rsid w:val="00724C9F"/>
    <w:rsid w:val="00724D77"/>
    <w:rsid w:val="0072633F"/>
    <w:rsid w:val="007314BA"/>
    <w:rsid w:val="007334D3"/>
    <w:rsid w:val="0073454A"/>
    <w:rsid w:val="00734B6C"/>
    <w:rsid w:val="00735748"/>
    <w:rsid w:val="007365C9"/>
    <w:rsid w:val="007367FB"/>
    <w:rsid w:val="0073735C"/>
    <w:rsid w:val="00737A5D"/>
    <w:rsid w:val="007419EB"/>
    <w:rsid w:val="00744D3E"/>
    <w:rsid w:val="0074565B"/>
    <w:rsid w:val="0074646E"/>
    <w:rsid w:val="00746D77"/>
    <w:rsid w:val="00747862"/>
    <w:rsid w:val="00747AED"/>
    <w:rsid w:val="00747BBB"/>
    <w:rsid w:val="00750476"/>
    <w:rsid w:val="0075051D"/>
    <w:rsid w:val="00750854"/>
    <w:rsid w:val="0075123E"/>
    <w:rsid w:val="007549E4"/>
    <w:rsid w:val="00755E6B"/>
    <w:rsid w:val="00760A34"/>
    <w:rsid w:val="007619C8"/>
    <w:rsid w:val="0076311D"/>
    <w:rsid w:val="00763C0B"/>
    <w:rsid w:val="00764D13"/>
    <w:rsid w:val="00764D52"/>
    <w:rsid w:val="00766819"/>
    <w:rsid w:val="00767B20"/>
    <w:rsid w:val="00772336"/>
    <w:rsid w:val="007730F9"/>
    <w:rsid w:val="00780DD7"/>
    <w:rsid w:val="00781AAF"/>
    <w:rsid w:val="007824BB"/>
    <w:rsid w:val="00782933"/>
    <w:rsid w:val="00782C67"/>
    <w:rsid w:val="007843E6"/>
    <w:rsid w:val="0078702D"/>
    <w:rsid w:val="00787350"/>
    <w:rsid w:val="007917B1"/>
    <w:rsid w:val="00791CE4"/>
    <w:rsid w:val="00792301"/>
    <w:rsid w:val="007925DA"/>
    <w:rsid w:val="00793AA0"/>
    <w:rsid w:val="007941E5"/>
    <w:rsid w:val="007A1538"/>
    <w:rsid w:val="007A1A0F"/>
    <w:rsid w:val="007A38A7"/>
    <w:rsid w:val="007A69FD"/>
    <w:rsid w:val="007B16B7"/>
    <w:rsid w:val="007B22D8"/>
    <w:rsid w:val="007B2D19"/>
    <w:rsid w:val="007B55F5"/>
    <w:rsid w:val="007B5682"/>
    <w:rsid w:val="007B6320"/>
    <w:rsid w:val="007B6D7A"/>
    <w:rsid w:val="007B7036"/>
    <w:rsid w:val="007B7C3E"/>
    <w:rsid w:val="007C0313"/>
    <w:rsid w:val="007C0900"/>
    <w:rsid w:val="007C16A1"/>
    <w:rsid w:val="007C453D"/>
    <w:rsid w:val="007C4871"/>
    <w:rsid w:val="007C799D"/>
    <w:rsid w:val="007D0080"/>
    <w:rsid w:val="007D02EA"/>
    <w:rsid w:val="007D0BA7"/>
    <w:rsid w:val="007D2C6C"/>
    <w:rsid w:val="007D2E4E"/>
    <w:rsid w:val="007D347C"/>
    <w:rsid w:val="007D3C21"/>
    <w:rsid w:val="007D3DC8"/>
    <w:rsid w:val="007D440A"/>
    <w:rsid w:val="007E12AF"/>
    <w:rsid w:val="007E1C12"/>
    <w:rsid w:val="007E2F34"/>
    <w:rsid w:val="007E4A73"/>
    <w:rsid w:val="007E6AFA"/>
    <w:rsid w:val="007E7E02"/>
    <w:rsid w:val="007F1989"/>
    <w:rsid w:val="007F38EB"/>
    <w:rsid w:val="007F5141"/>
    <w:rsid w:val="007F55F6"/>
    <w:rsid w:val="007F6E4B"/>
    <w:rsid w:val="007F7321"/>
    <w:rsid w:val="007F7839"/>
    <w:rsid w:val="00800C0F"/>
    <w:rsid w:val="00801EE2"/>
    <w:rsid w:val="0080356F"/>
    <w:rsid w:val="00803FF9"/>
    <w:rsid w:val="00804093"/>
    <w:rsid w:val="00804231"/>
    <w:rsid w:val="00804881"/>
    <w:rsid w:val="00806F2B"/>
    <w:rsid w:val="00807B0C"/>
    <w:rsid w:val="00810B55"/>
    <w:rsid w:val="00811AAB"/>
    <w:rsid w:val="00812779"/>
    <w:rsid w:val="00813437"/>
    <w:rsid w:val="0081398D"/>
    <w:rsid w:val="008162DE"/>
    <w:rsid w:val="00816EA7"/>
    <w:rsid w:val="008223AC"/>
    <w:rsid w:val="008231CB"/>
    <w:rsid w:val="008245A0"/>
    <w:rsid w:val="00824D3E"/>
    <w:rsid w:val="00825482"/>
    <w:rsid w:val="0082753F"/>
    <w:rsid w:val="00827BE8"/>
    <w:rsid w:val="00830626"/>
    <w:rsid w:val="008333F7"/>
    <w:rsid w:val="008355E7"/>
    <w:rsid w:val="00836173"/>
    <w:rsid w:val="00840511"/>
    <w:rsid w:val="008412F6"/>
    <w:rsid w:val="008417C6"/>
    <w:rsid w:val="00841921"/>
    <w:rsid w:val="00841F1A"/>
    <w:rsid w:val="00842AF4"/>
    <w:rsid w:val="00843039"/>
    <w:rsid w:val="0084401F"/>
    <w:rsid w:val="00844F4E"/>
    <w:rsid w:val="00846302"/>
    <w:rsid w:val="008472EC"/>
    <w:rsid w:val="00851A0A"/>
    <w:rsid w:val="00852A3E"/>
    <w:rsid w:val="00853045"/>
    <w:rsid w:val="008553E0"/>
    <w:rsid w:val="008575C4"/>
    <w:rsid w:val="00860FDE"/>
    <w:rsid w:val="0086109A"/>
    <w:rsid w:val="008610E4"/>
    <w:rsid w:val="00861C18"/>
    <w:rsid w:val="00861C31"/>
    <w:rsid w:val="0086389B"/>
    <w:rsid w:val="00864769"/>
    <w:rsid w:val="00864C8A"/>
    <w:rsid w:val="00865494"/>
    <w:rsid w:val="008654E9"/>
    <w:rsid w:val="00866231"/>
    <w:rsid w:val="008702AA"/>
    <w:rsid w:val="00872203"/>
    <w:rsid w:val="008723B7"/>
    <w:rsid w:val="008741FC"/>
    <w:rsid w:val="0087450E"/>
    <w:rsid w:val="00874C51"/>
    <w:rsid w:val="00877909"/>
    <w:rsid w:val="008805FD"/>
    <w:rsid w:val="00880DFE"/>
    <w:rsid w:val="008818F5"/>
    <w:rsid w:val="00881A37"/>
    <w:rsid w:val="00883645"/>
    <w:rsid w:val="00884C83"/>
    <w:rsid w:val="00885E15"/>
    <w:rsid w:val="00886335"/>
    <w:rsid w:val="00890E65"/>
    <w:rsid w:val="008924A9"/>
    <w:rsid w:val="00892D38"/>
    <w:rsid w:val="00893832"/>
    <w:rsid w:val="00893A93"/>
    <w:rsid w:val="00894CF4"/>
    <w:rsid w:val="00896123"/>
    <w:rsid w:val="00896388"/>
    <w:rsid w:val="008A2B83"/>
    <w:rsid w:val="008A30F4"/>
    <w:rsid w:val="008A36B5"/>
    <w:rsid w:val="008A3A17"/>
    <w:rsid w:val="008A6F1B"/>
    <w:rsid w:val="008A709C"/>
    <w:rsid w:val="008B01EB"/>
    <w:rsid w:val="008B025C"/>
    <w:rsid w:val="008B094F"/>
    <w:rsid w:val="008B26EB"/>
    <w:rsid w:val="008B2E39"/>
    <w:rsid w:val="008B3654"/>
    <w:rsid w:val="008C0784"/>
    <w:rsid w:val="008C09B5"/>
    <w:rsid w:val="008C1077"/>
    <w:rsid w:val="008C117C"/>
    <w:rsid w:val="008C1777"/>
    <w:rsid w:val="008C191E"/>
    <w:rsid w:val="008C3602"/>
    <w:rsid w:val="008C4AF0"/>
    <w:rsid w:val="008C7E67"/>
    <w:rsid w:val="008D04B2"/>
    <w:rsid w:val="008D0539"/>
    <w:rsid w:val="008D1141"/>
    <w:rsid w:val="008D18C8"/>
    <w:rsid w:val="008D23AA"/>
    <w:rsid w:val="008D2A9C"/>
    <w:rsid w:val="008D501F"/>
    <w:rsid w:val="008D52FF"/>
    <w:rsid w:val="008D680A"/>
    <w:rsid w:val="008D71DF"/>
    <w:rsid w:val="008E0075"/>
    <w:rsid w:val="008E100F"/>
    <w:rsid w:val="008E1749"/>
    <w:rsid w:val="008E292A"/>
    <w:rsid w:val="008E3180"/>
    <w:rsid w:val="008E3B28"/>
    <w:rsid w:val="008E5EDD"/>
    <w:rsid w:val="008E6BA2"/>
    <w:rsid w:val="008E7276"/>
    <w:rsid w:val="008F2310"/>
    <w:rsid w:val="008F2471"/>
    <w:rsid w:val="008F4CA3"/>
    <w:rsid w:val="008F616F"/>
    <w:rsid w:val="008F6842"/>
    <w:rsid w:val="008F73D5"/>
    <w:rsid w:val="008F790E"/>
    <w:rsid w:val="008F7DBC"/>
    <w:rsid w:val="009015E7"/>
    <w:rsid w:val="00901ED0"/>
    <w:rsid w:val="009050D4"/>
    <w:rsid w:val="0090659E"/>
    <w:rsid w:val="009073BE"/>
    <w:rsid w:val="009100DF"/>
    <w:rsid w:val="00917DDB"/>
    <w:rsid w:val="00920560"/>
    <w:rsid w:val="00923ABC"/>
    <w:rsid w:val="00924815"/>
    <w:rsid w:val="00924DEC"/>
    <w:rsid w:val="00926197"/>
    <w:rsid w:val="00926311"/>
    <w:rsid w:val="009267BD"/>
    <w:rsid w:val="00930D4C"/>
    <w:rsid w:val="00931E12"/>
    <w:rsid w:val="00932F09"/>
    <w:rsid w:val="00933FE0"/>
    <w:rsid w:val="0093731C"/>
    <w:rsid w:val="00937655"/>
    <w:rsid w:val="00940C3D"/>
    <w:rsid w:val="00940D54"/>
    <w:rsid w:val="00940E30"/>
    <w:rsid w:val="00941877"/>
    <w:rsid w:val="009426E3"/>
    <w:rsid w:val="0094399C"/>
    <w:rsid w:val="00952F9C"/>
    <w:rsid w:val="00953DE1"/>
    <w:rsid w:val="0095503C"/>
    <w:rsid w:val="009551B4"/>
    <w:rsid w:val="009618FA"/>
    <w:rsid w:val="009630BE"/>
    <w:rsid w:val="00963B6C"/>
    <w:rsid w:val="00964018"/>
    <w:rsid w:val="00964708"/>
    <w:rsid w:val="0096477E"/>
    <w:rsid w:val="00967D7C"/>
    <w:rsid w:val="009720AB"/>
    <w:rsid w:val="009722F7"/>
    <w:rsid w:val="00972DDB"/>
    <w:rsid w:val="009731D9"/>
    <w:rsid w:val="00974E6F"/>
    <w:rsid w:val="00980A3E"/>
    <w:rsid w:val="009826C6"/>
    <w:rsid w:val="00982A47"/>
    <w:rsid w:val="00982EF2"/>
    <w:rsid w:val="009865C9"/>
    <w:rsid w:val="00986E1E"/>
    <w:rsid w:val="009873F2"/>
    <w:rsid w:val="00987A63"/>
    <w:rsid w:val="00987D14"/>
    <w:rsid w:val="00990DF3"/>
    <w:rsid w:val="00995527"/>
    <w:rsid w:val="009964CB"/>
    <w:rsid w:val="00997F2B"/>
    <w:rsid w:val="009A01FC"/>
    <w:rsid w:val="009A0BB5"/>
    <w:rsid w:val="009A0FAA"/>
    <w:rsid w:val="009A21D6"/>
    <w:rsid w:val="009A35CE"/>
    <w:rsid w:val="009A4CC5"/>
    <w:rsid w:val="009A53EC"/>
    <w:rsid w:val="009A5DDD"/>
    <w:rsid w:val="009A6675"/>
    <w:rsid w:val="009A6904"/>
    <w:rsid w:val="009A6B9C"/>
    <w:rsid w:val="009A7680"/>
    <w:rsid w:val="009B1C85"/>
    <w:rsid w:val="009B2F9B"/>
    <w:rsid w:val="009B3D13"/>
    <w:rsid w:val="009B59C0"/>
    <w:rsid w:val="009C357B"/>
    <w:rsid w:val="009C74F6"/>
    <w:rsid w:val="009D2314"/>
    <w:rsid w:val="009D3837"/>
    <w:rsid w:val="009D486B"/>
    <w:rsid w:val="009D52A5"/>
    <w:rsid w:val="009D5698"/>
    <w:rsid w:val="009D59B6"/>
    <w:rsid w:val="009D5CF0"/>
    <w:rsid w:val="009D69E9"/>
    <w:rsid w:val="009E1DCE"/>
    <w:rsid w:val="009E5DC0"/>
    <w:rsid w:val="009E6850"/>
    <w:rsid w:val="009E6FA9"/>
    <w:rsid w:val="009E7287"/>
    <w:rsid w:val="009F02DF"/>
    <w:rsid w:val="009F3AF8"/>
    <w:rsid w:val="009F3DC3"/>
    <w:rsid w:val="009F42F9"/>
    <w:rsid w:val="009F48FE"/>
    <w:rsid w:val="009F6E3F"/>
    <w:rsid w:val="00A01370"/>
    <w:rsid w:val="00A014B5"/>
    <w:rsid w:val="00A01C94"/>
    <w:rsid w:val="00A027BE"/>
    <w:rsid w:val="00A0302A"/>
    <w:rsid w:val="00A030B9"/>
    <w:rsid w:val="00A032F0"/>
    <w:rsid w:val="00A0354E"/>
    <w:rsid w:val="00A0369E"/>
    <w:rsid w:val="00A0629A"/>
    <w:rsid w:val="00A07571"/>
    <w:rsid w:val="00A10661"/>
    <w:rsid w:val="00A1074F"/>
    <w:rsid w:val="00A12985"/>
    <w:rsid w:val="00A129AC"/>
    <w:rsid w:val="00A152EA"/>
    <w:rsid w:val="00A15BEE"/>
    <w:rsid w:val="00A20CD6"/>
    <w:rsid w:val="00A2142F"/>
    <w:rsid w:val="00A21FA0"/>
    <w:rsid w:val="00A226B3"/>
    <w:rsid w:val="00A22951"/>
    <w:rsid w:val="00A22D4A"/>
    <w:rsid w:val="00A22FB1"/>
    <w:rsid w:val="00A23288"/>
    <w:rsid w:val="00A276A1"/>
    <w:rsid w:val="00A27934"/>
    <w:rsid w:val="00A307E1"/>
    <w:rsid w:val="00A30EDE"/>
    <w:rsid w:val="00A312D6"/>
    <w:rsid w:val="00A31A91"/>
    <w:rsid w:val="00A31BB2"/>
    <w:rsid w:val="00A33C21"/>
    <w:rsid w:val="00A3424C"/>
    <w:rsid w:val="00A34393"/>
    <w:rsid w:val="00A35086"/>
    <w:rsid w:val="00A355B6"/>
    <w:rsid w:val="00A358D1"/>
    <w:rsid w:val="00A36200"/>
    <w:rsid w:val="00A37FEF"/>
    <w:rsid w:val="00A40475"/>
    <w:rsid w:val="00A40F99"/>
    <w:rsid w:val="00A411BD"/>
    <w:rsid w:val="00A41361"/>
    <w:rsid w:val="00A43D7A"/>
    <w:rsid w:val="00A44332"/>
    <w:rsid w:val="00A44516"/>
    <w:rsid w:val="00A4463C"/>
    <w:rsid w:val="00A4503B"/>
    <w:rsid w:val="00A455EB"/>
    <w:rsid w:val="00A46D28"/>
    <w:rsid w:val="00A47E82"/>
    <w:rsid w:val="00A52576"/>
    <w:rsid w:val="00A53615"/>
    <w:rsid w:val="00A54539"/>
    <w:rsid w:val="00A571DE"/>
    <w:rsid w:val="00A57210"/>
    <w:rsid w:val="00A6030E"/>
    <w:rsid w:val="00A613CE"/>
    <w:rsid w:val="00A63DFD"/>
    <w:rsid w:val="00A6747E"/>
    <w:rsid w:val="00A6792B"/>
    <w:rsid w:val="00A70CB7"/>
    <w:rsid w:val="00A713EA"/>
    <w:rsid w:val="00A71872"/>
    <w:rsid w:val="00A72A49"/>
    <w:rsid w:val="00A72D8D"/>
    <w:rsid w:val="00A739E3"/>
    <w:rsid w:val="00A74F9C"/>
    <w:rsid w:val="00A77398"/>
    <w:rsid w:val="00A810D1"/>
    <w:rsid w:val="00A821F5"/>
    <w:rsid w:val="00A8356D"/>
    <w:rsid w:val="00A85912"/>
    <w:rsid w:val="00A85B61"/>
    <w:rsid w:val="00A9270A"/>
    <w:rsid w:val="00A94743"/>
    <w:rsid w:val="00A95A43"/>
    <w:rsid w:val="00A95AB1"/>
    <w:rsid w:val="00A95F41"/>
    <w:rsid w:val="00AA0FAC"/>
    <w:rsid w:val="00AA1676"/>
    <w:rsid w:val="00AA168C"/>
    <w:rsid w:val="00AA2D1C"/>
    <w:rsid w:val="00AA3106"/>
    <w:rsid w:val="00AA5524"/>
    <w:rsid w:val="00AA768A"/>
    <w:rsid w:val="00AA7D83"/>
    <w:rsid w:val="00AB0D77"/>
    <w:rsid w:val="00AB0F1D"/>
    <w:rsid w:val="00AB149E"/>
    <w:rsid w:val="00AB2E89"/>
    <w:rsid w:val="00AB3E42"/>
    <w:rsid w:val="00AB4550"/>
    <w:rsid w:val="00AB5339"/>
    <w:rsid w:val="00AC2CC0"/>
    <w:rsid w:val="00AC46CB"/>
    <w:rsid w:val="00AC5549"/>
    <w:rsid w:val="00AC583C"/>
    <w:rsid w:val="00AC6602"/>
    <w:rsid w:val="00AC6AED"/>
    <w:rsid w:val="00AD0CD5"/>
    <w:rsid w:val="00AD1B88"/>
    <w:rsid w:val="00AD1D34"/>
    <w:rsid w:val="00AD2DAF"/>
    <w:rsid w:val="00AD368A"/>
    <w:rsid w:val="00AD47FD"/>
    <w:rsid w:val="00AD611F"/>
    <w:rsid w:val="00AD6792"/>
    <w:rsid w:val="00AD6A0F"/>
    <w:rsid w:val="00AD75C8"/>
    <w:rsid w:val="00AD7CED"/>
    <w:rsid w:val="00AE0390"/>
    <w:rsid w:val="00AE069F"/>
    <w:rsid w:val="00AE06CF"/>
    <w:rsid w:val="00AE5338"/>
    <w:rsid w:val="00AE5BA0"/>
    <w:rsid w:val="00AE6130"/>
    <w:rsid w:val="00AE6A04"/>
    <w:rsid w:val="00AE79E0"/>
    <w:rsid w:val="00AF08EF"/>
    <w:rsid w:val="00AF12F7"/>
    <w:rsid w:val="00AF238C"/>
    <w:rsid w:val="00AF28F7"/>
    <w:rsid w:val="00AF37F3"/>
    <w:rsid w:val="00AF4B49"/>
    <w:rsid w:val="00AF5B72"/>
    <w:rsid w:val="00AF5E88"/>
    <w:rsid w:val="00B01960"/>
    <w:rsid w:val="00B0215E"/>
    <w:rsid w:val="00B03EF3"/>
    <w:rsid w:val="00B048A1"/>
    <w:rsid w:val="00B04A37"/>
    <w:rsid w:val="00B06F7A"/>
    <w:rsid w:val="00B102E0"/>
    <w:rsid w:val="00B10567"/>
    <w:rsid w:val="00B1091A"/>
    <w:rsid w:val="00B112CD"/>
    <w:rsid w:val="00B11368"/>
    <w:rsid w:val="00B11595"/>
    <w:rsid w:val="00B12FB9"/>
    <w:rsid w:val="00B1302E"/>
    <w:rsid w:val="00B13328"/>
    <w:rsid w:val="00B14624"/>
    <w:rsid w:val="00B1491D"/>
    <w:rsid w:val="00B14E6A"/>
    <w:rsid w:val="00B15257"/>
    <w:rsid w:val="00B173C6"/>
    <w:rsid w:val="00B17B14"/>
    <w:rsid w:val="00B17E8A"/>
    <w:rsid w:val="00B221E9"/>
    <w:rsid w:val="00B247B5"/>
    <w:rsid w:val="00B24F48"/>
    <w:rsid w:val="00B25B1A"/>
    <w:rsid w:val="00B25BD8"/>
    <w:rsid w:val="00B26B80"/>
    <w:rsid w:val="00B26BC4"/>
    <w:rsid w:val="00B26D54"/>
    <w:rsid w:val="00B30358"/>
    <w:rsid w:val="00B3040C"/>
    <w:rsid w:val="00B31AD1"/>
    <w:rsid w:val="00B40D1D"/>
    <w:rsid w:val="00B422DC"/>
    <w:rsid w:val="00B42322"/>
    <w:rsid w:val="00B42506"/>
    <w:rsid w:val="00B42A99"/>
    <w:rsid w:val="00B43158"/>
    <w:rsid w:val="00B4366E"/>
    <w:rsid w:val="00B4434A"/>
    <w:rsid w:val="00B474E2"/>
    <w:rsid w:val="00B50882"/>
    <w:rsid w:val="00B51582"/>
    <w:rsid w:val="00B52405"/>
    <w:rsid w:val="00B52C1B"/>
    <w:rsid w:val="00B5770C"/>
    <w:rsid w:val="00B57A34"/>
    <w:rsid w:val="00B57FBF"/>
    <w:rsid w:val="00B603F0"/>
    <w:rsid w:val="00B62665"/>
    <w:rsid w:val="00B64AE5"/>
    <w:rsid w:val="00B653E8"/>
    <w:rsid w:val="00B71B3E"/>
    <w:rsid w:val="00B73AA0"/>
    <w:rsid w:val="00B74EA6"/>
    <w:rsid w:val="00B750C0"/>
    <w:rsid w:val="00B83AA6"/>
    <w:rsid w:val="00B84860"/>
    <w:rsid w:val="00B87786"/>
    <w:rsid w:val="00B923A6"/>
    <w:rsid w:val="00B93344"/>
    <w:rsid w:val="00B95761"/>
    <w:rsid w:val="00B976BE"/>
    <w:rsid w:val="00B979F6"/>
    <w:rsid w:val="00BA0346"/>
    <w:rsid w:val="00BA22FB"/>
    <w:rsid w:val="00BA29CB"/>
    <w:rsid w:val="00BA3A29"/>
    <w:rsid w:val="00BA561C"/>
    <w:rsid w:val="00BA5740"/>
    <w:rsid w:val="00BA6222"/>
    <w:rsid w:val="00BA7371"/>
    <w:rsid w:val="00BB0A9E"/>
    <w:rsid w:val="00BB2B7E"/>
    <w:rsid w:val="00BB3FC6"/>
    <w:rsid w:val="00BB442B"/>
    <w:rsid w:val="00BB4D04"/>
    <w:rsid w:val="00BB6DBF"/>
    <w:rsid w:val="00BB7C7B"/>
    <w:rsid w:val="00BC127F"/>
    <w:rsid w:val="00BC4080"/>
    <w:rsid w:val="00BC4296"/>
    <w:rsid w:val="00BC46E7"/>
    <w:rsid w:val="00BC577E"/>
    <w:rsid w:val="00BC57F9"/>
    <w:rsid w:val="00BC6D18"/>
    <w:rsid w:val="00BC742E"/>
    <w:rsid w:val="00BC7ACA"/>
    <w:rsid w:val="00BD0010"/>
    <w:rsid w:val="00BD1172"/>
    <w:rsid w:val="00BD1405"/>
    <w:rsid w:val="00BD2202"/>
    <w:rsid w:val="00BD4B32"/>
    <w:rsid w:val="00BD4EF4"/>
    <w:rsid w:val="00BE058B"/>
    <w:rsid w:val="00BE5803"/>
    <w:rsid w:val="00BF1764"/>
    <w:rsid w:val="00BF1CD3"/>
    <w:rsid w:val="00BF37B8"/>
    <w:rsid w:val="00BF4C0C"/>
    <w:rsid w:val="00BF5152"/>
    <w:rsid w:val="00C00077"/>
    <w:rsid w:val="00C000BB"/>
    <w:rsid w:val="00C002C4"/>
    <w:rsid w:val="00C006F1"/>
    <w:rsid w:val="00C00EF6"/>
    <w:rsid w:val="00C0198F"/>
    <w:rsid w:val="00C06387"/>
    <w:rsid w:val="00C06879"/>
    <w:rsid w:val="00C078AB"/>
    <w:rsid w:val="00C10A50"/>
    <w:rsid w:val="00C13DA0"/>
    <w:rsid w:val="00C14691"/>
    <w:rsid w:val="00C147D1"/>
    <w:rsid w:val="00C14841"/>
    <w:rsid w:val="00C1578D"/>
    <w:rsid w:val="00C15E96"/>
    <w:rsid w:val="00C1691F"/>
    <w:rsid w:val="00C16E16"/>
    <w:rsid w:val="00C16FDD"/>
    <w:rsid w:val="00C172EE"/>
    <w:rsid w:val="00C21C6E"/>
    <w:rsid w:val="00C22FC2"/>
    <w:rsid w:val="00C255A7"/>
    <w:rsid w:val="00C26856"/>
    <w:rsid w:val="00C2766C"/>
    <w:rsid w:val="00C277DE"/>
    <w:rsid w:val="00C30334"/>
    <w:rsid w:val="00C304A3"/>
    <w:rsid w:val="00C30F9B"/>
    <w:rsid w:val="00C33362"/>
    <w:rsid w:val="00C34F5A"/>
    <w:rsid w:val="00C35167"/>
    <w:rsid w:val="00C366DA"/>
    <w:rsid w:val="00C368E9"/>
    <w:rsid w:val="00C370FB"/>
    <w:rsid w:val="00C37560"/>
    <w:rsid w:val="00C406E7"/>
    <w:rsid w:val="00C409E9"/>
    <w:rsid w:val="00C425B3"/>
    <w:rsid w:val="00C4320F"/>
    <w:rsid w:val="00C43285"/>
    <w:rsid w:val="00C43E74"/>
    <w:rsid w:val="00C44320"/>
    <w:rsid w:val="00C44533"/>
    <w:rsid w:val="00C44C76"/>
    <w:rsid w:val="00C5216F"/>
    <w:rsid w:val="00C52636"/>
    <w:rsid w:val="00C529BD"/>
    <w:rsid w:val="00C53390"/>
    <w:rsid w:val="00C54B17"/>
    <w:rsid w:val="00C54BB7"/>
    <w:rsid w:val="00C5589E"/>
    <w:rsid w:val="00C55B0A"/>
    <w:rsid w:val="00C5707A"/>
    <w:rsid w:val="00C641DC"/>
    <w:rsid w:val="00C67F1E"/>
    <w:rsid w:val="00C7060F"/>
    <w:rsid w:val="00C709B4"/>
    <w:rsid w:val="00C70E63"/>
    <w:rsid w:val="00C72C70"/>
    <w:rsid w:val="00C74C4F"/>
    <w:rsid w:val="00C75241"/>
    <w:rsid w:val="00C757E8"/>
    <w:rsid w:val="00C75BFD"/>
    <w:rsid w:val="00C77141"/>
    <w:rsid w:val="00C775CA"/>
    <w:rsid w:val="00C813FC"/>
    <w:rsid w:val="00C81D33"/>
    <w:rsid w:val="00C843F3"/>
    <w:rsid w:val="00C84CD0"/>
    <w:rsid w:val="00C86A30"/>
    <w:rsid w:val="00C86B27"/>
    <w:rsid w:val="00C92291"/>
    <w:rsid w:val="00C92F4C"/>
    <w:rsid w:val="00C93614"/>
    <w:rsid w:val="00C94D29"/>
    <w:rsid w:val="00C96E63"/>
    <w:rsid w:val="00C97B23"/>
    <w:rsid w:val="00CA0649"/>
    <w:rsid w:val="00CA0796"/>
    <w:rsid w:val="00CA097A"/>
    <w:rsid w:val="00CA1338"/>
    <w:rsid w:val="00CA2C9D"/>
    <w:rsid w:val="00CA5194"/>
    <w:rsid w:val="00CB0023"/>
    <w:rsid w:val="00CB0CAA"/>
    <w:rsid w:val="00CB1E2C"/>
    <w:rsid w:val="00CB217F"/>
    <w:rsid w:val="00CB4107"/>
    <w:rsid w:val="00CB44B9"/>
    <w:rsid w:val="00CB4E5F"/>
    <w:rsid w:val="00CB5481"/>
    <w:rsid w:val="00CB617B"/>
    <w:rsid w:val="00CB6A47"/>
    <w:rsid w:val="00CC0F33"/>
    <w:rsid w:val="00CC282D"/>
    <w:rsid w:val="00CC41BA"/>
    <w:rsid w:val="00CC50AD"/>
    <w:rsid w:val="00CC673F"/>
    <w:rsid w:val="00CC6B46"/>
    <w:rsid w:val="00CC7385"/>
    <w:rsid w:val="00CD0442"/>
    <w:rsid w:val="00CD05CA"/>
    <w:rsid w:val="00CD06DB"/>
    <w:rsid w:val="00CD208D"/>
    <w:rsid w:val="00CD29F8"/>
    <w:rsid w:val="00CD32C9"/>
    <w:rsid w:val="00CD4524"/>
    <w:rsid w:val="00CD48CF"/>
    <w:rsid w:val="00CD6BFA"/>
    <w:rsid w:val="00CD6D90"/>
    <w:rsid w:val="00CE0A5C"/>
    <w:rsid w:val="00CE47BC"/>
    <w:rsid w:val="00CE747B"/>
    <w:rsid w:val="00CE7894"/>
    <w:rsid w:val="00CE7E19"/>
    <w:rsid w:val="00CF0B73"/>
    <w:rsid w:val="00CF1A3A"/>
    <w:rsid w:val="00CF219F"/>
    <w:rsid w:val="00CF7241"/>
    <w:rsid w:val="00D00A6D"/>
    <w:rsid w:val="00D0172B"/>
    <w:rsid w:val="00D019D2"/>
    <w:rsid w:val="00D0357C"/>
    <w:rsid w:val="00D070CD"/>
    <w:rsid w:val="00D10D2F"/>
    <w:rsid w:val="00D137F9"/>
    <w:rsid w:val="00D14E2C"/>
    <w:rsid w:val="00D15FD9"/>
    <w:rsid w:val="00D165F5"/>
    <w:rsid w:val="00D21D89"/>
    <w:rsid w:val="00D22476"/>
    <w:rsid w:val="00D226A2"/>
    <w:rsid w:val="00D23137"/>
    <w:rsid w:val="00D24EDC"/>
    <w:rsid w:val="00D24FB4"/>
    <w:rsid w:val="00D262D6"/>
    <w:rsid w:val="00D279B2"/>
    <w:rsid w:val="00D31EF4"/>
    <w:rsid w:val="00D33ED6"/>
    <w:rsid w:val="00D345B5"/>
    <w:rsid w:val="00D3502E"/>
    <w:rsid w:val="00D3576C"/>
    <w:rsid w:val="00D36FD7"/>
    <w:rsid w:val="00D422DA"/>
    <w:rsid w:val="00D4232F"/>
    <w:rsid w:val="00D433A3"/>
    <w:rsid w:val="00D4614C"/>
    <w:rsid w:val="00D46B32"/>
    <w:rsid w:val="00D512B7"/>
    <w:rsid w:val="00D548AB"/>
    <w:rsid w:val="00D5504B"/>
    <w:rsid w:val="00D56BBF"/>
    <w:rsid w:val="00D57008"/>
    <w:rsid w:val="00D57083"/>
    <w:rsid w:val="00D571CD"/>
    <w:rsid w:val="00D57954"/>
    <w:rsid w:val="00D57D59"/>
    <w:rsid w:val="00D625FA"/>
    <w:rsid w:val="00D62BCC"/>
    <w:rsid w:val="00D63A6A"/>
    <w:rsid w:val="00D63C7B"/>
    <w:rsid w:val="00D6410A"/>
    <w:rsid w:val="00D6562F"/>
    <w:rsid w:val="00D66537"/>
    <w:rsid w:val="00D66822"/>
    <w:rsid w:val="00D705C3"/>
    <w:rsid w:val="00D71376"/>
    <w:rsid w:val="00D71A7A"/>
    <w:rsid w:val="00D71DAC"/>
    <w:rsid w:val="00D72D68"/>
    <w:rsid w:val="00D73AFE"/>
    <w:rsid w:val="00D7411C"/>
    <w:rsid w:val="00D7608D"/>
    <w:rsid w:val="00D76683"/>
    <w:rsid w:val="00D7685C"/>
    <w:rsid w:val="00D81436"/>
    <w:rsid w:val="00D84AA5"/>
    <w:rsid w:val="00D85246"/>
    <w:rsid w:val="00D85914"/>
    <w:rsid w:val="00D85DD3"/>
    <w:rsid w:val="00D8607C"/>
    <w:rsid w:val="00D86928"/>
    <w:rsid w:val="00D93355"/>
    <w:rsid w:val="00D9371A"/>
    <w:rsid w:val="00D93CB2"/>
    <w:rsid w:val="00D93E5F"/>
    <w:rsid w:val="00D95A5E"/>
    <w:rsid w:val="00D96148"/>
    <w:rsid w:val="00D9616D"/>
    <w:rsid w:val="00D969D3"/>
    <w:rsid w:val="00D96FDF"/>
    <w:rsid w:val="00DA0935"/>
    <w:rsid w:val="00DA36AB"/>
    <w:rsid w:val="00DA412C"/>
    <w:rsid w:val="00DA4BC6"/>
    <w:rsid w:val="00DA4C68"/>
    <w:rsid w:val="00DA5033"/>
    <w:rsid w:val="00DA655B"/>
    <w:rsid w:val="00DA6A16"/>
    <w:rsid w:val="00DB10A1"/>
    <w:rsid w:val="00DB122E"/>
    <w:rsid w:val="00DB22BE"/>
    <w:rsid w:val="00DB2CD9"/>
    <w:rsid w:val="00DB6436"/>
    <w:rsid w:val="00DB673A"/>
    <w:rsid w:val="00DC375F"/>
    <w:rsid w:val="00DC55D2"/>
    <w:rsid w:val="00DC72D6"/>
    <w:rsid w:val="00DC73C1"/>
    <w:rsid w:val="00DC7B78"/>
    <w:rsid w:val="00DD1765"/>
    <w:rsid w:val="00DD275B"/>
    <w:rsid w:val="00DD2EB3"/>
    <w:rsid w:val="00DD3CAA"/>
    <w:rsid w:val="00DD482B"/>
    <w:rsid w:val="00DD62E1"/>
    <w:rsid w:val="00DD65F8"/>
    <w:rsid w:val="00DE032F"/>
    <w:rsid w:val="00DE07FF"/>
    <w:rsid w:val="00DE2A34"/>
    <w:rsid w:val="00DE2C49"/>
    <w:rsid w:val="00DE2CC5"/>
    <w:rsid w:val="00DE3B9C"/>
    <w:rsid w:val="00DE5772"/>
    <w:rsid w:val="00DE578C"/>
    <w:rsid w:val="00DE5FF6"/>
    <w:rsid w:val="00DE6393"/>
    <w:rsid w:val="00DE63E6"/>
    <w:rsid w:val="00DE6A96"/>
    <w:rsid w:val="00DE71A5"/>
    <w:rsid w:val="00DF05DD"/>
    <w:rsid w:val="00DF1FA9"/>
    <w:rsid w:val="00DF399D"/>
    <w:rsid w:val="00DF6C56"/>
    <w:rsid w:val="00DF70FD"/>
    <w:rsid w:val="00DF72E3"/>
    <w:rsid w:val="00E00F48"/>
    <w:rsid w:val="00E01E1A"/>
    <w:rsid w:val="00E02D85"/>
    <w:rsid w:val="00E04717"/>
    <w:rsid w:val="00E048A4"/>
    <w:rsid w:val="00E060EA"/>
    <w:rsid w:val="00E079F4"/>
    <w:rsid w:val="00E11765"/>
    <w:rsid w:val="00E1223E"/>
    <w:rsid w:val="00E13CB6"/>
    <w:rsid w:val="00E141A4"/>
    <w:rsid w:val="00E147F8"/>
    <w:rsid w:val="00E17011"/>
    <w:rsid w:val="00E21F11"/>
    <w:rsid w:val="00E2342E"/>
    <w:rsid w:val="00E2355B"/>
    <w:rsid w:val="00E236E7"/>
    <w:rsid w:val="00E240BD"/>
    <w:rsid w:val="00E24E78"/>
    <w:rsid w:val="00E25690"/>
    <w:rsid w:val="00E260DB"/>
    <w:rsid w:val="00E26B37"/>
    <w:rsid w:val="00E3000A"/>
    <w:rsid w:val="00E31B72"/>
    <w:rsid w:val="00E33F9B"/>
    <w:rsid w:val="00E351D7"/>
    <w:rsid w:val="00E35A3E"/>
    <w:rsid w:val="00E35FF1"/>
    <w:rsid w:val="00E372A7"/>
    <w:rsid w:val="00E400A1"/>
    <w:rsid w:val="00E40F38"/>
    <w:rsid w:val="00E419F6"/>
    <w:rsid w:val="00E43D06"/>
    <w:rsid w:val="00E43FA5"/>
    <w:rsid w:val="00E44455"/>
    <w:rsid w:val="00E4455F"/>
    <w:rsid w:val="00E44E81"/>
    <w:rsid w:val="00E509DA"/>
    <w:rsid w:val="00E51B78"/>
    <w:rsid w:val="00E52935"/>
    <w:rsid w:val="00E52F0C"/>
    <w:rsid w:val="00E538C1"/>
    <w:rsid w:val="00E54E68"/>
    <w:rsid w:val="00E55002"/>
    <w:rsid w:val="00E55778"/>
    <w:rsid w:val="00E55B6E"/>
    <w:rsid w:val="00E60C76"/>
    <w:rsid w:val="00E6277C"/>
    <w:rsid w:val="00E6289C"/>
    <w:rsid w:val="00E63B47"/>
    <w:rsid w:val="00E6741A"/>
    <w:rsid w:val="00E67F63"/>
    <w:rsid w:val="00E710F8"/>
    <w:rsid w:val="00E729A1"/>
    <w:rsid w:val="00E736F3"/>
    <w:rsid w:val="00E74794"/>
    <w:rsid w:val="00E74A40"/>
    <w:rsid w:val="00E75865"/>
    <w:rsid w:val="00E75DBC"/>
    <w:rsid w:val="00E824D7"/>
    <w:rsid w:val="00E83947"/>
    <w:rsid w:val="00E84A2C"/>
    <w:rsid w:val="00E850FC"/>
    <w:rsid w:val="00E85112"/>
    <w:rsid w:val="00E85B17"/>
    <w:rsid w:val="00E870BC"/>
    <w:rsid w:val="00E87DF4"/>
    <w:rsid w:val="00E911D4"/>
    <w:rsid w:val="00E91208"/>
    <w:rsid w:val="00E9166D"/>
    <w:rsid w:val="00E93B18"/>
    <w:rsid w:val="00E93D78"/>
    <w:rsid w:val="00E95211"/>
    <w:rsid w:val="00E95918"/>
    <w:rsid w:val="00E96719"/>
    <w:rsid w:val="00E9787E"/>
    <w:rsid w:val="00EA1AD9"/>
    <w:rsid w:val="00EA32D6"/>
    <w:rsid w:val="00EA6E78"/>
    <w:rsid w:val="00EB3134"/>
    <w:rsid w:val="00EB3DAA"/>
    <w:rsid w:val="00EB48A6"/>
    <w:rsid w:val="00EB4F1B"/>
    <w:rsid w:val="00EC18E6"/>
    <w:rsid w:val="00EC19FD"/>
    <w:rsid w:val="00EC1D62"/>
    <w:rsid w:val="00EC202A"/>
    <w:rsid w:val="00EC2671"/>
    <w:rsid w:val="00EC35BF"/>
    <w:rsid w:val="00EC40D8"/>
    <w:rsid w:val="00EC5B59"/>
    <w:rsid w:val="00EC6ABF"/>
    <w:rsid w:val="00EC74E4"/>
    <w:rsid w:val="00ED37BF"/>
    <w:rsid w:val="00ED3BE9"/>
    <w:rsid w:val="00ED5769"/>
    <w:rsid w:val="00ED5AE1"/>
    <w:rsid w:val="00EE19DD"/>
    <w:rsid w:val="00EE1FF0"/>
    <w:rsid w:val="00EE2D66"/>
    <w:rsid w:val="00EE779A"/>
    <w:rsid w:val="00EE7C1B"/>
    <w:rsid w:val="00EF5E43"/>
    <w:rsid w:val="00F00FD4"/>
    <w:rsid w:val="00F023FF"/>
    <w:rsid w:val="00F036ED"/>
    <w:rsid w:val="00F04131"/>
    <w:rsid w:val="00F134B2"/>
    <w:rsid w:val="00F13991"/>
    <w:rsid w:val="00F13FB8"/>
    <w:rsid w:val="00F14F4D"/>
    <w:rsid w:val="00F201FF"/>
    <w:rsid w:val="00F2044E"/>
    <w:rsid w:val="00F21A29"/>
    <w:rsid w:val="00F231DD"/>
    <w:rsid w:val="00F238C2"/>
    <w:rsid w:val="00F2477C"/>
    <w:rsid w:val="00F24DB1"/>
    <w:rsid w:val="00F26575"/>
    <w:rsid w:val="00F3006C"/>
    <w:rsid w:val="00F31628"/>
    <w:rsid w:val="00F3445D"/>
    <w:rsid w:val="00F34C4D"/>
    <w:rsid w:val="00F3673F"/>
    <w:rsid w:val="00F415FA"/>
    <w:rsid w:val="00F41726"/>
    <w:rsid w:val="00F42762"/>
    <w:rsid w:val="00F42FC0"/>
    <w:rsid w:val="00F433CE"/>
    <w:rsid w:val="00F4455C"/>
    <w:rsid w:val="00F45F8D"/>
    <w:rsid w:val="00F46A5D"/>
    <w:rsid w:val="00F4747B"/>
    <w:rsid w:val="00F52A39"/>
    <w:rsid w:val="00F546C1"/>
    <w:rsid w:val="00F54B84"/>
    <w:rsid w:val="00F56571"/>
    <w:rsid w:val="00F5674F"/>
    <w:rsid w:val="00F57572"/>
    <w:rsid w:val="00F6092F"/>
    <w:rsid w:val="00F60B1E"/>
    <w:rsid w:val="00F61A11"/>
    <w:rsid w:val="00F6211A"/>
    <w:rsid w:val="00F62666"/>
    <w:rsid w:val="00F63D99"/>
    <w:rsid w:val="00F64993"/>
    <w:rsid w:val="00F64D0C"/>
    <w:rsid w:val="00F64F56"/>
    <w:rsid w:val="00F67973"/>
    <w:rsid w:val="00F67FF0"/>
    <w:rsid w:val="00F71150"/>
    <w:rsid w:val="00F721E3"/>
    <w:rsid w:val="00F7433E"/>
    <w:rsid w:val="00F80B63"/>
    <w:rsid w:val="00F810B3"/>
    <w:rsid w:val="00F81E0A"/>
    <w:rsid w:val="00F827D7"/>
    <w:rsid w:val="00F82937"/>
    <w:rsid w:val="00F8373C"/>
    <w:rsid w:val="00F8513D"/>
    <w:rsid w:val="00F90B0C"/>
    <w:rsid w:val="00F92412"/>
    <w:rsid w:val="00F92708"/>
    <w:rsid w:val="00F92FC4"/>
    <w:rsid w:val="00F94E32"/>
    <w:rsid w:val="00F95538"/>
    <w:rsid w:val="00F9672F"/>
    <w:rsid w:val="00F9772A"/>
    <w:rsid w:val="00FA13CE"/>
    <w:rsid w:val="00FA181A"/>
    <w:rsid w:val="00FA1FFB"/>
    <w:rsid w:val="00FA2486"/>
    <w:rsid w:val="00FA5519"/>
    <w:rsid w:val="00FA5AAF"/>
    <w:rsid w:val="00FA6ADF"/>
    <w:rsid w:val="00FA6B5F"/>
    <w:rsid w:val="00FA6D90"/>
    <w:rsid w:val="00FA793C"/>
    <w:rsid w:val="00FB030F"/>
    <w:rsid w:val="00FB0856"/>
    <w:rsid w:val="00FB0B77"/>
    <w:rsid w:val="00FB1300"/>
    <w:rsid w:val="00FB2779"/>
    <w:rsid w:val="00FB478E"/>
    <w:rsid w:val="00FC0F6E"/>
    <w:rsid w:val="00FC109A"/>
    <w:rsid w:val="00FC3A9E"/>
    <w:rsid w:val="00FC43BB"/>
    <w:rsid w:val="00FC54D8"/>
    <w:rsid w:val="00FC5EDA"/>
    <w:rsid w:val="00FC6C35"/>
    <w:rsid w:val="00FC6EDF"/>
    <w:rsid w:val="00FD1855"/>
    <w:rsid w:val="00FD1DC4"/>
    <w:rsid w:val="00FD1DE8"/>
    <w:rsid w:val="00FD29A9"/>
    <w:rsid w:val="00FD388C"/>
    <w:rsid w:val="00FD3C04"/>
    <w:rsid w:val="00FD3DD2"/>
    <w:rsid w:val="00FE1410"/>
    <w:rsid w:val="00FE1A9E"/>
    <w:rsid w:val="00FE5815"/>
    <w:rsid w:val="00FE5DC1"/>
    <w:rsid w:val="00FE74B9"/>
    <w:rsid w:val="00FE7A80"/>
    <w:rsid w:val="00FF15B4"/>
    <w:rsid w:val="00FF18C4"/>
    <w:rsid w:val="00FF31F2"/>
    <w:rsid w:val="00FF451A"/>
    <w:rsid w:val="00FF4FC1"/>
    <w:rsid w:val="00FF64F8"/>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211307"/>
  <w15:docId w15:val="{4CAF598A-B4D7-4D8A-9754-C80C86911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PT" w:eastAsia="pt-P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2AF"/>
    <w:pPr>
      <w:spacing w:line="360" w:lineRule="auto"/>
      <w:ind w:firstLine="709"/>
      <w:jc w:val="both"/>
    </w:pPr>
    <w:rPr>
      <w:rFonts w:ascii="Times New Roman" w:eastAsia="Times New Roman" w:hAnsi="Times New Roman"/>
      <w:sz w:val="24"/>
      <w:szCs w:val="24"/>
    </w:rPr>
  </w:style>
  <w:style w:type="paragraph" w:styleId="Ttulo1">
    <w:name w:val="heading 1"/>
    <w:basedOn w:val="Normal"/>
    <w:next w:val="Normal"/>
    <w:link w:val="Ttulo1Carter"/>
    <w:uiPriority w:val="9"/>
    <w:qFormat/>
    <w:rsid w:val="007E12AF"/>
    <w:pPr>
      <w:keepNext/>
      <w:spacing w:before="240" w:after="120"/>
      <w:outlineLvl w:val="0"/>
    </w:pPr>
    <w:rPr>
      <w:rFonts w:cs="Arial"/>
      <w:b/>
      <w:bCs/>
      <w:kern w:val="32"/>
      <w:sz w:val="28"/>
      <w:szCs w:val="32"/>
    </w:rPr>
  </w:style>
  <w:style w:type="paragraph" w:styleId="Ttulo2">
    <w:name w:val="heading 2"/>
    <w:basedOn w:val="Normal"/>
    <w:next w:val="Normal"/>
    <w:link w:val="Ttulo2Carter"/>
    <w:uiPriority w:val="99"/>
    <w:qFormat/>
    <w:rsid w:val="007E12AF"/>
    <w:pPr>
      <w:keepNext/>
      <w:spacing w:before="240" w:after="120"/>
      <w:outlineLvl w:val="1"/>
    </w:pPr>
    <w:rPr>
      <w:rFonts w:eastAsia="Calibri" w:cs="Arial"/>
      <w:b/>
      <w:bCs/>
      <w:iCs/>
      <w:sz w:val="26"/>
      <w:szCs w:val="28"/>
    </w:rPr>
  </w:style>
  <w:style w:type="paragraph" w:styleId="Ttulo3">
    <w:name w:val="heading 3"/>
    <w:basedOn w:val="Normal"/>
    <w:next w:val="Normal"/>
    <w:link w:val="Ttulo3Carter"/>
    <w:uiPriority w:val="99"/>
    <w:qFormat/>
    <w:rsid w:val="003D18E9"/>
    <w:pPr>
      <w:keepNext/>
      <w:autoSpaceDE w:val="0"/>
      <w:autoSpaceDN w:val="0"/>
      <w:spacing w:before="240" w:after="120"/>
      <w:outlineLvl w:val="2"/>
    </w:pPr>
    <w:rPr>
      <w:rFonts w:eastAsia="Calibri" w:cs="Arial"/>
      <w:b/>
      <w:bCs/>
      <w:szCs w:val="26"/>
      <w:lang w:eastAsia="en-US"/>
    </w:rPr>
  </w:style>
  <w:style w:type="paragraph" w:styleId="Ttulo4">
    <w:name w:val="heading 4"/>
    <w:basedOn w:val="Normal"/>
    <w:next w:val="Normal"/>
    <w:link w:val="Ttulo4Carter"/>
    <w:uiPriority w:val="9"/>
    <w:semiHidden/>
    <w:unhideWhenUsed/>
    <w:qFormat/>
    <w:rsid w:val="00AF5E8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link w:val="Ttulo1"/>
    <w:uiPriority w:val="9"/>
    <w:rsid w:val="007E12AF"/>
    <w:rPr>
      <w:rFonts w:ascii="Times New Roman" w:eastAsia="Times New Roman" w:hAnsi="Times New Roman" w:cs="Arial"/>
      <w:b/>
      <w:bCs/>
      <w:kern w:val="32"/>
      <w:sz w:val="28"/>
      <w:szCs w:val="32"/>
    </w:rPr>
  </w:style>
  <w:style w:type="character" w:customStyle="1" w:styleId="Ttulo2Carter">
    <w:name w:val="Título 2 Caráter"/>
    <w:link w:val="Ttulo2"/>
    <w:uiPriority w:val="99"/>
    <w:rsid w:val="007E12AF"/>
    <w:rPr>
      <w:rFonts w:ascii="Times New Roman" w:hAnsi="Times New Roman" w:cs="Arial"/>
      <w:b/>
      <w:bCs/>
      <w:iCs/>
      <w:sz w:val="26"/>
      <w:szCs w:val="28"/>
    </w:rPr>
  </w:style>
  <w:style w:type="character" w:customStyle="1" w:styleId="Ttulo3Carter">
    <w:name w:val="Título 3 Caráter"/>
    <w:link w:val="Ttulo3"/>
    <w:uiPriority w:val="99"/>
    <w:rsid w:val="003D18E9"/>
    <w:rPr>
      <w:rFonts w:ascii="Times New Roman" w:hAnsi="Times New Roman" w:cs="Arial"/>
      <w:b/>
      <w:bCs/>
      <w:sz w:val="24"/>
      <w:szCs w:val="26"/>
      <w:lang w:eastAsia="en-US"/>
    </w:rPr>
  </w:style>
  <w:style w:type="paragraph" w:styleId="Textodebalo">
    <w:name w:val="Balloon Text"/>
    <w:basedOn w:val="Normal"/>
    <w:link w:val="TextodebaloCarter"/>
    <w:uiPriority w:val="99"/>
    <w:semiHidden/>
    <w:rsid w:val="00FF31F2"/>
    <w:rPr>
      <w:rFonts w:eastAsia="Calibri"/>
      <w:sz w:val="2"/>
      <w:szCs w:val="2"/>
    </w:rPr>
  </w:style>
  <w:style w:type="character" w:customStyle="1" w:styleId="TextodebaloCarter">
    <w:name w:val="Texto de balão Caráter"/>
    <w:link w:val="Textodebalo"/>
    <w:uiPriority w:val="99"/>
    <w:semiHidden/>
    <w:rsid w:val="000E3A8E"/>
    <w:rPr>
      <w:rFonts w:ascii="Times New Roman" w:hAnsi="Times New Roman" w:cs="Times New Roman"/>
      <w:sz w:val="2"/>
      <w:szCs w:val="2"/>
    </w:rPr>
  </w:style>
  <w:style w:type="character" w:styleId="Hiperligao">
    <w:name w:val="Hyperlink"/>
    <w:rsid w:val="00F433CE"/>
    <w:rPr>
      <w:color w:val="0000FF"/>
      <w:u w:val="single"/>
    </w:rPr>
  </w:style>
  <w:style w:type="paragraph" w:styleId="Cabealho">
    <w:name w:val="header"/>
    <w:basedOn w:val="Normal"/>
    <w:link w:val="CabealhoCarter"/>
    <w:uiPriority w:val="99"/>
    <w:rsid w:val="00F433CE"/>
    <w:pPr>
      <w:tabs>
        <w:tab w:val="center" w:pos="4252"/>
        <w:tab w:val="right" w:pos="8504"/>
      </w:tabs>
    </w:pPr>
    <w:rPr>
      <w:rFonts w:eastAsia="Calibri"/>
    </w:rPr>
  </w:style>
  <w:style w:type="character" w:customStyle="1" w:styleId="CabealhoCarter">
    <w:name w:val="Cabeçalho Caráter"/>
    <w:link w:val="Cabealho"/>
    <w:uiPriority w:val="99"/>
    <w:rsid w:val="00F433CE"/>
    <w:rPr>
      <w:rFonts w:ascii="Times New Roman" w:hAnsi="Times New Roman" w:cs="Times New Roman"/>
      <w:sz w:val="24"/>
      <w:szCs w:val="24"/>
      <w:lang w:eastAsia="pt-PT"/>
    </w:rPr>
  </w:style>
  <w:style w:type="paragraph" w:customStyle="1" w:styleId="Default">
    <w:name w:val="Default"/>
    <w:rsid w:val="00F433CE"/>
    <w:pPr>
      <w:autoSpaceDE w:val="0"/>
      <w:autoSpaceDN w:val="0"/>
      <w:adjustRightInd w:val="0"/>
    </w:pPr>
    <w:rPr>
      <w:rFonts w:ascii="EUAlbertina" w:eastAsia="Times New Roman" w:hAnsi="EUAlbertina" w:cs="EUAlbertina"/>
      <w:color w:val="000000"/>
      <w:sz w:val="24"/>
      <w:szCs w:val="24"/>
    </w:rPr>
  </w:style>
  <w:style w:type="paragraph" w:styleId="PargrafodaLista">
    <w:name w:val="List Paragraph"/>
    <w:basedOn w:val="Normal"/>
    <w:uiPriority w:val="34"/>
    <w:qFormat/>
    <w:rsid w:val="00353447"/>
    <w:pPr>
      <w:ind w:left="720"/>
      <w:contextualSpacing/>
    </w:pPr>
  </w:style>
  <w:style w:type="paragraph" w:styleId="Textodenotaderodap">
    <w:name w:val="footnote text"/>
    <w:basedOn w:val="Normal"/>
    <w:link w:val="TextodenotaderodapCarter"/>
    <w:rsid w:val="000F0720"/>
    <w:rPr>
      <w:rFonts w:eastAsia="Calibri"/>
      <w:sz w:val="20"/>
      <w:szCs w:val="20"/>
    </w:rPr>
  </w:style>
  <w:style w:type="character" w:customStyle="1" w:styleId="TextodenotaderodapCarter">
    <w:name w:val="Texto de nota de rodapé Caráter"/>
    <w:link w:val="Textodenotaderodap"/>
    <w:rsid w:val="000F0720"/>
    <w:rPr>
      <w:rFonts w:ascii="Times New Roman" w:hAnsi="Times New Roman" w:cs="Times New Roman"/>
      <w:sz w:val="20"/>
      <w:szCs w:val="20"/>
      <w:lang w:eastAsia="pt-PT"/>
    </w:rPr>
  </w:style>
  <w:style w:type="character" w:styleId="Refdenotaderodap">
    <w:name w:val="footnote reference"/>
    <w:uiPriority w:val="99"/>
    <w:rsid w:val="000F0720"/>
    <w:rPr>
      <w:vertAlign w:val="superscript"/>
    </w:rPr>
  </w:style>
  <w:style w:type="paragraph" w:styleId="Rodap">
    <w:name w:val="footer"/>
    <w:basedOn w:val="Normal"/>
    <w:link w:val="RodapCarter"/>
    <w:uiPriority w:val="99"/>
    <w:rsid w:val="000F0720"/>
    <w:pPr>
      <w:tabs>
        <w:tab w:val="center" w:pos="4252"/>
        <w:tab w:val="right" w:pos="8504"/>
      </w:tabs>
    </w:pPr>
    <w:rPr>
      <w:rFonts w:eastAsia="Calibri"/>
    </w:rPr>
  </w:style>
  <w:style w:type="character" w:customStyle="1" w:styleId="RodapCarter">
    <w:name w:val="Rodapé Caráter"/>
    <w:link w:val="Rodap"/>
    <w:uiPriority w:val="99"/>
    <w:rsid w:val="000F0720"/>
    <w:rPr>
      <w:rFonts w:ascii="Times New Roman" w:hAnsi="Times New Roman" w:cs="Times New Roman"/>
      <w:sz w:val="24"/>
      <w:szCs w:val="24"/>
      <w:lang w:eastAsia="pt-PT"/>
    </w:rPr>
  </w:style>
  <w:style w:type="character" w:customStyle="1" w:styleId="hps">
    <w:name w:val="hps"/>
    <w:basedOn w:val="Tipodeletrapredefinidodopargrafo"/>
    <w:uiPriority w:val="99"/>
    <w:rsid w:val="00224377"/>
  </w:style>
  <w:style w:type="paragraph" w:styleId="Corpodetexto2">
    <w:name w:val="Body Text 2"/>
    <w:basedOn w:val="Normal"/>
    <w:link w:val="Corpodetexto2Carter"/>
    <w:uiPriority w:val="99"/>
    <w:rsid w:val="00F54B84"/>
    <w:pPr>
      <w:spacing w:after="120" w:line="480" w:lineRule="auto"/>
    </w:pPr>
    <w:rPr>
      <w:rFonts w:eastAsia="Calibri"/>
    </w:rPr>
  </w:style>
  <w:style w:type="character" w:customStyle="1" w:styleId="Corpodetexto2Carter">
    <w:name w:val="Corpo de texto 2 Caráter"/>
    <w:link w:val="Corpodetexto2"/>
    <w:uiPriority w:val="99"/>
    <w:semiHidden/>
    <w:rsid w:val="00247DC2"/>
    <w:rPr>
      <w:rFonts w:ascii="Times New Roman" w:hAnsi="Times New Roman" w:cs="Times New Roman"/>
      <w:sz w:val="24"/>
      <w:szCs w:val="24"/>
    </w:rPr>
  </w:style>
  <w:style w:type="character" w:styleId="nfase">
    <w:name w:val="Emphasis"/>
    <w:uiPriority w:val="20"/>
    <w:qFormat/>
    <w:rsid w:val="00F94E32"/>
    <w:rPr>
      <w:i/>
      <w:iCs/>
    </w:rPr>
  </w:style>
  <w:style w:type="character" w:styleId="Forte">
    <w:name w:val="Strong"/>
    <w:uiPriority w:val="22"/>
    <w:qFormat/>
    <w:rsid w:val="00292D8E"/>
    <w:rPr>
      <w:b/>
      <w:bCs/>
    </w:rPr>
  </w:style>
  <w:style w:type="character" w:customStyle="1" w:styleId="Carcter13">
    <w:name w:val="Carácter13"/>
    <w:uiPriority w:val="99"/>
    <w:rsid w:val="00465046"/>
    <w:rPr>
      <w:rFonts w:ascii="Arial" w:hAnsi="Arial" w:cs="Arial"/>
      <w:sz w:val="24"/>
      <w:szCs w:val="24"/>
      <w:lang w:val="pt-PT" w:eastAsia="pt-PT"/>
    </w:rPr>
  </w:style>
  <w:style w:type="paragraph" w:styleId="Corpodetexto">
    <w:name w:val="Body Text"/>
    <w:basedOn w:val="Normal"/>
    <w:link w:val="CorpodetextoCarter"/>
    <w:uiPriority w:val="99"/>
    <w:rsid w:val="00465046"/>
    <w:pPr>
      <w:spacing w:after="120"/>
    </w:pPr>
    <w:rPr>
      <w:rFonts w:ascii="Calibri" w:hAnsi="Calibri" w:cs="Calibri"/>
    </w:rPr>
  </w:style>
  <w:style w:type="character" w:customStyle="1" w:styleId="BodyTextChar">
    <w:name w:val="Body Text Char"/>
    <w:uiPriority w:val="99"/>
    <w:semiHidden/>
    <w:rsid w:val="007B6D7A"/>
    <w:rPr>
      <w:rFonts w:ascii="Times New Roman" w:hAnsi="Times New Roman" w:cs="Times New Roman"/>
      <w:sz w:val="24"/>
      <w:szCs w:val="24"/>
    </w:rPr>
  </w:style>
  <w:style w:type="character" w:customStyle="1" w:styleId="CorpodetextoCarter">
    <w:name w:val="Corpo de texto Caráter"/>
    <w:link w:val="Corpodetexto"/>
    <w:uiPriority w:val="99"/>
    <w:rsid w:val="00465046"/>
    <w:rPr>
      <w:rFonts w:eastAsia="Times New Roman"/>
      <w:sz w:val="24"/>
      <w:szCs w:val="24"/>
      <w:lang w:val="pt-PT" w:eastAsia="pt-PT"/>
    </w:rPr>
  </w:style>
  <w:style w:type="character" w:customStyle="1" w:styleId="Carcter1">
    <w:name w:val="Carácter1"/>
    <w:uiPriority w:val="99"/>
    <w:rsid w:val="00130B64"/>
    <w:rPr>
      <w:rFonts w:ascii="Arial" w:hAnsi="Arial" w:cs="Arial"/>
      <w:lang w:val="pt-PT" w:eastAsia="en-US"/>
    </w:rPr>
  </w:style>
  <w:style w:type="paragraph" w:styleId="Avanodecorpodetexto2">
    <w:name w:val="Body Text Indent 2"/>
    <w:basedOn w:val="Normal"/>
    <w:link w:val="Avanodecorpodetexto2Carter"/>
    <w:uiPriority w:val="99"/>
    <w:rsid w:val="00130B64"/>
    <w:pPr>
      <w:spacing w:after="120" w:line="480" w:lineRule="auto"/>
      <w:ind w:left="283"/>
    </w:pPr>
  </w:style>
  <w:style w:type="character" w:customStyle="1" w:styleId="Avanodecorpodetexto2Carter">
    <w:name w:val="Avanço de corpo de texto 2 Caráter"/>
    <w:link w:val="Avanodecorpodetexto2"/>
    <w:uiPriority w:val="99"/>
    <w:semiHidden/>
    <w:rsid w:val="00EB48A6"/>
    <w:rPr>
      <w:rFonts w:ascii="Times New Roman" w:hAnsi="Times New Roman" w:cs="Times New Roman"/>
      <w:sz w:val="24"/>
      <w:szCs w:val="24"/>
    </w:rPr>
  </w:style>
  <w:style w:type="character" w:customStyle="1" w:styleId="apple-converted-space">
    <w:name w:val="apple-converted-space"/>
    <w:basedOn w:val="Tipodeletrapredefinidodopargrafo"/>
    <w:uiPriority w:val="99"/>
    <w:rsid w:val="00370AE2"/>
  </w:style>
  <w:style w:type="paragraph" w:customStyle="1" w:styleId="CVNormal">
    <w:name w:val="CV Normal"/>
    <w:basedOn w:val="Normal"/>
    <w:uiPriority w:val="99"/>
    <w:rsid w:val="00267FCA"/>
    <w:pPr>
      <w:suppressAutoHyphens/>
      <w:ind w:left="113" w:right="113"/>
    </w:pPr>
    <w:rPr>
      <w:rFonts w:ascii="Arial Narrow" w:hAnsi="Arial Narrow" w:cs="Arial Narrow"/>
      <w:sz w:val="20"/>
      <w:szCs w:val="20"/>
      <w:lang w:eastAsia="ar-SA"/>
    </w:rPr>
  </w:style>
  <w:style w:type="paragraph" w:customStyle="1" w:styleId="NormalWeb16">
    <w:name w:val="Normal (Web)16"/>
    <w:basedOn w:val="Normal"/>
    <w:uiPriority w:val="99"/>
    <w:rsid w:val="006850AC"/>
    <w:pPr>
      <w:spacing w:before="150" w:after="150"/>
      <w:ind w:left="225" w:right="525"/>
    </w:pPr>
    <w:rPr>
      <w:rFonts w:eastAsia="Calibri"/>
      <w:sz w:val="26"/>
      <w:szCs w:val="26"/>
    </w:rPr>
  </w:style>
  <w:style w:type="character" w:customStyle="1" w:styleId="TextodenotaderodapCarcter">
    <w:name w:val="Texto de nota de rodapé Carácter"/>
    <w:uiPriority w:val="99"/>
    <w:rsid w:val="006127D2"/>
    <w:rPr>
      <w:rFonts w:ascii="Arial" w:hAnsi="Arial" w:cs="Arial"/>
      <w:sz w:val="24"/>
      <w:szCs w:val="24"/>
      <w:lang w:val="pt-PT" w:eastAsia="pt-PT"/>
    </w:rPr>
  </w:style>
  <w:style w:type="paragraph" w:styleId="Ttulo">
    <w:name w:val="Title"/>
    <w:basedOn w:val="Normal"/>
    <w:link w:val="TtuloCarter"/>
    <w:uiPriority w:val="10"/>
    <w:qFormat/>
    <w:rsid w:val="00187E93"/>
    <w:pPr>
      <w:overflowPunct w:val="0"/>
      <w:autoSpaceDE w:val="0"/>
      <w:autoSpaceDN w:val="0"/>
      <w:adjustRightInd w:val="0"/>
      <w:jc w:val="center"/>
      <w:textAlignment w:val="baseline"/>
    </w:pPr>
    <w:rPr>
      <w:rFonts w:eastAsia="Calibri"/>
      <w:b/>
      <w:bCs/>
      <w:sz w:val="26"/>
      <w:szCs w:val="26"/>
      <w:u w:val="single"/>
    </w:rPr>
  </w:style>
  <w:style w:type="character" w:customStyle="1" w:styleId="TtuloCarter">
    <w:name w:val="Título Caráter"/>
    <w:link w:val="Ttulo"/>
    <w:uiPriority w:val="10"/>
    <w:rsid w:val="00257E31"/>
    <w:rPr>
      <w:rFonts w:ascii="Cambria" w:hAnsi="Cambria" w:cs="Cambria"/>
      <w:b/>
      <w:bCs/>
      <w:kern w:val="28"/>
      <w:sz w:val="32"/>
      <w:szCs w:val="32"/>
    </w:rPr>
  </w:style>
  <w:style w:type="character" w:customStyle="1" w:styleId="Carcter11">
    <w:name w:val="Carácter11"/>
    <w:uiPriority w:val="99"/>
    <w:rsid w:val="00187E93"/>
    <w:rPr>
      <w:rFonts w:ascii="Arial" w:hAnsi="Arial" w:cs="Arial"/>
      <w:lang w:val="en-US" w:eastAsia="pt-PT"/>
    </w:rPr>
  </w:style>
  <w:style w:type="character" w:customStyle="1" w:styleId="Carcter12">
    <w:name w:val="Carácter12"/>
    <w:uiPriority w:val="99"/>
    <w:rsid w:val="006E69B6"/>
    <w:rPr>
      <w:rFonts w:ascii="Arial" w:hAnsi="Arial" w:cs="Arial"/>
      <w:lang w:val="pt-PT" w:eastAsia="en-US"/>
    </w:rPr>
  </w:style>
  <w:style w:type="character" w:styleId="Hiperligaovisitada">
    <w:name w:val="FollowedHyperlink"/>
    <w:uiPriority w:val="99"/>
    <w:rsid w:val="002C742C"/>
    <w:rPr>
      <w:color w:val="800080"/>
      <w:u w:val="single"/>
    </w:rPr>
  </w:style>
  <w:style w:type="paragraph" w:styleId="NormalWeb">
    <w:name w:val="Normal (Web)"/>
    <w:basedOn w:val="Normal"/>
    <w:uiPriority w:val="99"/>
    <w:rsid w:val="000B53C7"/>
    <w:pPr>
      <w:spacing w:before="100" w:beforeAutospacing="1" w:after="100" w:afterAutospacing="1"/>
    </w:pPr>
    <w:rPr>
      <w:rFonts w:eastAsia="Calibri"/>
    </w:rPr>
  </w:style>
  <w:style w:type="paragraph" w:customStyle="1" w:styleId="Data1">
    <w:name w:val="Data1"/>
    <w:basedOn w:val="Normal"/>
    <w:uiPriority w:val="99"/>
    <w:rsid w:val="000B53C7"/>
    <w:pPr>
      <w:spacing w:before="100" w:beforeAutospacing="1" w:after="100" w:afterAutospacing="1"/>
    </w:pPr>
    <w:rPr>
      <w:rFonts w:eastAsia="Calibri"/>
    </w:rPr>
  </w:style>
  <w:style w:type="paragraph" w:customStyle="1" w:styleId="rfrenceinstitutionnelle2">
    <w:name w:val="rfrenceinstitutionnelle2"/>
    <w:basedOn w:val="Normal"/>
    <w:uiPriority w:val="99"/>
    <w:rsid w:val="000B53C7"/>
    <w:pPr>
      <w:shd w:val="clear" w:color="auto" w:fill="EEEEEE"/>
      <w:spacing w:after="360"/>
      <w:ind w:left="122"/>
    </w:pPr>
    <w:rPr>
      <w:rFonts w:eastAsia="Calibri"/>
    </w:rPr>
  </w:style>
  <w:style w:type="character" w:customStyle="1" w:styleId="Carcter5">
    <w:name w:val="Carácter5"/>
    <w:uiPriority w:val="99"/>
    <w:rsid w:val="00FD388C"/>
    <w:rPr>
      <w:b/>
      <w:bCs/>
      <w:sz w:val="24"/>
      <w:szCs w:val="24"/>
      <w:lang w:val="pt-PT" w:eastAsia="pt-PT"/>
    </w:rPr>
  </w:style>
  <w:style w:type="paragraph" w:customStyle="1" w:styleId="NormalWeb15">
    <w:name w:val="Normal (Web)15"/>
    <w:basedOn w:val="Normal"/>
    <w:uiPriority w:val="99"/>
    <w:rsid w:val="00177F9B"/>
    <w:rPr>
      <w:rFonts w:eastAsia="Calibri"/>
    </w:rPr>
  </w:style>
  <w:style w:type="paragraph" w:customStyle="1" w:styleId="CM1">
    <w:name w:val="CM1"/>
    <w:basedOn w:val="Default"/>
    <w:next w:val="Default"/>
    <w:uiPriority w:val="99"/>
    <w:rsid w:val="00A739E3"/>
    <w:rPr>
      <w:rFonts w:eastAsia="Calibri"/>
      <w:color w:val="auto"/>
    </w:rPr>
  </w:style>
  <w:style w:type="character" w:customStyle="1" w:styleId="Carcter14">
    <w:name w:val="Carácter14"/>
    <w:uiPriority w:val="99"/>
    <w:rsid w:val="00432216"/>
    <w:rPr>
      <w:rFonts w:ascii="Arial" w:hAnsi="Arial" w:cs="Arial"/>
      <w:lang w:val="pt-PT" w:eastAsia="en-US"/>
    </w:rPr>
  </w:style>
  <w:style w:type="paragraph" w:customStyle="1" w:styleId="doc-ti2">
    <w:name w:val="doc-ti2"/>
    <w:basedOn w:val="Normal"/>
    <w:uiPriority w:val="99"/>
    <w:rsid w:val="00432216"/>
    <w:pPr>
      <w:shd w:val="clear" w:color="auto" w:fill="EEEEEE"/>
      <w:spacing w:before="240" w:after="120" w:line="312" w:lineRule="atLeast"/>
      <w:ind w:left="122"/>
      <w:jc w:val="center"/>
    </w:pPr>
    <w:rPr>
      <w:rFonts w:eastAsia="Calibri"/>
      <w:b/>
      <w:bCs/>
    </w:rPr>
  </w:style>
  <w:style w:type="paragraph" w:customStyle="1" w:styleId="style17">
    <w:name w:val="style17"/>
    <w:basedOn w:val="Normal"/>
    <w:uiPriority w:val="99"/>
    <w:rsid w:val="00801EE2"/>
    <w:pPr>
      <w:spacing w:before="100" w:beforeAutospacing="1" w:after="100" w:afterAutospacing="1"/>
    </w:pPr>
    <w:rPr>
      <w:rFonts w:ascii="Arial" w:eastAsia="Calibri" w:hAnsi="Arial" w:cs="Arial"/>
      <w:b/>
      <w:bCs/>
      <w:color w:val="E54756"/>
      <w:lang w:val="en-GB" w:eastAsia="en-US"/>
    </w:rPr>
  </w:style>
  <w:style w:type="character" w:customStyle="1" w:styleId="Carcter15">
    <w:name w:val="Carácter15"/>
    <w:uiPriority w:val="99"/>
    <w:rsid w:val="009551B4"/>
    <w:rPr>
      <w:rFonts w:ascii="Arial" w:hAnsi="Arial" w:cs="Arial"/>
      <w:lang w:val="pt-PT" w:eastAsia="en-US"/>
    </w:rPr>
  </w:style>
  <w:style w:type="character" w:customStyle="1" w:styleId="Carcter2">
    <w:name w:val="Carácter2"/>
    <w:uiPriority w:val="99"/>
    <w:rsid w:val="00332B2A"/>
    <w:rPr>
      <w:rFonts w:ascii="Arial" w:hAnsi="Arial" w:cs="Arial"/>
      <w:sz w:val="24"/>
      <w:szCs w:val="24"/>
      <w:lang w:val="pt-PT" w:eastAsia="en-US"/>
    </w:rPr>
  </w:style>
  <w:style w:type="character" w:customStyle="1" w:styleId="Carcter21">
    <w:name w:val="Carácter21"/>
    <w:uiPriority w:val="99"/>
    <w:rsid w:val="004535F8"/>
    <w:rPr>
      <w:rFonts w:ascii="Arial" w:hAnsi="Arial" w:cs="Arial"/>
      <w:sz w:val="24"/>
      <w:szCs w:val="24"/>
      <w:lang w:val="pt-PT" w:eastAsia="pt-PT"/>
    </w:rPr>
  </w:style>
  <w:style w:type="character" w:customStyle="1" w:styleId="2DateCharChar">
    <w:name w:val="2 Date Char Char"/>
    <w:link w:val="2Date"/>
    <w:uiPriority w:val="99"/>
    <w:rsid w:val="007824BB"/>
    <w:rPr>
      <w:rFonts w:ascii="Verdana" w:hAnsi="Verdana" w:cs="Verdana"/>
      <w:sz w:val="22"/>
      <w:szCs w:val="22"/>
      <w:lang w:val="pt-PT" w:eastAsia="en-US"/>
    </w:rPr>
  </w:style>
  <w:style w:type="paragraph" w:customStyle="1" w:styleId="2Date">
    <w:name w:val="2 Date"/>
    <w:basedOn w:val="Normal"/>
    <w:link w:val="2DateCharChar"/>
    <w:uiPriority w:val="99"/>
    <w:rsid w:val="007824BB"/>
    <w:pPr>
      <w:spacing w:after="480"/>
      <w:ind w:right="57"/>
      <w:jc w:val="right"/>
    </w:pPr>
    <w:rPr>
      <w:rFonts w:ascii="Verdana" w:hAnsi="Verdana" w:cs="Verdana"/>
      <w:sz w:val="22"/>
      <w:szCs w:val="22"/>
      <w:lang w:eastAsia="en-US"/>
    </w:rPr>
  </w:style>
  <w:style w:type="character" w:styleId="MenoNoResolvida">
    <w:name w:val="Unresolved Mention"/>
    <w:uiPriority w:val="99"/>
    <w:semiHidden/>
    <w:unhideWhenUsed/>
    <w:rsid w:val="00F82937"/>
    <w:rPr>
      <w:color w:val="808080"/>
      <w:shd w:val="clear" w:color="auto" w:fill="E6E6E6"/>
    </w:rPr>
  </w:style>
  <w:style w:type="character" w:customStyle="1" w:styleId="prdsubttitle1">
    <w:name w:val="prdsubttitle1"/>
    <w:rsid w:val="000B640D"/>
  </w:style>
  <w:style w:type="character" w:customStyle="1" w:styleId="style15">
    <w:name w:val="style15"/>
    <w:rsid w:val="00637CD6"/>
  </w:style>
  <w:style w:type="character" w:customStyle="1" w:styleId="style14">
    <w:name w:val="style14"/>
    <w:rsid w:val="00637CD6"/>
  </w:style>
  <w:style w:type="paragraph" w:customStyle="1" w:styleId="rfrenceinstitutionnelle">
    <w:name w:val="rfrenceinstitutionnelle"/>
    <w:basedOn w:val="Normal"/>
    <w:rsid w:val="00EC18E6"/>
    <w:pPr>
      <w:spacing w:before="100" w:beforeAutospacing="1" w:after="100" w:afterAutospacing="1"/>
    </w:pPr>
  </w:style>
  <w:style w:type="paragraph" w:customStyle="1" w:styleId="typedudocumentcp">
    <w:name w:val="typedudocument_cp"/>
    <w:basedOn w:val="Normal"/>
    <w:rsid w:val="00EC18E6"/>
    <w:pPr>
      <w:spacing w:before="100" w:beforeAutospacing="1" w:after="100" w:afterAutospacing="1"/>
    </w:pPr>
  </w:style>
  <w:style w:type="paragraph" w:customStyle="1" w:styleId="titreobjetcp">
    <w:name w:val="titreobjet_cp"/>
    <w:basedOn w:val="Normal"/>
    <w:rsid w:val="00EC18E6"/>
    <w:pPr>
      <w:spacing w:before="100" w:beforeAutospacing="1" w:after="100" w:afterAutospacing="1"/>
    </w:pPr>
  </w:style>
  <w:style w:type="character" w:customStyle="1" w:styleId="ecl-metaitem">
    <w:name w:val="ecl-meta__item"/>
    <w:rsid w:val="00222EC8"/>
  </w:style>
  <w:style w:type="paragraph" w:styleId="Textosimples">
    <w:name w:val="Plain Text"/>
    <w:basedOn w:val="Normal"/>
    <w:link w:val="TextosimplesCarter"/>
    <w:uiPriority w:val="99"/>
    <w:unhideWhenUsed/>
    <w:rsid w:val="00A53615"/>
    <w:rPr>
      <w:rFonts w:ascii="Calibri" w:eastAsia="Calibri" w:hAnsi="Calibri"/>
      <w:sz w:val="22"/>
      <w:szCs w:val="21"/>
      <w:lang w:eastAsia="en-US"/>
    </w:rPr>
  </w:style>
  <w:style w:type="character" w:customStyle="1" w:styleId="TextosimplesCarter">
    <w:name w:val="Texto simples Caráter"/>
    <w:link w:val="Textosimples"/>
    <w:uiPriority w:val="99"/>
    <w:rsid w:val="00A53615"/>
    <w:rPr>
      <w:sz w:val="22"/>
      <w:szCs w:val="21"/>
      <w:lang w:eastAsia="en-US"/>
    </w:rPr>
  </w:style>
  <w:style w:type="character" w:customStyle="1" w:styleId="comet-item-title">
    <w:name w:val="comet-item-title"/>
    <w:basedOn w:val="Tipodeletrapredefinidodopargrafo"/>
    <w:rsid w:val="00DF70FD"/>
  </w:style>
  <w:style w:type="character" w:customStyle="1" w:styleId="outputecliaff">
    <w:name w:val="outputecliaff"/>
    <w:basedOn w:val="Tipodeletrapredefinidodopargrafo"/>
    <w:rsid w:val="000F3484"/>
  </w:style>
  <w:style w:type="paragraph" w:styleId="HTMLpr-formatado">
    <w:name w:val="HTML Preformatted"/>
    <w:basedOn w:val="Normal"/>
    <w:link w:val="HTMLpr-formatadoCarter"/>
    <w:uiPriority w:val="99"/>
    <w:semiHidden/>
    <w:unhideWhenUsed/>
    <w:rsid w:val="00033A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formatadoCarter">
    <w:name w:val="HTML pré-formatado Caráter"/>
    <w:link w:val="HTMLpr-formatado"/>
    <w:uiPriority w:val="99"/>
    <w:semiHidden/>
    <w:rsid w:val="00033A4B"/>
    <w:rPr>
      <w:rFonts w:ascii="Courier New" w:eastAsia="Times New Roman" w:hAnsi="Courier New" w:cs="Courier New"/>
    </w:rPr>
  </w:style>
  <w:style w:type="character" w:customStyle="1" w:styleId="y2iqfc">
    <w:name w:val="y2iqfc"/>
    <w:basedOn w:val="Tipodeletrapredefinidodopargrafo"/>
    <w:rsid w:val="00033A4B"/>
  </w:style>
  <w:style w:type="character" w:styleId="Refdecomentrio">
    <w:name w:val="annotation reference"/>
    <w:uiPriority w:val="99"/>
    <w:semiHidden/>
    <w:unhideWhenUsed/>
    <w:rsid w:val="00D93CB2"/>
    <w:rPr>
      <w:sz w:val="16"/>
      <w:szCs w:val="16"/>
    </w:rPr>
  </w:style>
  <w:style w:type="paragraph" w:styleId="Textodecomentrio">
    <w:name w:val="annotation text"/>
    <w:basedOn w:val="Normal"/>
    <w:link w:val="TextodecomentrioCarter"/>
    <w:uiPriority w:val="99"/>
    <w:semiHidden/>
    <w:unhideWhenUsed/>
    <w:rsid w:val="00D93CB2"/>
    <w:rPr>
      <w:sz w:val="20"/>
      <w:szCs w:val="20"/>
    </w:rPr>
  </w:style>
  <w:style w:type="character" w:customStyle="1" w:styleId="TextodecomentrioCarter">
    <w:name w:val="Texto de comentário Caráter"/>
    <w:link w:val="Textodecomentrio"/>
    <w:uiPriority w:val="99"/>
    <w:semiHidden/>
    <w:rsid w:val="00D93CB2"/>
    <w:rPr>
      <w:rFonts w:ascii="Times New Roman" w:eastAsia="Times New Roman" w:hAnsi="Times New Roman"/>
    </w:rPr>
  </w:style>
  <w:style w:type="paragraph" w:styleId="Assuntodecomentrio">
    <w:name w:val="annotation subject"/>
    <w:basedOn w:val="Textodecomentrio"/>
    <w:next w:val="Textodecomentrio"/>
    <w:link w:val="AssuntodecomentrioCarter"/>
    <w:uiPriority w:val="99"/>
    <w:semiHidden/>
    <w:unhideWhenUsed/>
    <w:rsid w:val="00D93CB2"/>
    <w:rPr>
      <w:b/>
      <w:bCs/>
    </w:rPr>
  </w:style>
  <w:style w:type="character" w:customStyle="1" w:styleId="AssuntodecomentrioCarter">
    <w:name w:val="Assunto de comentário Caráter"/>
    <w:link w:val="Assuntodecomentrio"/>
    <w:uiPriority w:val="99"/>
    <w:semiHidden/>
    <w:rsid w:val="00D93CB2"/>
    <w:rPr>
      <w:rFonts w:ascii="Times New Roman" w:eastAsia="Times New Roman" w:hAnsi="Times New Roman"/>
      <w:b/>
      <w:bCs/>
    </w:rPr>
  </w:style>
  <w:style w:type="character" w:customStyle="1" w:styleId="name">
    <w:name w:val="name"/>
    <w:basedOn w:val="Tipodeletrapredefinidodopargrafo"/>
    <w:rsid w:val="00B17B14"/>
  </w:style>
  <w:style w:type="character" w:customStyle="1" w:styleId="outputecli">
    <w:name w:val="outputecli"/>
    <w:basedOn w:val="Tipodeletrapredefinidodopargrafo"/>
    <w:rsid w:val="00CB44B9"/>
  </w:style>
  <w:style w:type="character" w:customStyle="1" w:styleId="rgba">
    <w:name w:val="rgba"/>
    <w:basedOn w:val="Tipodeletrapredefinidodopargrafo"/>
    <w:rsid w:val="00635411"/>
  </w:style>
  <w:style w:type="paragraph" w:styleId="Bibliografia">
    <w:name w:val="Bibliography"/>
    <w:basedOn w:val="Normal"/>
    <w:next w:val="Normal"/>
    <w:uiPriority w:val="37"/>
    <w:unhideWhenUsed/>
    <w:rsid w:val="00635411"/>
    <w:pPr>
      <w:spacing w:after="160" w:line="259" w:lineRule="auto"/>
    </w:pPr>
    <w:rPr>
      <w:rFonts w:asciiTheme="minorHAnsi" w:eastAsiaTheme="minorHAnsi" w:hAnsiTheme="minorHAnsi" w:cstheme="minorBidi"/>
      <w:sz w:val="22"/>
      <w:szCs w:val="22"/>
      <w:lang w:eastAsia="en-US"/>
    </w:rPr>
  </w:style>
  <w:style w:type="paragraph" w:customStyle="1" w:styleId="title-bold">
    <w:name w:val="title-bold"/>
    <w:basedOn w:val="Normal"/>
    <w:rsid w:val="00E26B37"/>
    <w:pPr>
      <w:spacing w:before="100" w:beforeAutospacing="1" w:after="100" w:afterAutospacing="1"/>
    </w:pPr>
    <w:rPr>
      <w:rFonts w:eastAsiaTheme="minorHAnsi"/>
    </w:rPr>
  </w:style>
  <w:style w:type="paragraph" w:styleId="Textodenotadefim">
    <w:name w:val="endnote text"/>
    <w:basedOn w:val="Normal"/>
    <w:link w:val="TextodenotadefimCarter"/>
    <w:uiPriority w:val="99"/>
    <w:semiHidden/>
    <w:unhideWhenUsed/>
    <w:rsid w:val="00091082"/>
    <w:rPr>
      <w:sz w:val="20"/>
      <w:szCs w:val="20"/>
    </w:rPr>
  </w:style>
  <w:style w:type="character" w:customStyle="1" w:styleId="TextodenotadefimCarter">
    <w:name w:val="Texto de nota de fim Caráter"/>
    <w:basedOn w:val="Tipodeletrapredefinidodopargrafo"/>
    <w:link w:val="Textodenotadefim"/>
    <w:uiPriority w:val="99"/>
    <w:semiHidden/>
    <w:rsid w:val="00091082"/>
    <w:rPr>
      <w:rFonts w:ascii="Times New Roman" w:eastAsia="Times New Roman" w:hAnsi="Times New Roman"/>
    </w:rPr>
  </w:style>
  <w:style w:type="character" w:styleId="Refdenotadefim">
    <w:name w:val="endnote reference"/>
    <w:basedOn w:val="Tipodeletrapredefinidodopargrafo"/>
    <w:uiPriority w:val="99"/>
    <w:semiHidden/>
    <w:unhideWhenUsed/>
    <w:rsid w:val="00091082"/>
    <w:rPr>
      <w:vertAlign w:val="superscript"/>
    </w:rPr>
  </w:style>
  <w:style w:type="paragraph" w:customStyle="1" w:styleId="Normal1">
    <w:name w:val="Normal1"/>
    <w:basedOn w:val="Normal"/>
    <w:rsid w:val="00746D77"/>
    <w:pPr>
      <w:spacing w:before="100" w:beforeAutospacing="1" w:after="100" w:afterAutospacing="1"/>
    </w:pPr>
  </w:style>
  <w:style w:type="paragraph" w:customStyle="1" w:styleId="ti-art">
    <w:name w:val="ti-art"/>
    <w:basedOn w:val="Normal"/>
    <w:rsid w:val="00600DF6"/>
    <w:pPr>
      <w:spacing w:before="100" w:beforeAutospacing="1" w:after="100" w:afterAutospacing="1"/>
    </w:pPr>
  </w:style>
  <w:style w:type="character" w:customStyle="1" w:styleId="super">
    <w:name w:val="super"/>
    <w:basedOn w:val="Tipodeletrapredefinidodopargrafo"/>
    <w:rsid w:val="00600DF6"/>
  </w:style>
  <w:style w:type="paragraph" w:customStyle="1" w:styleId="Normal2">
    <w:name w:val="Normal2"/>
    <w:basedOn w:val="Normal"/>
    <w:rsid w:val="00600DF6"/>
    <w:pPr>
      <w:spacing w:before="100" w:beforeAutospacing="1" w:after="100" w:afterAutospacing="1"/>
    </w:pPr>
  </w:style>
  <w:style w:type="character" w:customStyle="1" w:styleId="v1comet-item-title">
    <w:name w:val="v1comet-item-title"/>
    <w:basedOn w:val="Tipodeletrapredefinidodopargrafo"/>
    <w:rsid w:val="000D1698"/>
  </w:style>
  <w:style w:type="character" w:customStyle="1" w:styleId="Ttulo4Carter">
    <w:name w:val="Título 4 Caráter"/>
    <w:basedOn w:val="Tipodeletrapredefinidodopargrafo"/>
    <w:link w:val="Ttulo4"/>
    <w:uiPriority w:val="9"/>
    <w:semiHidden/>
    <w:rsid w:val="00AF5E88"/>
    <w:rPr>
      <w:rFonts w:asciiTheme="majorHAnsi" w:eastAsiaTheme="majorEastAsia" w:hAnsiTheme="majorHAnsi" w:cstheme="majorBidi"/>
      <w:i/>
      <w:iCs/>
      <w:color w:val="365F91" w:themeColor="accent1" w:themeShade="BF"/>
      <w:sz w:val="24"/>
      <w:szCs w:val="24"/>
    </w:rPr>
  </w:style>
  <w:style w:type="character" w:customStyle="1" w:styleId="comet-item-text">
    <w:name w:val="comet-item-text"/>
    <w:basedOn w:val="Tipodeletrapredefinidodopargrafo"/>
    <w:rsid w:val="00AF5E88"/>
  </w:style>
  <w:style w:type="table" w:styleId="TabelacomGrelha">
    <w:name w:val="Table Grid"/>
    <w:basedOn w:val="Tabelanormal"/>
    <w:uiPriority w:val="39"/>
    <w:rsid w:val="00694C0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
    <w:name w:val="titulo"/>
    <w:basedOn w:val="Normal"/>
    <w:rsid w:val="00A44332"/>
    <w:pPr>
      <w:spacing w:before="100" w:beforeAutospacing="1" w:after="100" w:afterAutospacing="1"/>
    </w:pPr>
  </w:style>
  <w:style w:type="paragraph" w:customStyle="1" w:styleId="autores">
    <w:name w:val="autores"/>
    <w:basedOn w:val="Normal"/>
    <w:rsid w:val="00A44332"/>
    <w:pPr>
      <w:spacing w:before="100" w:beforeAutospacing="1" w:after="100" w:afterAutospacing="1"/>
    </w:pPr>
  </w:style>
  <w:style w:type="paragraph" w:customStyle="1" w:styleId="localizacion">
    <w:name w:val="localizacion"/>
    <w:basedOn w:val="Normal"/>
    <w:rsid w:val="00A44332"/>
    <w:pPr>
      <w:spacing w:before="100" w:beforeAutospacing="1" w:after="100" w:afterAutospacing="1"/>
    </w:pPr>
  </w:style>
  <w:style w:type="character" w:customStyle="1" w:styleId="separador">
    <w:name w:val="separador"/>
    <w:basedOn w:val="Tipodeletrapredefinidodopargrafo"/>
    <w:rsid w:val="00A44332"/>
  </w:style>
  <w:style w:type="character" w:customStyle="1" w:styleId="subtitulo">
    <w:name w:val="subtitulo"/>
    <w:basedOn w:val="Tipodeletrapredefinidodopargrafo"/>
    <w:rsid w:val="00A44332"/>
  </w:style>
  <w:style w:type="character" w:styleId="AcrnimoHTML">
    <w:name w:val="HTML Acronym"/>
    <w:basedOn w:val="Tipodeletrapredefinidodopargrafo"/>
    <w:uiPriority w:val="99"/>
    <w:semiHidden/>
    <w:unhideWhenUsed/>
    <w:rsid w:val="00A44332"/>
  </w:style>
  <w:style w:type="paragraph" w:customStyle="1" w:styleId="v1msonormal">
    <w:name w:val="v1msonormal"/>
    <w:basedOn w:val="Normal"/>
    <w:rsid w:val="0074565B"/>
    <w:pPr>
      <w:spacing w:before="100" w:beforeAutospacing="1" w:after="100" w:afterAutospacing="1"/>
    </w:pPr>
    <w:rPr>
      <w:rFonts w:ascii="Calibri" w:eastAsiaTheme="minorHAnsi" w:hAnsi="Calibri" w:cs="Calibri"/>
      <w:sz w:val="22"/>
      <w:szCs w:val="22"/>
    </w:rPr>
  </w:style>
  <w:style w:type="paragraph" w:customStyle="1" w:styleId="Pa16">
    <w:name w:val="Pa16"/>
    <w:basedOn w:val="Default"/>
    <w:next w:val="Default"/>
    <w:uiPriority w:val="99"/>
    <w:rsid w:val="00C406E7"/>
    <w:pPr>
      <w:spacing w:line="241" w:lineRule="atLeast"/>
    </w:pPr>
    <w:rPr>
      <w:rFonts w:ascii="Adobe Garamond Pro" w:eastAsia="Calibri" w:hAnsi="Adobe Garamond Pro" w:cs="Times New Roman"/>
      <w:color w:val="auto"/>
    </w:rPr>
  </w:style>
  <w:style w:type="character" w:customStyle="1" w:styleId="A4">
    <w:name w:val="A4"/>
    <w:uiPriority w:val="99"/>
    <w:rsid w:val="00C406E7"/>
    <w:rPr>
      <w:rFonts w:cs="Adobe Garamond Pro"/>
      <w:i/>
      <w:iCs/>
      <w:color w:val="000000"/>
      <w:sz w:val="22"/>
      <w:szCs w:val="22"/>
    </w:rPr>
  </w:style>
  <w:style w:type="character" w:customStyle="1" w:styleId="TextodenotaderodapCarcter1">
    <w:name w:val="Texto de nota de rodapé Carácter1"/>
    <w:rsid w:val="00DC55D2"/>
    <w:rPr>
      <w:rFonts w:ascii="Arial" w:hAnsi="Arial"/>
      <w:sz w:val="24"/>
      <w:szCs w:val="24"/>
      <w:lang w:val="pt-PT"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34794">
      <w:bodyDiv w:val="1"/>
      <w:marLeft w:val="0"/>
      <w:marRight w:val="0"/>
      <w:marTop w:val="0"/>
      <w:marBottom w:val="0"/>
      <w:divBdr>
        <w:top w:val="none" w:sz="0" w:space="0" w:color="auto"/>
        <w:left w:val="none" w:sz="0" w:space="0" w:color="auto"/>
        <w:bottom w:val="none" w:sz="0" w:space="0" w:color="auto"/>
        <w:right w:val="none" w:sz="0" w:space="0" w:color="auto"/>
      </w:divBdr>
    </w:div>
    <w:div w:id="81533534">
      <w:bodyDiv w:val="1"/>
      <w:marLeft w:val="0"/>
      <w:marRight w:val="0"/>
      <w:marTop w:val="0"/>
      <w:marBottom w:val="0"/>
      <w:divBdr>
        <w:top w:val="none" w:sz="0" w:space="0" w:color="auto"/>
        <w:left w:val="none" w:sz="0" w:space="0" w:color="auto"/>
        <w:bottom w:val="none" w:sz="0" w:space="0" w:color="auto"/>
        <w:right w:val="none" w:sz="0" w:space="0" w:color="auto"/>
      </w:divBdr>
      <w:divsChild>
        <w:div w:id="1086616087">
          <w:marLeft w:val="0"/>
          <w:marRight w:val="0"/>
          <w:marTop w:val="0"/>
          <w:marBottom w:val="0"/>
          <w:divBdr>
            <w:top w:val="none" w:sz="0" w:space="0" w:color="auto"/>
            <w:left w:val="none" w:sz="0" w:space="0" w:color="auto"/>
            <w:bottom w:val="none" w:sz="0" w:space="0" w:color="auto"/>
            <w:right w:val="none" w:sz="0" w:space="0" w:color="auto"/>
          </w:divBdr>
        </w:div>
      </w:divsChild>
    </w:div>
    <w:div w:id="83384097">
      <w:bodyDiv w:val="1"/>
      <w:marLeft w:val="0"/>
      <w:marRight w:val="0"/>
      <w:marTop w:val="0"/>
      <w:marBottom w:val="0"/>
      <w:divBdr>
        <w:top w:val="none" w:sz="0" w:space="0" w:color="auto"/>
        <w:left w:val="none" w:sz="0" w:space="0" w:color="auto"/>
        <w:bottom w:val="none" w:sz="0" w:space="0" w:color="auto"/>
        <w:right w:val="none" w:sz="0" w:space="0" w:color="auto"/>
      </w:divBdr>
    </w:div>
    <w:div w:id="99615591">
      <w:bodyDiv w:val="1"/>
      <w:marLeft w:val="0"/>
      <w:marRight w:val="0"/>
      <w:marTop w:val="0"/>
      <w:marBottom w:val="0"/>
      <w:divBdr>
        <w:top w:val="none" w:sz="0" w:space="0" w:color="auto"/>
        <w:left w:val="none" w:sz="0" w:space="0" w:color="auto"/>
        <w:bottom w:val="none" w:sz="0" w:space="0" w:color="auto"/>
        <w:right w:val="none" w:sz="0" w:space="0" w:color="auto"/>
      </w:divBdr>
    </w:div>
    <w:div w:id="99690879">
      <w:bodyDiv w:val="1"/>
      <w:marLeft w:val="0"/>
      <w:marRight w:val="0"/>
      <w:marTop w:val="0"/>
      <w:marBottom w:val="0"/>
      <w:divBdr>
        <w:top w:val="none" w:sz="0" w:space="0" w:color="auto"/>
        <w:left w:val="none" w:sz="0" w:space="0" w:color="auto"/>
        <w:bottom w:val="none" w:sz="0" w:space="0" w:color="auto"/>
        <w:right w:val="none" w:sz="0" w:space="0" w:color="auto"/>
      </w:divBdr>
    </w:div>
    <w:div w:id="117336938">
      <w:bodyDiv w:val="1"/>
      <w:marLeft w:val="0"/>
      <w:marRight w:val="0"/>
      <w:marTop w:val="0"/>
      <w:marBottom w:val="0"/>
      <w:divBdr>
        <w:top w:val="none" w:sz="0" w:space="0" w:color="auto"/>
        <w:left w:val="none" w:sz="0" w:space="0" w:color="auto"/>
        <w:bottom w:val="none" w:sz="0" w:space="0" w:color="auto"/>
        <w:right w:val="none" w:sz="0" w:space="0" w:color="auto"/>
      </w:divBdr>
    </w:div>
    <w:div w:id="127625086">
      <w:bodyDiv w:val="1"/>
      <w:marLeft w:val="0"/>
      <w:marRight w:val="0"/>
      <w:marTop w:val="0"/>
      <w:marBottom w:val="0"/>
      <w:divBdr>
        <w:top w:val="none" w:sz="0" w:space="0" w:color="auto"/>
        <w:left w:val="none" w:sz="0" w:space="0" w:color="auto"/>
        <w:bottom w:val="none" w:sz="0" w:space="0" w:color="auto"/>
        <w:right w:val="none" w:sz="0" w:space="0" w:color="auto"/>
      </w:divBdr>
    </w:div>
    <w:div w:id="183830539">
      <w:bodyDiv w:val="1"/>
      <w:marLeft w:val="0"/>
      <w:marRight w:val="0"/>
      <w:marTop w:val="0"/>
      <w:marBottom w:val="0"/>
      <w:divBdr>
        <w:top w:val="none" w:sz="0" w:space="0" w:color="auto"/>
        <w:left w:val="none" w:sz="0" w:space="0" w:color="auto"/>
        <w:bottom w:val="none" w:sz="0" w:space="0" w:color="auto"/>
        <w:right w:val="none" w:sz="0" w:space="0" w:color="auto"/>
      </w:divBdr>
    </w:div>
    <w:div w:id="222564863">
      <w:bodyDiv w:val="1"/>
      <w:marLeft w:val="0"/>
      <w:marRight w:val="0"/>
      <w:marTop w:val="0"/>
      <w:marBottom w:val="0"/>
      <w:divBdr>
        <w:top w:val="none" w:sz="0" w:space="0" w:color="auto"/>
        <w:left w:val="none" w:sz="0" w:space="0" w:color="auto"/>
        <w:bottom w:val="none" w:sz="0" w:space="0" w:color="auto"/>
        <w:right w:val="none" w:sz="0" w:space="0" w:color="auto"/>
      </w:divBdr>
    </w:div>
    <w:div w:id="252402628">
      <w:bodyDiv w:val="1"/>
      <w:marLeft w:val="0"/>
      <w:marRight w:val="0"/>
      <w:marTop w:val="0"/>
      <w:marBottom w:val="0"/>
      <w:divBdr>
        <w:top w:val="none" w:sz="0" w:space="0" w:color="auto"/>
        <w:left w:val="none" w:sz="0" w:space="0" w:color="auto"/>
        <w:bottom w:val="none" w:sz="0" w:space="0" w:color="auto"/>
        <w:right w:val="none" w:sz="0" w:space="0" w:color="auto"/>
      </w:divBdr>
    </w:div>
    <w:div w:id="358504623">
      <w:bodyDiv w:val="1"/>
      <w:marLeft w:val="0"/>
      <w:marRight w:val="0"/>
      <w:marTop w:val="0"/>
      <w:marBottom w:val="0"/>
      <w:divBdr>
        <w:top w:val="none" w:sz="0" w:space="0" w:color="auto"/>
        <w:left w:val="none" w:sz="0" w:space="0" w:color="auto"/>
        <w:bottom w:val="none" w:sz="0" w:space="0" w:color="auto"/>
        <w:right w:val="none" w:sz="0" w:space="0" w:color="auto"/>
      </w:divBdr>
    </w:div>
    <w:div w:id="396783472">
      <w:bodyDiv w:val="1"/>
      <w:marLeft w:val="0"/>
      <w:marRight w:val="0"/>
      <w:marTop w:val="0"/>
      <w:marBottom w:val="0"/>
      <w:divBdr>
        <w:top w:val="none" w:sz="0" w:space="0" w:color="auto"/>
        <w:left w:val="none" w:sz="0" w:space="0" w:color="auto"/>
        <w:bottom w:val="none" w:sz="0" w:space="0" w:color="auto"/>
        <w:right w:val="none" w:sz="0" w:space="0" w:color="auto"/>
      </w:divBdr>
    </w:div>
    <w:div w:id="399866933">
      <w:bodyDiv w:val="1"/>
      <w:marLeft w:val="0"/>
      <w:marRight w:val="0"/>
      <w:marTop w:val="0"/>
      <w:marBottom w:val="0"/>
      <w:divBdr>
        <w:top w:val="none" w:sz="0" w:space="0" w:color="auto"/>
        <w:left w:val="none" w:sz="0" w:space="0" w:color="auto"/>
        <w:bottom w:val="none" w:sz="0" w:space="0" w:color="auto"/>
        <w:right w:val="none" w:sz="0" w:space="0" w:color="auto"/>
      </w:divBdr>
    </w:div>
    <w:div w:id="441463117">
      <w:bodyDiv w:val="1"/>
      <w:marLeft w:val="0"/>
      <w:marRight w:val="0"/>
      <w:marTop w:val="0"/>
      <w:marBottom w:val="0"/>
      <w:divBdr>
        <w:top w:val="none" w:sz="0" w:space="0" w:color="auto"/>
        <w:left w:val="none" w:sz="0" w:space="0" w:color="auto"/>
        <w:bottom w:val="none" w:sz="0" w:space="0" w:color="auto"/>
        <w:right w:val="none" w:sz="0" w:space="0" w:color="auto"/>
      </w:divBdr>
    </w:div>
    <w:div w:id="450630970">
      <w:bodyDiv w:val="1"/>
      <w:marLeft w:val="0"/>
      <w:marRight w:val="0"/>
      <w:marTop w:val="0"/>
      <w:marBottom w:val="0"/>
      <w:divBdr>
        <w:top w:val="none" w:sz="0" w:space="0" w:color="auto"/>
        <w:left w:val="none" w:sz="0" w:space="0" w:color="auto"/>
        <w:bottom w:val="none" w:sz="0" w:space="0" w:color="auto"/>
        <w:right w:val="none" w:sz="0" w:space="0" w:color="auto"/>
      </w:divBdr>
    </w:div>
    <w:div w:id="455148171">
      <w:bodyDiv w:val="1"/>
      <w:marLeft w:val="0"/>
      <w:marRight w:val="0"/>
      <w:marTop w:val="0"/>
      <w:marBottom w:val="0"/>
      <w:divBdr>
        <w:top w:val="none" w:sz="0" w:space="0" w:color="auto"/>
        <w:left w:val="none" w:sz="0" w:space="0" w:color="auto"/>
        <w:bottom w:val="none" w:sz="0" w:space="0" w:color="auto"/>
        <w:right w:val="none" w:sz="0" w:space="0" w:color="auto"/>
      </w:divBdr>
    </w:div>
    <w:div w:id="467746935">
      <w:bodyDiv w:val="1"/>
      <w:marLeft w:val="0"/>
      <w:marRight w:val="0"/>
      <w:marTop w:val="0"/>
      <w:marBottom w:val="0"/>
      <w:divBdr>
        <w:top w:val="none" w:sz="0" w:space="0" w:color="auto"/>
        <w:left w:val="none" w:sz="0" w:space="0" w:color="auto"/>
        <w:bottom w:val="none" w:sz="0" w:space="0" w:color="auto"/>
        <w:right w:val="none" w:sz="0" w:space="0" w:color="auto"/>
      </w:divBdr>
      <w:divsChild>
        <w:div w:id="659039395">
          <w:blockQuote w:val="1"/>
          <w:marLeft w:val="0"/>
          <w:marRight w:val="0"/>
          <w:marTop w:val="0"/>
          <w:marBottom w:val="0"/>
          <w:divBdr>
            <w:top w:val="none" w:sz="0" w:space="0" w:color="auto"/>
            <w:left w:val="single" w:sz="12" w:space="5" w:color="1010FF"/>
            <w:bottom w:val="none" w:sz="0" w:space="0" w:color="auto"/>
            <w:right w:val="single" w:sz="12" w:space="5" w:color="006A9D"/>
          </w:divBdr>
          <w:divsChild>
            <w:div w:id="1795363986">
              <w:marLeft w:val="0"/>
              <w:marRight w:val="0"/>
              <w:marTop w:val="0"/>
              <w:marBottom w:val="0"/>
              <w:divBdr>
                <w:top w:val="none" w:sz="0" w:space="0" w:color="auto"/>
                <w:left w:val="none" w:sz="0" w:space="0" w:color="auto"/>
                <w:bottom w:val="none" w:sz="0" w:space="0" w:color="auto"/>
                <w:right w:val="none" w:sz="0" w:space="0" w:color="auto"/>
              </w:divBdr>
              <w:divsChild>
                <w:div w:id="541527747">
                  <w:marLeft w:val="0"/>
                  <w:marRight w:val="0"/>
                  <w:marTop w:val="0"/>
                  <w:marBottom w:val="0"/>
                  <w:divBdr>
                    <w:top w:val="none" w:sz="0" w:space="0" w:color="auto"/>
                    <w:left w:val="none" w:sz="0" w:space="0" w:color="auto"/>
                    <w:bottom w:val="none" w:sz="0" w:space="0" w:color="auto"/>
                    <w:right w:val="none" w:sz="0" w:space="0" w:color="auto"/>
                  </w:divBdr>
                  <w:divsChild>
                    <w:div w:id="14493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978308">
      <w:bodyDiv w:val="1"/>
      <w:marLeft w:val="0"/>
      <w:marRight w:val="0"/>
      <w:marTop w:val="0"/>
      <w:marBottom w:val="0"/>
      <w:divBdr>
        <w:top w:val="none" w:sz="0" w:space="0" w:color="auto"/>
        <w:left w:val="none" w:sz="0" w:space="0" w:color="auto"/>
        <w:bottom w:val="none" w:sz="0" w:space="0" w:color="auto"/>
        <w:right w:val="none" w:sz="0" w:space="0" w:color="auto"/>
      </w:divBdr>
    </w:div>
    <w:div w:id="510023454">
      <w:bodyDiv w:val="1"/>
      <w:marLeft w:val="0"/>
      <w:marRight w:val="0"/>
      <w:marTop w:val="0"/>
      <w:marBottom w:val="0"/>
      <w:divBdr>
        <w:top w:val="none" w:sz="0" w:space="0" w:color="auto"/>
        <w:left w:val="none" w:sz="0" w:space="0" w:color="auto"/>
        <w:bottom w:val="none" w:sz="0" w:space="0" w:color="auto"/>
        <w:right w:val="none" w:sz="0" w:space="0" w:color="auto"/>
      </w:divBdr>
    </w:div>
    <w:div w:id="510754102">
      <w:bodyDiv w:val="1"/>
      <w:marLeft w:val="0"/>
      <w:marRight w:val="0"/>
      <w:marTop w:val="0"/>
      <w:marBottom w:val="0"/>
      <w:divBdr>
        <w:top w:val="none" w:sz="0" w:space="0" w:color="auto"/>
        <w:left w:val="none" w:sz="0" w:space="0" w:color="auto"/>
        <w:bottom w:val="none" w:sz="0" w:space="0" w:color="auto"/>
        <w:right w:val="none" w:sz="0" w:space="0" w:color="auto"/>
      </w:divBdr>
    </w:div>
    <w:div w:id="520170654">
      <w:bodyDiv w:val="1"/>
      <w:marLeft w:val="0"/>
      <w:marRight w:val="0"/>
      <w:marTop w:val="0"/>
      <w:marBottom w:val="0"/>
      <w:divBdr>
        <w:top w:val="none" w:sz="0" w:space="0" w:color="auto"/>
        <w:left w:val="none" w:sz="0" w:space="0" w:color="auto"/>
        <w:bottom w:val="none" w:sz="0" w:space="0" w:color="auto"/>
        <w:right w:val="none" w:sz="0" w:space="0" w:color="auto"/>
      </w:divBdr>
    </w:div>
    <w:div w:id="523398302">
      <w:bodyDiv w:val="1"/>
      <w:marLeft w:val="0"/>
      <w:marRight w:val="0"/>
      <w:marTop w:val="0"/>
      <w:marBottom w:val="0"/>
      <w:divBdr>
        <w:top w:val="none" w:sz="0" w:space="0" w:color="auto"/>
        <w:left w:val="none" w:sz="0" w:space="0" w:color="auto"/>
        <w:bottom w:val="none" w:sz="0" w:space="0" w:color="auto"/>
        <w:right w:val="none" w:sz="0" w:space="0" w:color="auto"/>
      </w:divBdr>
    </w:div>
    <w:div w:id="528488158">
      <w:bodyDiv w:val="1"/>
      <w:marLeft w:val="0"/>
      <w:marRight w:val="0"/>
      <w:marTop w:val="0"/>
      <w:marBottom w:val="0"/>
      <w:divBdr>
        <w:top w:val="none" w:sz="0" w:space="0" w:color="auto"/>
        <w:left w:val="none" w:sz="0" w:space="0" w:color="auto"/>
        <w:bottom w:val="none" w:sz="0" w:space="0" w:color="auto"/>
        <w:right w:val="none" w:sz="0" w:space="0" w:color="auto"/>
      </w:divBdr>
    </w:div>
    <w:div w:id="534197052">
      <w:bodyDiv w:val="1"/>
      <w:marLeft w:val="0"/>
      <w:marRight w:val="0"/>
      <w:marTop w:val="0"/>
      <w:marBottom w:val="0"/>
      <w:divBdr>
        <w:top w:val="none" w:sz="0" w:space="0" w:color="auto"/>
        <w:left w:val="none" w:sz="0" w:space="0" w:color="auto"/>
        <w:bottom w:val="none" w:sz="0" w:space="0" w:color="auto"/>
        <w:right w:val="none" w:sz="0" w:space="0" w:color="auto"/>
      </w:divBdr>
    </w:div>
    <w:div w:id="538444472">
      <w:bodyDiv w:val="1"/>
      <w:marLeft w:val="0"/>
      <w:marRight w:val="0"/>
      <w:marTop w:val="0"/>
      <w:marBottom w:val="0"/>
      <w:divBdr>
        <w:top w:val="none" w:sz="0" w:space="0" w:color="auto"/>
        <w:left w:val="none" w:sz="0" w:space="0" w:color="auto"/>
        <w:bottom w:val="none" w:sz="0" w:space="0" w:color="auto"/>
        <w:right w:val="none" w:sz="0" w:space="0" w:color="auto"/>
      </w:divBdr>
    </w:div>
    <w:div w:id="539392057">
      <w:bodyDiv w:val="1"/>
      <w:marLeft w:val="0"/>
      <w:marRight w:val="0"/>
      <w:marTop w:val="0"/>
      <w:marBottom w:val="0"/>
      <w:divBdr>
        <w:top w:val="none" w:sz="0" w:space="0" w:color="auto"/>
        <w:left w:val="none" w:sz="0" w:space="0" w:color="auto"/>
        <w:bottom w:val="none" w:sz="0" w:space="0" w:color="auto"/>
        <w:right w:val="none" w:sz="0" w:space="0" w:color="auto"/>
      </w:divBdr>
    </w:div>
    <w:div w:id="577903168">
      <w:bodyDiv w:val="1"/>
      <w:marLeft w:val="0"/>
      <w:marRight w:val="0"/>
      <w:marTop w:val="0"/>
      <w:marBottom w:val="0"/>
      <w:divBdr>
        <w:top w:val="none" w:sz="0" w:space="0" w:color="auto"/>
        <w:left w:val="none" w:sz="0" w:space="0" w:color="auto"/>
        <w:bottom w:val="none" w:sz="0" w:space="0" w:color="auto"/>
        <w:right w:val="none" w:sz="0" w:space="0" w:color="auto"/>
      </w:divBdr>
      <w:divsChild>
        <w:div w:id="1232278945">
          <w:marLeft w:val="446"/>
          <w:marRight w:val="0"/>
          <w:marTop w:val="86"/>
          <w:marBottom w:val="0"/>
          <w:divBdr>
            <w:top w:val="none" w:sz="0" w:space="0" w:color="auto"/>
            <w:left w:val="none" w:sz="0" w:space="0" w:color="auto"/>
            <w:bottom w:val="none" w:sz="0" w:space="0" w:color="auto"/>
            <w:right w:val="none" w:sz="0" w:space="0" w:color="auto"/>
          </w:divBdr>
        </w:div>
        <w:div w:id="1826895858">
          <w:marLeft w:val="446"/>
          <w:marRight w:val="0"/>
          <w:marTop w:val="86"/>
          <w:marBottom w:val="0"/>
          <w:divBdr>
            <w:top w:val="none" w:sz="0" w:space="0" w:color="auto"/>
            <w:left w:val="none" w:sz="0" w:space="0" w:color="auto"/>
            <w:bottom w:val="none" w:sz="0" w:space="0" w:color="auto"/>
            <w:right w:val="none" w:sz="0" w:space="0" w:color="auto"/>
          </w:divBdr>
        </w:div>
        <w:div w:id="1329947017">
          <w:marLeft w:val="446"/>
          <w:marRight w:val="0"/>
          <w:marTop w:val="86"/>
          <w:marBottom w:val="0"/>
          <w:divBdr>
            <w:top w:val="none" w:sz="0" w:space="0" w:color="auto"/>
            <w:left w:val="none" w:sz="0" w:space="0" w:color="auto"/>
            <w:bottom w:val="none" w:sz="0" w:space="0" w:color="auto"/>
            <w:right w:val="none" w:sz="0" w:space="0" w:color="auto"/>
          </w:divBdr>
        </w:div>
        <w:div w:id="1687950099">
          <w:marLeft w:val="446"/>
          <w:marRight w:val="0"/>
          <w:marTop w:val="86"/>
          <w:marBottom w:val="0"/>
          <w:divBdr>
            <w:top w:val="none" w:sz="0" w:space="0" w:color="auto"/>
            <w:left w:val="none" w:sz="0" w:space="0" w:color="auto"/>
            <w:bottom w:val="none" w:sz="0" w:space="0" w:color="auto"/>
            <w:right w:val="none" w:sz="0" w:space="0" w:color="auto"/>
          </w:divBdr>
        </w:div>
        <w:div w:id="764226278">
          <w:marLeft w:val="446"/>
          <w:marRight w:val="0"/>
          <w:marTop w:val="86"/>
          <w:marBottom w:val="0"/>
          <w:divBdr>
            <w:top w:val="none" w:sz="0" w:space="0" w:color="auto"/>
            <w:left w:val="none" w:sz="0" w:space="0" w:color="auto"/>
            <w:bottom w:val="none" w:sz="0" w:space="0" w:color="auto"/>
            <w:right w:val="none" w:sz="0" w:space="0" w:color="auto"/>
          </w:divBdr>
        </w:div>
        <w:div w:id="1977103987">
          <w:marLeft w:val="446"/>
          <w:marRight w:val="0"/>
          <w:marTop w:val="86"/>
          <w:marBottom w:val="0"/>
          <w:divBdr>
            <w:top w:val="none" w:sz="0" w:space="0" w:color="auto"/>
            <w:left w:val="none" w:sz="0" w:space="0" w:color="auto"/>
            <w:bottom w:val="none" w:sz="0" w:space="0" w:color="auto"/>
            <w:right w:val="none" w:sz="0" w:space="0" w:color="auto"/>
          </w:divBdr>
        </w:div>
        <w:div w:id="778184100">
          <w:marLeft w:val="446"/>
          <w:marRight w:val="0"/>
          <w:marTop w:val="86"/>
          <w:marBottom w:val="0"/>
          <w:divBdr>
            <w:top w:val="none" w:sz="0" w:space="0" w:color="auto"/>
            <w:left w:val="none" w:sz="0" w:space="0" w:color="auto"/>
            <w:bottom w:val="none" w:sz="0" w:space="0" w:color="auto"/>
            <w:right w:val="none" w:sz="0" w:space="0" w:color="auto"/>
          </w:divBdr>
        </w:div>
      </w:divsChild>
    </w:div>
    <w:div w:id="645663580">
      <w:bodyDiv w:val="1"/>
      <w:marLeft w:val="0"/>
      <w:marRight w:val="0"/>
      <w:marTop w:val="0"/>
      <w:marBottom w:val="0"/>
      <w:divBdr>
        <w:top w:val="none" w:sz="0" w:space="0" w:color="auto"/>
        <w:left w:val="none" w:sz="0" w:space="0" w:color="auto"/>
        <w:bottom w:val="none" w:sz="0" w:space="0" w:color="auto"/>
        <w:right w:val="none" w:sz="0" w:space="0" w:color="auto"/>
      </w:divBdr>
    </w:div>
    <w:div w:id="660423907">
      <w:bodyDiv w:val="1"/>
      <w:marLeft w:val="0"/>
      <w:marRight w:val="0"/>
      <w:marTop w:val="0"/>
      <w:marBottom w:val="0"/>
      <w:divBdr>
        <w:top w:val="none" w:sz="0" w:space="0" w:color="auto"/>
        <w:left w:val="none" w:sz="0" w:space="0" w:color="auto"/>
        <w:bottom w:val="none" w:sz="0" w:space="0" w:color="auto"/>
        <w:right w:val="none" w:sz="0" w:space="0" w:color="auto"/>
      </w:divBdr>
    </w:div>
    <w:div w:id="705134066">
      <w:bodyDiv w:val="1"/>
      <w:marLeft w:val="0"/>
      <w:marRight w:val="0"/>
      <w:marTop w:val="0"/>
      <w:marBottom w:val="0"/>
      <w:divBdr>
        <w:top w:val="none" w:sz="0" w:space="0" w:color="auto"/>
        <w:left w:val="none" w:sz="0" w:space="0" w:color="auto"/>
        <w:bottom w:val="none" w:sz="0" w:space="0" w:color="auto"/>
        <w:right w:val="none" w:sz="0" w:space="0" w:color="auto"/>
      </w:divBdr>
    </w:div>
    <w:div w:id="764959902">
      <w:bodyDiv w:val="1"/>
      <w:marLeft w:val="0"/>
      <w:marRight w:val="0"/>
      <w:marTop w:val="0"/>
      <w:marBottom w:val="0"/>
      <w:divBdr>
        <w:top w:val="none" w:sz="0" w:space="0" w:color="auto"/>
        <w:left w:val="none" w:sz="0" w:space="0" w:color="auto"/>
        <w:bottom w:val="none" w:sz="0" w:space="0" w:color="auto"/>
        <w:right w:val="none" w:sz="0" w:space="0" w:color="auto"/>
      </w:divBdr>
    </w:div>
    <w:div w:id="772437484">
      <w:bodyDiv w:val="1"/>
      <w:marLeft w:val="0"/>
      <w:marRight w:val="0"/>
      <w:marTop w:val="0"/>
      <w:marBottom w:val="0"/>
      <w:divBdr>
        <w:top w:val="none" w:sz="0" w:space="0" w:color="auto"/>
        <w:left w:val="none" w:sz="0" w:space="0" w:color="auto"/>
        <w:bottom w:val="none" w:sz="0" w:space="0" w:color="auto"/>
        <w:right w:val="none" w:sz="0" w:space="0" w:color="auto"/>
      </w:divBdr>
    </w:div>
    <w:div w:id="785387481">
      <w:bodyDiv w:val="1"/>
      <w:marLeft w:val="0"/>
      <w:marRight w:val="0"/>
      <w:marTop w:val="0"/>
      <w:marBottom w:val="0"/>
      <w:divBdr>
        <w:top w:val="none" w:sz="0" w:space="0" w:color="auto"/>
        <w:left w:val="none" w:sz="0" w:space="0" w:color="auto"/>
        <w:bottom w:val="none" w:sz="0" w:space="0" w:color="auto"/>
        <w:right w:val="none" w:sz="0" w:space="0" w:color="auto"/>
      </w:divBdr>
    </w:div>
    <w:div w:id="823744065">
      <w:bodyDiv w:val="1"/>
      <w:marLeft w:val="0"/>
      <w:marRight w:val="0"/>
      <w:marTop w:val="0"/>
      <w:marBottom w:val="0"/>
      <w:divBdr>
        <w:top w:val="none" w:sz="0" w:space="0" w:color="auto"/>
        <w:left w:val="none" w:sz="0" w:space="0" w:color="auto"/>
        <w:bottom w:val="none" w:sz="0" w:space="0" w:color="auto"/>
        <w:right w:val="none" w:sz="0" w:space="0" w:color="auto"/>
      </w:divBdr>
    </w:div>
    <w:div w:id="861209609">
      <w:bodyDiv w:val="1"/>
      <w:marLeft w:val="0"/>
      <w:marRight w:val="0"/>
      <w:marTop w:val="0"/>
      <w:marBottom w:val="0"/>
      <w:divBdr>
        <w:top w:val="none" w:sz="0" w:space="0" w:color="auto"/>
        <w:left w:val="none" w:sz="0" w:space="0" w:color="auto"/>
        <w:bottom w:val="none" w:sz="0" w:space="0" w:color="auto"/>
        <w:right w:val="none" w:sz="0" w:space="0" w:color="auto"/>
      </w:divBdr>
    </w:div>
    <w:div w:id="914702754">
      <w:bodyDiv w:val="1"/>
      <w:marLeft w:val="0"/>
      <w:marRight w:val="0"/>
      <w:marTop w:val="0"/>
      <w:marBottom w:val="0"/>
      <w:divBdr>
        <w:top w:val="none" w:sz="0" w:space="0" w:color="auto"/>
        <w:left w:val="none" w:sz="0" w:space="0" w:color="auto"/>
        <w:bottom w:val="none" w:sz="0" w:space="0" w:color="auto"/>
        <w:right w:val="none" w:sz="0" w:space="0" w:color="auto"/>
      </w:divBdr>
    </w:div>
    <w:div w:id="937441970">
      <w:bodyDiv w:val="1"/>
      <w:marLeft w:val="0"/>
      <w:marRight w:val="0"/>
      <w:marTop w:val="0"/>
      <w:marBottom w:val="0"/>
      <w:divBdr>
        <w:top w:val="none" w:sz="0" w:space="0" w:color="auto"/>
        <w:left w:val="none" w:sz="0" w:space="0" w:color="auto"/>
        <w:bottom w:val="none" w:sz="0" w:space="0" w:color="auto"/>
        <w:right w:val="none" w:sz="0" w:space="0" w:color="auto"/>
      </w:divBdr>
      <w:divsChild>
        <w:div w:id="1277954350">
          <w:marLeft w:val="0"/>
          <w:marRight w:val="0"/>
          <w:marTop w:val="0"/>
          <w:marBottom w:val="0"/>
          <w:divBdr>
            <w:top w:val="none" w:sz="0" w:space="0" w:color="auto"/>
            <w:left w:val="none" w:sz="0" w:space="0" w:color="auto"/>
            <w:bottom w:val="none" w:sz="0" w:space="0" w:color="auto"/>
            <w:right w:val="none" w:sz="0" w:space="0" w:color="auto"/>
          </w:divBdr>
          <w:divsChild>
            <w:div w:id="662855869">
              <w:marLeft w:val="0"/>
              <w:marRight w:val="0"/>
              <w:marTop w:val="0"/>
              <w:marBottom w:val="0"/>
              <w:divBdr>
                <w:top w:val="none" w:sz="0" w:space="0" w:color="auto"/>
                <w:left w:val="none" w:sz="0" w:space="0" w:color="auto"/>
                <w:bottom w:val="none" w:sz="0" w:space="0" w:color="auto"/>
                <w:right w:val="none" w:sz="0" w:space="0" w:color="auto"/>
              </w:divBdr>
              <w:divsChild>
                <w:div w:id="113871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67936">
      <w:bodyDiv w:val="1"/>
      <w:marLeft w:val="0"/>
      <w:marRight w:val="0"/>
      <w:marTop w:val="0"/>
      <w:marBottom w:val="0"/>
      <w:divBdr>
        <w:top w:val="none" w:sz="0" w:space="0" w:color="auto"/>
        <w:left w:val="none" w:sz="0" w:space="0" w:color="auto"/>
        <w:bottom w:val="none" w:sz="0" w:space="0" w:color="auto"/>
        <w:right w:val="none" w:sz="0" w:space="0" w:color="auto"/>
      </w:divBdr>
    </w:div>
    <w:div w:id="947853147">
      <w:bodyDiv w:val="1"/>
      <w:marLeft w:val="0"/>
      <w:marRight w:val="0"/>
      <w:marTop w:val="0"/>
      <w:marBottom w:val="0"/>
      <w:divBdr>
        <w:top w:val="none" w:sz="0" w:space="0" w:color="auto"/>
        <w:left w:val="none" w:sz="0" w:space="0" w:color="auto"/>
        <w:bottom w:val="none" w:sz="0" w:space="0" w:color="auto"/>
        <w:right w:val="none" w:sz="0" w:space="0" w:color="auto"/>
      </w:divBdr>
    </w:div>
    <w:div w:id="983775084">
      <w:bodyDiv w:val="1"/>
      <w:marLeft w:val="0"/>
      <w:marRight w:val="0"/>
      <w:marTop w:val="0"/>
      <w:marBottom w:val="0"/>
      <w:divBdr>
        <w:top w:val="none" w:sz="0" w:space="0" w:color="auto"/>
        <w:left w:val="none" w:sz="0" w:space="0" w:color="auto"/>
        <w:bottom w:val="none" w:sz="0" w:space="0" w:color="auto"/>
        <w:right w:val="none" w:sz="0" w:space="0" w:color="auto"/>
      </w:divBdr>
    </w:div>
    <w:div w:id="1045761765">
      <w:bodyDiv w:val="1"/>
      <w:marLeft w:val="0"/>
      <w:marRight w:val="0"/>
      <w:marTop w:val="0"/>
      <w:marBottom w:val="0"/>
      <w:divBdr>
        <w:top w:val="none" w:sz="0" w:space="0" w:color="auto"/>
        <w:left w:val="none" w:sz="0" w:space="0" w:color="auto"/>
        <w:bottom w:val="none" w:sz="0" w:space="0" w:color="auto"/>
        <w:right w:val="none" w:sz="0" w:space="0" w:color="auto"/>
      </w:divBdr>
    </w:div>
    <w:div w:id="1098911597">
      <w:bodyDiv w:val="1"/>
      <w:marLeft w:val="0"/>
      <w:marRight w:val="0"/>
      <w:marTop w:val="0"/>
      <w:marBottom w:val="0"/>
      <w:divBdr>
        <w:top w:val="none" w:sz="0" w:space="0" w:color="auto"/>
        <w:left w:val="none" w:sz="0" w:space="0" w:color="auto"/>
        <w:bottom w:val="none" w:sz="0" w:space="0" w:color="auto"/>
        <w:right w:val="none" w:sz="0" w:space="0" w:color="auto"/>
      </w:divBdr>
    </w:div>
    <w:div w:id="1126433044">
      <w:bodyDiv w:val="1"/>
      <w:marLeft w:val="0"/>
      <w:marRight w:val="0"/>
      <w:marTop w:val="0"/>
      <w:marBottom w:val="0"/>
      <w:divBdr>
        <w:top w:val="none" w:sz="0" w:space="0" w:color="auto"/>
        <w:left w:val="none" w:sz="0" w:space="0" w:color="auto"/>
        <w:bottom w:val="none" w:sz="0" w:space="0" w:color="auto"/>
        <w:right w:val="none" w:sz="0" w:space="0" w:color="auto"/>
      </w:divBdr>
    </w:div>
    <w:div w:id="1133250778">
      <w:bodyDiv w:val="1"/>
      <w:marLeft w:val="0"/>
      <w:marRight w:val="0"/>
      <w:marTop w:val="0"/>
      <w:marBottom w:val="0"/>
      <w:divBdr>
        <w:top w:val="none" w:sz="0" w:space="0" w:color="auto"/>
        <w:left w:val="none" w:sz="0" w:space="0" w:color="auto"/>
        <w:bottom w:val="none" w:sz="0" w:space="0" w:color="auto"/>
        <w:right w:val="none" w:sz="0" w:space="0" w:color="auto"/>
      </w:divBdr>
    </w:div>
    <w:div w:id="1135752228">
      <w:bodyDiv w:val="1"/>
      <w:marLeft w:val="0"/>
      <w:marRight w:val="0"/>
      <w:marTop w:val="0"/>
      <w:marBottom w:val="0"/>
      <w:divBdr>
        <w:top w:val="none" w:sz="0" w:space="0" w:color="auto"/>
        <w:left w:val="none" w:sz="0" w:space="0" w:color="auto"/>
        <w:bottom w:val="none" w:sz="0" w:space="0" w:color="auto"/>
        <w:right w:val="none" w:sz="0" w:space="0" w:color="auto"/>
      </w:divBdr>
    </w:div>
    <w:div w:id="1136029961">
      <w:marLeft w:val="0"/>
      <w:marRight w:val="0"/>
      <w:marTop w:val="0"/>
      <w:marBottom w:val="0"/>
      <w:divBdr>
        <w:top w:val="none" w:sz="0" w:space="0" w:color="auto"/>
        <w:left w:val="none" w:sz="0" w:space="0" w:color="auto"/>
        <w:bottom w:val="none" w:sz="0" w:space="0" w:color="auto"/>
        <w:right w:val="none" w:sz="0" w:space="0" w:color="auto"/>
      </w:divBdr>
    </w:div>
    <w:div w:id="1136029965">
      <w:marLeft w:val="0"/>
      <w:marRight w:val="0"/>
      <w:marTop w:val="0"/>
      <w:marBottom w:val="0"/>
      <w:divBdr>
        <w:top w:val="none" w:sz="0" w:space="0" w:color="auto"/>
        <w:left w:val="none" w:sz="0" w:space="0" w:color="auto"/>
        <w:bottom w:val="none" w:sz="0" w:space="0" w:color="auto"/>
        <w:right w:val="none" w:sz="0" w:space="0" w:color="auto"/>
      </w:divBdr>
      <w:divsChild>
        <w:div w:id="1136029964">
          <w:marLeft w:val="0"/>
          <w:marRight w:val="0"/>
          <w:marTop w:val="0"/>
          <w:marBottom w:val="0"/>
          <w:divBdr>
            <w:top w:val="none" w:sz="0" w:space="0" w:color="auto"/>
            <w:left w:val="none" w:sz="0" w:space="0" w:color="auto"/>
            <w:bottom w:val="none" w:sz="0" w:space="0" w:color="auto"/>
            <w:right w:val="none" w:sz="0" w:space="0" w:color="auto"/>
          </w:divBdr>
          <w:divsChild>
            <w:div w:id="113602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29966">
      <w:marLeft w:val="0"/>
      <w:marRight w:val="0"/>
      <w:marTop w:val="0"/>
      <w:marBottom w:val="0"/>
      <w:divBdr>
        <w:top w:val="none" w:sz="0" w:space="0" w:color="auto"/>
        <w:left w:val="none" w:sz="0" w:space="0" w:color="auto"/>
        <w:bottom w:val="none" w:sz="0" w:space="0" w:color="auto"/>
        <w:right w:val="none" w:sz="0" w:space="0" w:color="auto"/>
      </w:divBdr>
      <w:divsChild>
        <w:div w:id="1136029962">
          <w:marLeft w:val="0"/>
          <w:marRight w:val="0"/>
          <w:marTop w:val="0"/>
          <w:marBottom w:val="0"/>
          <w:divBdr>
            <w:top w:val="none" w:sz="0" w:space="0" w:color="auto"/>
            <w:left w:val="none" w:sz="0" w:space="0" w:color="auto"/>
            <w:bottom w:val="none" w:sz="0" w:space="0" w:color="auto"/>
            <w:right w:val="none" w:sz="0" w:space="0" w:color="auto"/>
          </w:divBdr>
          <w:divsChild>
            <w:div w:id="113602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29967">
      <w:marLeft w:val="0"/>
      <w:marRight w:val="0"/>
      <w:marTop w:val="0"/>
      <w:marBottom w:val="0"/>
      <w:divBdr>
        <w:top w:val="none" w:sz="0" w:space="0" w:color="auto"/>
        <w:left w:val="none" w:sz="0" w:space="0" w:color="auto"/>
        <w:bottom w:val="none" w:sz="0" w:space="0" w:color="auto"/>
        <w:right w:val="none" w:sz="0" w:space="0" w:color="auto"/>
      </w:divBdr>
    </w:div>
    <w:div w:id="1136029969">
      <w:marLeft w:val="0"/>
      <w:marRight w:val="0"/>
      <w:marTop w:val="0"/>
      <w:marBottom w:val="0"/>
      <w:divBdr>
        <w:top w:val="none" w:sz="0" w:space="0" w:color="auto"/>
        <w:left w:val="none" w:sz="0" w:space="0" w:color="auto"/>
        <w:bottom w:val="none" w:sz="0" w:space="0" w:color="auto"/>
        <w:right w:val="none" w:sz="0" w:space="0" w:color="auto"/>
      </w:divBdr>
      <w:divsChild>
        <w:div w:id="1136029958">
          <w:marLeft w:val="0"/>
          <w:marRight w:val="0"/>
          <w:marTop w:val="0"/>
          <w:marBottom w:val="0"/>
          <w:divBdr>
            <w:top w:val="none" w:sz="0" w:space="0" w:color="auto"/>
            <w:left w:val="none" w:sz="0" w:space="0" w:color="auto"/>
            <w:bottom w:val="none" w:sz="0" w:space="0" w:color="auto"/>
            <w:right w:val="none" w:sz="0" w:space="0" w:color="auto"/>
          </w:divBdr>
        </w:div>
        <w:div w:id="1136029959">
          <w:marLeft w:val="0"/>
          <w:marRight w:val="0"/>
          <w:marTop w:val="0"/>
          <w:marBottom w:val="0"/>
          <w:divBdr>
            <w:top w:val="none" w:sz="0" w:space="0" w:color="auto"/>
            <w:left w:val="none" w:sz="0" w:space="0" w:color="auto"/>
            <w:bottom w:val="none" w:sz="0" w:space="0" w:color="auto"/>
            <w:right w:val="none" w:sz="0" w:space="0" w:color="auto"/>
          </w:divBdr>
        </w:div>
        <w:div w:id="1136029960">
          <w:marLeft w:val="0"/>
          <w:marRight w:val="0"/>
          <w:marTop w:val="0"/>
          <w:marBottom w:val="0"/>
          <w:divBdr>
            <w:top w:val="none" w:sz="0" w:space="0" w:color="auto"/>
            <w:left w:val="none" w:sz="0" w:space="0" w:color="auto"/>
            <w:bottom w:val="none" w:sz="0" w:space="0" w:color="auto"/>
            <w:right w:val="none" w:sz="0" w:space="0" w:color="auto"/>
          </w:divBdr>
        </w:div>
      </w:divsChild>
    </w:div>
    <w:div w:id="1136029970">
      <w:marLeft w:val="0"/>
      <w:marRight w:val="0"/>
      <w:marTop w:val="0"/>
      <w:marBottom w:val="0"/>
      <w:divBdr>
        <w:top w:val="none" w:sz="0" w:space="0" w:color="auto"/>
        <w:left w:val="none" w:sz="0" w:space="0" w:color="auto"/>
        <w:bottom w:val="none" w:sz="0" w:space="0" w:color="auto"/>
        <w:right w:val="none" w:sz="0" w:space="0" w:color="auto"/>
      </w:divBdr>
    </w:div>
    <w:div w:id="1136029972">
      <w:marLeft w:val="0"/>
      <w:marRight w:val="0"/>
      <w:marTop w:val="0"/>
      <w:marBottom w:val="0"/>
      <w:divBdr>
        <w:top w:val="none" w:sz="0" w:space="0" w:color="auto"/>
        <w:left w:val="none" w:sz="0" w:space="0" w:color="auto"/>
        <w:bottom w:val="none" w:sz="0" w:space="0" w:color="auto"/>
        <w:right w:val="none" w:sz="0" w:space="0" w:color="auto"/>
      </w:divBdr>
      <w:divsChild>
        <w:div w:id="1136029974">
          <w:marLeft w:val="0"/>
          <w:marRight w:val="0"/>
          <w:marTop w:val="0"/>
          <w:marBottom w:val="0"/>
          <w:divBdr>
            <w:top w:val="none" w:sz="0" w:space="0" w:color="auto"/>
            <w:left w:val="none" w:sz="0" w:space="0" w:color="auto"/>
            <w:bottom w:val="none" w:sz="0" w:space="0" w:color="auto"/>
            <w:right w:val="none" w:sz="0" w:space="0" w:color="auto"/>
          </w:divBdr>
          <w:divsChild>
            <w:div w:id="1136029976">
              <w:marLeft w:val="0"/>
              <w:marRight w:val="0"/>
              <w:marTop w:val="0"/>
              <w:marBottom w:val="0"/>
              <w:divBdr>
                <w:top w:val="none" w:sz="0" w:space="0" w:color="auto"/>
                <w:left w:val="none" w:sz="0" w:space="0" w:color="auto"/>
                <w:bottom w:val="none" w:sz="0" w:space="0" w:color="auto"/>
                <w:right w:val="none" w:sz="0" w:space="0" w:color="auto"/>
              </w:divBdr>
              <w:divsChild>
                <w:div w:id="1136029982">
                  <w:marLeft w:val="0"/>
                  <w:marRight w:val="0"/>
                  <w:marTop w:val="0"/>
                  <w:marBottom w:val="0"/>
                  <w:divBdr>
                    <w:top w:val="none" w:sz="0" w:space="0" w:color="auto"/>
                    <w:left w:val="none" w:sz="0" w:space="0" w:color="auto"/>
                    <w:bottom w:val="none" w:sz="0" w:space="0" w:color="auto"/>
                    <w:right w:val="none" w:sz="0" w:space="0" w:color="auto"/>
                  </w:divBdr>
                  <w:divsChild>
                    <w:div w:id="1136029983">
                      <w:marLeft w:val="1"/>
                      <w:marRight w:val="0"/>
                      <w:marTop w:val="0"/>
                      <w:marBottom w:val="0"/>
                      <w:divBdr>
                        <w:top w:val="none" w:sz="0" w:space="0" w:color="auto"/>
                        <w:left w:val="none" w:sz="0" w:space="0" w:color="auto"/>
                        <w:bottom w:val="none" w:sz="0" w:space="0" w:color="auto"/>
                        <w:right w:val="none" w:sz="0" w:space="0" w:color="auto"/>
                      </w:divBdr>
                      <w:divsChild>
                        <w:div w:id="1136029971">
                          <w:marLeft w:val="1"/>
                          <w:marRight w:val="0"/>
                          <w:marTop w:val="0"/>
                          <w:marBottom w:val="0"/>
                          <w:divBdr>
                            <w:top w:val="none" w:sz="0" w:space="0" w:color="auto"/>
                            <w:left w:val="none" w:sz="0" w:space="0" w:color="auto"/>
                            <w:bottom w:val="none" w:sz="0" w:space="0" w:color="auto"/>
                            <w:right w:val="none" w:sz="0" w:space="0" w:color="auto"/>
                          </w:divBdr>
                          <w:divsChild>
                            <w:div w:id="1136029979">
                              <w:marLeft w:val="1"/>
                              <w:marRight w:val="0"/>
                              <w:marTop w:val="0"/>
                              <w:marBottom w:val="360"/>
                              <w:divBdr>
                                <w:top w:val="none" w:sz="0" w:space="0" w:color="auto"/>
                                <w:left w:val="none" w:sz="0" w:space="0" w:color="auto"/>
                                <w:bottom w:val="none" w:sz="0" w:space="0" w:color="auto"/>
                                <w:right w:val="none" w:sz="0" w:space="0" w:color="auto"/>
                              </w:divBdr>
                              <w:divsChild>
                                <w:div w:id="1136029981">
                                  <w:marLeft w:val="0"/>
                                  <w:marRight w:val="0"/>
                                  <w:marTop w:val="0"/>
                                  <w:marBottom w:val="0"/>
                                  <w:divBdr>
                                    <w:top w:val="none" w:sz="0" w:space="0" w:color="auto"/>
                                    <w:left w:val="none" w:sz="0" w:space="0" w:color="auto"/>
                                    <w:bottom w:val="none" w:sz="0" w:space="0" w:color="auto"/>
                                    <w:right w:val="none" w:sz="0" w:space="0" w:color="auto"/>
                                  </w:divBdr>
                                  <w:divsChild>
                                    <w:div w:id="1136029977">
                                      <w:marLeft w:val="0"/>
                                      <w:marRight w:val="0"/>
                                      <w:marTop w:val="0"/>
                                      <w:marBottom w:val="0"/>
                                      <w:divBdr>
                                        <w:top w:val="none" w:sz="0" w:space="0" w:color="auto"/>
                                        <w:left w:val="none" w:sz="0" w:space="0" w:color="auto"/>
                                        <w:bottom w:val="none" w:sz="0" w:space="0" w:color="auto"/>
                                        <w:right w:val="none" w:sz="0" w:space="0" w:color="auto"/>
                                      </w:divBdr>
                                      <w:divsChild>
                                        <w:div w:id="1136029973">
                                          <w:marLeft w:val="1"/>
                                          <w:marRight w:val="0"/>
                                          <w:marTop w:val="0"/>
                                          <w:marBottom w:val="360"/>
                                          <w:divBdr>
                                            <w:top w:val="none" w:sz="0" w:space="0" w:color="auto"/>
                                            <w:left w:val="none" w:sz="0" w:space="0" w:color="auto"/>
                                            <w:bottom w:val="none" w:sz="0" w:space="0" w:color="auto"/>
                                            <w:right w:val="none" w:sz="0" w:space="0" w:color="auto"/>
                                          </w:divBdr>
                                          <w:divsChild>
                                            <w:div w:id="1136029980">
                                              <w:marLeft w:val="1"/>
                                              <w:marRight w:val="0"/>
                                              <w:marTop w:val="0"/>
                                              <w:marBottom w:val="360"/>
                                              <w:divBdr>
                                                <w:top w:val="none" w:sz="0" w:space="0" w:color="auto"/>
                                                <w:left w:val="none" w:sz="0" w:space="0" w:color="auto"/>
                                                <w:bottom w:val="none" w:sz="0" w:space="0" w:color="auto"/>
                                                <w:right w:val="none" w:sz="0" w:space="0" w:color="auto"/>
                                              </w:divBdr>
                                              <w:divsChild>
                                                <w:div w:id="1136029978">
                                                  <w:marLeft w:val="0"/>
                                                  <w:marRight w:val="0"/>
                                                  <w:marTop w:val="0"/>
                                                  <w:marBottom w:val="0"/>
                                                  <w:divBdr>
                                                    <w:top w:val="none" w:sz="0" w:space="0" w:color="auto"/>
                                                    <w:left w:val="none" w:sz="0" w:space="0" w:color="auto"/>
                                                    <w:bottom w:val="none" w:sz="0" w:space="0" w:color="auto"/>
                                                    <w:right w:val="none" w:sz="0" w:space="0" w:color="auto"/>
                                                  </w:divBdr>
                                                  <w:divsChild>
                                                    <w:div w:id="1136029975">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Child>
                                            </w:div>
                                          </w:divsChild>
                                        </w:div>
                                      </w:divsChild>
                                    </w:div>
                                  </w:divsChild>
                                </w:div>
                              </w:divsChild>
                            </w:div>
                          </w:divsChild>
                        </w:div>
                      </w:divsChild>
                    </w:div>
                  </w:divsChild>
                </w:div>
              </w:divsChild>
            </w:div>
          </w:divsChild>
        </w:div>
      </w:divsChild>
    </w:div>
    <w:div w:id="1136029984">
      <w:marLeft w:val="0"/>
      <w:marRight w:val="0"/>
      <w:marTop w:val="0"/>
      <w:marBottom w:val="0"/>
      <w:divBdr>
        <w:top w:val="none" w:sz="0" w:space="0" w:color="auto"/>
        <w:left w:val="none" w:sz="0" w:space="0" w:color="auto"/>
        <w:bottom w:val="none" w:sz="0" w:space="0" w:color="auto"/>
        <w:right w:val="none" w:sz="0" w:space="0" w:color="auto"/>
      </w:divBdr>
    </w:div>
    <w:div w:id="1136029985">
      <w:marLeft w:val="0"/>
      <w:marRight w:val="0"/>
      <w:marTop w:val="0"/>
      <w:marBottom w:val="0"/>
      <w:divBdr>
        <w:top w:val="none" w:sz="0" w:space="0" w:color="auto"/>
        <w:left w:val="none" w:sz="0" w:space="0" w:color="auto"/>
        <w:bottom w:val="none" w:sz="0" w:space="0" w:color="auto"/>
        <w:right w:val="none" w:sz="0" w:space="0" w:color="auto"/>
      </w:divBdr>
      <w:divsChild>
        <w:div w:id="1136029986">
          <w:marLeft w:val="75"/>
          <w:marRight w:val="0"/>
          <w:marTop w:val="100"/>
          <w:marBottom w:val="100"/>
          <w:divBdr>
            <w:top w:val="none" w:sz="0" w:space="0" w:color="auto"/>
            <w:left w:val="single" w:sz="12" w:space="4" w:color="000000"/>
            <w:bottom w:val="none" w:sz="0" w:space="0" w:color="auto"/>
            <w:right w:val="none" w:sz="0" w:space="0" w:color="auto"/>
          </w:divBdr>
        </w:div>
      </w:divsChild>
    </w:div>
    <w:div w:id="1136029987">
      <w:marLeft w:val="0"/>
      <w:marRight w:val="0"/>
      <w:marTop w:val="0"/>
      <w:marBottom w:val="0"/>
      <w:divBdr>
        <w:top w:val="none" w:sz="0" w:space="0" w:color="auto"/>
        <w:left w:val="none" w:sz="0" w:space="0" w:color="auto"/>
        <w:bottom w:val="none" w:sz="0" w:space="0" w:color="auto"/>
        <w:right w:val="none" w:sz="0" w:space="0" w:color="auto"/>
      </w:divBdr>
      <w:divsChild>
        <w:div w:id="1136029988">
          <w:marLeft w:val="0"/>
          <w:marRight w:val="0"/>
          <w:marTop w:val="0"/>
          <w:marBottom w:val="0"/>
          <w:divBdr>
            <w:top w:val="none" w:sz="0" w:space="0" w:color="auto"/>
            <w:left w:val="none" w:sz="0" w:space="0" w:color="auto"/>
            <w:bottom w:val="none" w:sz="0" w:space="0" w:color="auto"/>
            <w:right w:val="none" w:sz="0" w:space="0" w:color="auto"/>
          </w:divBdr>
        </w:div>
      </w:divsChild>
    </w:div>
    <w:div w:id="1136029996">
      <w:marLeft w:val="0"/>
      <w:marRight w:val="0"/>
      <w:marTop w:val="0"/>
      <w:marBottom w:val="0"/>
      <w:divBdr>
        <w:top w:val="none" w:sz="0" w:space="0" w:color="auto"/>
        <w:left w:val="none" w:sz="0" w:space="0" w:color="auto"/>
        <w:bottom w:val="none" w:sz="0" w:space="0" w:color="auto"/>
        <w:right w:val="none" w:sz="0" w:space="0" w:color="auto"/>
      </w:divBdr>
      <w:divsChild>
        <w:div w:id="1136029990">
          <w:marLeft w:val="0"/>
          <w:marRight w:val="0"/>
          <w:marTop w:val="0"/>
          <w:marBottom w:val="0"/>
          <w:divBdr>
            <w:top w:val="none" w:sz="0" w:space="0" w:color="auto"/>
            <w:left w:val="none" w:sz="0" w:space="0" w:color="auto"/>
            <w:bottom w:val="none" w:sz="0" w:space="0" w:color="auto"/>
            <w:right w:val="none" w:sz="0" w:space="0" w:color="auto"/>
          </w:divBdr>
          <w:divsChild>
            <w:div w:id="1136030007">
              <w:marLeft w:val="0"/>
              <w:marRight w:val="0"/>
              <w:marTop w:val="0"/>
              <w:marBottom w:val="0"/>
              <w:divBdr>
                <w:top w:val="none" w:sz="0" w:space="0" w:color="auto"/>
                <w:left w:val="none" w:sz="0" w:space="0" w:color="auto"/>
                <w:bottom w:val="none" w:sz="0" w:space="0" w:color="auto"/>
                <w:right w:val="none" w:sz="0" w:space="0" w:color="auto"/>
              </w:divBdr>
              <w:divsChild>
                <w:div w:id="1136030012">
                  <w:marLeft w:val="0"/>
                  <w:marRight w:val="0"/>
                  <w:marTop w:val="0"/>
                  <w:marBottom w:val="0"/>
                  <w:divBdr>
                    <w:top w:val="none" w:sz="0" w:space="0" w:color="auto"/>
                    <w:left w:val="none" w:sz="0" w:space="0" w:color="auto"/>
                    <w:bottom w:val="none" w:sz="0" w:space="0" w:color="auto"/>
                    <w:right w:val="none" w:sz="0" w:space="0" w:color="auto"/>
                  </w:divBdr>
                  <w:divsChild>
                    <w:div w:id="1136029993">
                      <w:marLeft w:val="1"/>
                      <w:marRight w:val="0"/>
                      <w:marTop w:val="0"/>
                      <w:marBottom w:val="0"/>
                      <w:divBdr>
                        <w:top w:val="none" w:sz="0" w:space="0" w:color="auto"/>
                        <w:left w:val="none" w:sz="0" w:space="0" w:color="auto"/>
                        <w:bottom w:val="none" w:sz="0" w:space="0" w:color="auto"/>
                        <w:right w:val="none" w:sz="0" w:space="0" w:color="auto"/>
                      </w:divBdr>
                      <w:divsChild>
                        <w:div w:id="1136030004">
                          <w:marLeft w:val="1"/>
                          <w:marRight w:val="0"/>
                          <w:marTop w:val="0"/>
                          <w:marBottom w:val="0"/>
                          <w:divBdr>
                            <w:top w:val="none" w:sz="0" w:space="0" w:color="auto"/>
                            <w:left w:val="none" w:sz="0" w:space="0" w:color="auto"/>
                            <w:bottom w:val="none" w:sz="0" w:space="0" w:color="auto"/>
                            <w:right w:val="none" w:sz="0" w:space="0" w:color="auto"/>
                          </w:divBdr>
                          <w:divsChild>
                            <w:div w:id="1136030009">
                              <w:marLeft w:val="1"/>
                              <w:marRight w:val="0"/>
                              <w:marTop w:val="0"/>
                              <w:marBottom w:val="360"/>
                              <w:divBdr>
                                <w:top w:val="none" w:sz="0" w:space="0" w:color="auto"/>
                                <w:left w:val="none" w:sz="0" w:space="0" w:color="auto"/>
                                <w:bottom w:val="none" w:sz="0" w:space="0" w:color="auto"/>
                                <w:right w:val="none" w:sz="0" w:space="0" w:color="auto"/>
                              </w:divBdr>
                              <w:divsChild>
                                <w:div w:id="1136029992">
                                  <w:marLeft w:val="0"/>
                                  <w:marRight w:val="0"/>
                                  <w:marTop w:val="0"/>
                                  <w:marBottom w:val="0"/>
                                  <w:divBdr>
                                    <w:top w:val="none" w:sz="0" w:space="0" w:color="auto"/>
                                    <w:left w:val="none" w:sz="0" w:space="0" w:color="auto"/>
                                    <w:bottom w:val="none" w:sz="0" w:space="0" w:color="auto"/>
                                    <w:right w:val="none" w:sz="0" w:space="0" w:color="auto"/>
                                  </w:divBdr>
                                  <w:divsChild>
                                    <w:div w:id="1136029989">
                                      <w:marLeft w:val="0"/>
                                      <w:marRight w:val="0"/>
                                      <w:marTop w:val="0"/>
                                      <w:marBottom w:val="0"/>
                                      <w:divBdr>
                                        <w:top w:val="none" w:sz="0" w:space="0" w:color="auto"/>
                                        <w:left w:val="none" w:sz="0" w:space="0" w:color="auto"/>
                                        <w:bottom w:val="none" w:sz="0" w:space="0" w:color="auto"/>
                                        <w:right w:val="none" w:sz="0" w:space="0" w:color="auto"/>
                                      </w:divBdr>
                                      <w:divsChild>
                                        <w:div w:id="1136029994">
                                          <w:marLeft w:val="1"/>
                                          <w:marRight w:val="0"/>
                                          <w:marTop w:val="0"/>
                                          <w:marBottom w:val="360"/>
                                          <w:divBdr>
                                            <w:top w:val="none" w:sz="0" w:space="0" w:color="auto"/>
                                            <w:left w:val="none" w:sz="0" w:space="0" w:color="auto"/>
                                            <w:bottom w:val="none" w:sz="0" w:space="0" w:color="auto"/>
                                            <w:right w:val="none" w:sz="0" w:space="0" w:color="auto"/>
                                          </w:divBdr>
                                          <w:divsChild>
                                            <w:div w:id="1136030005">
                                              <w:marLeft w:val="1"/>
                                              <w:marRight w:val="0"/>
                                              <w:marTop w:val="0"/>
                                              <w:marBottom w:val="360"/>
                                              <w:divBdr>
                                                <w:top w:val="none" w:sz="0" w:space="0" w:color="auto"/>
                                                <w:left w:val="none" w:sz="0" w:space="0" w:color="auto"/>
                                                <w:bottom w:val="none" w:sz="0" w:space="0" w:color="auto"/>
                                                <w:right w:val="none" w:sz="0" w:space="0" w:color="auto"/>
                                              </w:divBdr>
                                              <w:divsChild>
                                                <w:div w:id="1136029995">
                                                  <w:marLeft w:val="0"/>
                                                  <w:marRight w:val="0"/>
                                                  <w:marTop w:val="0"/>
                                                  <w:marBottom w:val="0"/>
                                                  <w:divBdr>
                                                    <w:top w:val="none" w:sz="0" w:space="0" w:color="auto"/>
                                                    <w:left w:val="none" w:sz="0" w:space="0" w:color="auto"/>
                                                    <w:bottom w:val="none" w:sz="0" w:space="0" w:color="auto"/>
                                                    <w:right w:val="none" w:sz="0" w:space="0" w:color="auto"/>
                                                  </w:divBdr>
                                                  <w:divsChild>
                                                    <w:div w:id="1136030002">
                                                      <w:marLeft w:val="1"/>
                                                      <w:marRight w:val="0"/>
                                                      <w:marTop w:val="0"/>
                                                      <w:marBottom w:val="360"/>
                                                      <w:divBdr>
                                                        <w:top w:val="none" w:sz="0" w:space="0" w:color="auto"/>
                                                        <w:left w:val="none" w:sz="0" w:space="0" w:color="auto"/>
                                                        <w:bottom w:val="none" w:sz="0" w:space="0" w:color="auto"/>
                                                        <w:right w:val="none" w:sz="0" w:space="0" w:color="auto"/>
                                                      </w:divBdr>
                                                      <w:divsChild>
                                                        <w:div w:id="1136029991">
                                                          <w:marLeft w:val="1"/>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36030017">
      <w:marLeft w:val="0"/>
      <w:marRight w:val="0"/>
      <w:marTop w:val="0"/>
      <w:marBottom w:val="0"/>
      <w:divBdr>
        <w:top w:val="none" w:sz="0" w:space="0" w:color="auto"/>
        <w:left w:val="none" w:sz="0" w:space="0" w:color="auto"/>
        <w:bottom w:val="none" w:sz="0" w:space="0" w:color="auto"/>
        <w:right w:val="none" w:sz="0" w:space="0" w:color="auto"/>
      </w:divBdr>
      <w:divsChild>
        <w:div w:id="1136030011">
          <w:marLeft w:val="0"/>
          <w:marRight w:val="0"/>
          <w:marTop w:val="0"/>
          <w:marBottom w:val="0"/>
          <w:divBdr>
            <w:top w:val="none" w:sz="0" w:space="0" w:color="auto"/>
            <w:left w:val="none" w:sz="0" w:space="0" w:color="auto"/>
            <w:bottom w:val="none" w:sz="0" w:space="0" w:color="auto"/>
            <w:right w:val="none" w:sz="0" w:space="0" w:color="auto"/>
          </w:divBdr>
          <w:divsChild>
            <w:div w:id="1136030016">
              <w:marLeft w:val="0"/>
              <w:marRight w:val="0"/>
              <w:marTop w:val="0"/>
              <w:marBottom w:val="0"/>
              <w:divBdr>
                <w:top w:val="none" w:sz="0" w:space="0" w:color="auto"/>
                <w:left w:val="none" w:sz="0" w:space="0" w:color="auto"/>
                <w:bottom w:val="none" w:sz="0" w:space="0" w:color="auto"/>
                <w:right w:val="none" w:sz="0" w:space="0" w:color="auto"/>
              </w:divBdr>
              <w:divsChild>
                <w:div w:id="1136030000">
                  <w:marLeft w:val="0"/>
                  <w:marRight w:val="0"/>
                  <w:marTop w:val="0"/>
                  <w:marBottom w:val="0"/>
                  <w:divBdr>
                    <w:top w:val="none" w:sz="0" w:space="0" w:color="auto"/>
                    <w:left w:val="none" w:sz="0" w:space="0" w:color="auto"/>
                    <w:bottom w:val="none" w:sz="0" w:space="0" w:color="auto"/>
                    <w:right w:val="none" w:sz="0" w:space="0" w:color="auto"/>
                  </w:divBdr>
                  <w:divsChild>
                    <w:div w:id="1136029998">
                      <w:marLeft w:val="0"/>
                      <w:marRight w:val="0"/>
                      <w:marTop w:val="0"/>
                      <w:marBottom w:val="0"/>
                      <w:divBdr>
                        <w:top w:val="none" w:sz="0" w:space="0" w:color="auto"/>
                        <w:left w:val="none" w:sz="0" w:space="0" w:color="auto"/>
                        <w:bottom w:val="none" w:sz="0" w:space="0" w:color="auto"/>
                        <w:right w:val="none" w:sz="0" w:space="0" w:color="auto"/>
                      </w:divBdr>
                      <w:divsChild>
                        <w:div w:id="1136030006">
                          <w:marLeft w:val="0"/>
                          <w:marRight w:val="0"/>
                          <w:marTop w:val="0"/>
                          <w:marBottom w:val="0"/>
                          <w:divBdr>
                            <w:top w:val="none" w:sz="0" w:space="0" w:color="auto"/>
                            <w:left w:val="none" w:sz="0" w:space="0" w:color="auto"/>
                            <w:bottom w:val="none" w:sz="0" w:space="0" w:color="auto"/>
                            <w:right w:val="none" w:sz="0" w:space="0" w:color="auto"/>
                          </w:divBdr>
                          <w:divsChild>
                            <w:div w:id="1136030008">
                              <w:marLeft w:val="0"/>
                              <w:marRight w:val="0"/>
                              <w:marTop w:val="0"/>
                              <w:marBottom w:val="0"/>
                              <w:divBdr>
                                <w:top w:val="none" w:sz="0" w:space="0" w:color="auto"/>
                                <w:left w:val="none" w:sz="0" w:space="0" w:color="auto"/>
                                <w:bottom w:val="none" w:sz="0" w:space="0" w:color="auto"/>
                                <w:right w:val="none" w:sz="0" w:space="0" w:color="auto"/>
                              </w:divBdr>
                              <w:divsChild>
                                <w:div w:id="1136030014">
                                  <w:marLeft w:val="0"/>
                                  <w:marRight w:val="-3600"/>
                                  <w:marTop w:val="150"/>
                                  <w:marBottom w:val="0"/>
                                  <w:divBdr>
                                    <w:top w:val="none" w:sz="0" w:space="0" w:color="auto"/>
                                    <w:left w:val="none" w:sz="0" w:space="0" w:color="auto"/>
                                    <w:bottom w:val="none" w:sz="0" w:space="0" w:color="auto"/>
                                    <w:right w:val="none" w:sz="0" w:space="0" w:color="auto"/>
                                  </w:divBdr>
                                  <w:divsChild>
                                    <w:div w:id="1136030015">
                                      <w:marLeft w:val="0"/>
                                      <w:marRight w:val="3600"/>
                                      <w:marTop w:val="150"/>
                                      <w:marBottom w:val="0"/>
                                      <w:divBdr>
                                        <w:top w:val="none" w:sz="0" w:space="0" w:color="auto"/>
                                        <w:left w:val="none" w:sz="0" w:space="0" w:color="auto"/>
                                        <w:bottom w:val="none" w:sz="0" w:space="0" w:color="auto"/>
                                        <w:right w:val="none" w:sz="0" w:space="0" w:color="auto"/>
                                      </w:divBdr>
                                      <w:divsChild>
                                        <w:div w:id="1136030013">
                                          <w:marLeft w:val="0"/>
                                          <w:marRight w:val="3600"/>
                                          <w:marTop w:val="150"/>
                                          <w:marBottom w:val="0"/>
                                          <w:divBdr>
                                            <w:top w:val="none" w:sz="0" w:space="0" w:color="auto"/>
                                            <w:left w:val="none" w:sz="0" w:space="0" w:color="auto"/>
                                            <w:bottom w:val="none" w:sz="0" w:space="0" w:color="auto"/>
                                            <w:right w:val="none" w:sz="0" w:space="0" w:color="auto"/>
                                          </w:divBdr>
                                          <w:divsChild>
                                            <w:div w:id="1136030003">
                                              <w:marLeft w:val="0"/>
                                              <w:marRight w:val="3600"/>
                                              <w:marTop w:val="150"/>
                                              <w:marBottom w:val="0"/>
                                              <w:divBdr>
                                                <w:top w:val="none" w:sz="0" w:space="0" w:color="auto"/>
                                                <w:left w:val="none" w:sz="0" w:space="0" w:color="auto"/>
                                                <w:bottom w:val="none" w:sz="0" w:space="0" w:color="auto"/>
                                                <w:right w:val="none" w:sz="0" w:space="0" w:color="auto"/>
                                              </w:divBdr>
                                              <w:divsChild>
                                                <w:div w:id="1136029997">
                                                  <w:marLeft w:val="0"/>
                                                  <w:marRight w:val="3600"/>
                                                  <w:marTop w:val="150"/>
                                                  <w:marBottom w:val="0"/>
                                                  <w:divBdr>
                                                    <w:top w:val="none" w:sz="0" w:space="0" w:color="auto"/>
                                                    <w:left w:val="none" w:sz="0" w:space="0" w:color="auto"/>
                                                    <w:bottom w:val="none" w:sz="0" w:space="0" w:color="auto"/>
                                                    <w:right w:val="none" w:sz="0" w:space="0" w:color="auto"/>
                                                  </w:divBdr>
                                                  <w:divsChild>
                                                    <w:div w:id="1136030010">
                                                      <w:marLeft w:val="0"/>
                                                      <w:marRight w:val="3600"/>
                                                      <w:marTop w:val="150"/>
                                                      <w:marBottom w:val="0"/>
                                                      <w:divBdr>
                                                        <w:top w:val="none" w:sz="0" w:space="0" w:color="auto"/>
                                                        <w:left w:val="none" w:sz="0" w:space="0" w:color="auto"/>
                                                        <w:bottom w:val="none" w:sz="0" w:space="0" w:color="auto"/>
                                                        <w:right w:val="none" w:sz="0" w:space="0" w:color="auto"/>
                                                      </w:divBdr>
                                                      <w:divsChild>
                                                        <w:div w:id="1136029999">
                                                          <w:marLeft w:val="0"/>
                                                          <w:marRight w:val="0"/>
                                                          <w:marTop w:val="0"/>
                                                          <w:marBottom w:val="0"/>
                                                          <w:divBdr>
                                                            <w:top w:val="none" w:sz="0" w:space="0" w:color="auto"/>
                                                            <w:left w:val="none" w:sz="0" w:space="0" w:color="auto"/>
                                                            <w:bottom w:val="none" w:sz="0" w:space="0" w:color="auto"/>
                                                            <w:right w:val="none" w:sz="0" w:space="0" w:color="auto"/>
                                                          </w:divBdr>
                                                        </w:div>
                                                        <w:div w:id="113603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36030019">
      <w:marLeft w:val="0"/>
      <w:marRight w:val="0"/>
      <w:marTop w:val="0"/>
      <w:marBottom w:val="0"/>
      <w:divBdr>
        <w:top w:val="none" w:sz="0" w:space="0" w:color="auto"/>
        <w:left w:val="none" w:sz="0" w:space="0" w:color="auto"/>
        <w:bottom w:val="none" w:sz="0" w:space="0" w:color="auto"/>
        <w:right w:val="none" w:sz="0" w:space="0" w:color="auto"/>
      </w:divBdr>
      <w:divsChild>
        <w:div w:id="1136030018">
          <w:marLeft w:val="0"/>
          <w:marRight w:val="0"/>
          <w:marTop w:val="0"/>
          <w:marBottom w:val="0"/>
          <w:divBdr>
            <w:top w:val="none" w:sz="0" w:space="0" w:color="auto"/>
            <w:left w:val="none" w:sz="0" w:space="0" w:color="auto"/>
            <w:bottom w:val="none" w:sz="0" w:space="0" w:color="auto"/>
            <w:right w:val="none" w:sz="0" w:space="0" w:color="auto"/>
          </w:divBdr>
        </w:div>
        <w:div w:id="1136030020">
          <w:marLeft w:val="0"/>
          <w:marRight w:val="0"/>
          <w:marTop w:val="0"/>
          <w:marBottom w:val="0"/>
          <w:divBdr>
            <w:top w:val="none" w:sz="0" w:space="0" w:color="auto"/>
            <w:left w:val="none" w:sz="0" w:space="0" w:color="auto"/>
            <w:bottom w:val="none" w:sz="0" w:space="0" w:color="auto"/>
            <w:right w:val="none" w:sz="0" w:space="0" w:color="auto"/>
          </w:divBdr>
        </w:div>
      </w:divsChild>
    </w:div>
    <w:div w:id="1136030024">
      <w:marLeft w:val="0"/>
      <w:marRight w:val="0"/>
      <w:marTop w:val="0"/>
      <w:marBottom w:val="0"/>
      <w:divBdr>
        <w:top w:val="none" w:sz="0" w:space="0" w:color="auto"/>
        <w:left w:val="none" w:sz="0" w:space="0" w:color="auto"/>
        <w:bottom w:val="none" w:sz="0" w:space="0" w:color="auto"/>
        <w:right w:val="none" w:sz="0" w:space="0" w:color="auto"/>
      </w:divBdr>
      <w:divsChild>
        <w:div w:id="1136030022">
          <w:marLeft w:val="0"/>
          <w:marRight w:val="0"/>
          <w:marTop w:val="0"/>
          <w:marBottom w:val="0"/>
          <w:divBdr>
            <w:top w:val="none" w:sz="0" w:space="0" w:color="auto"/>
            <w:left w:val="none" w:sz="0" w:space="0" w:color="auto"/>
            <w:bottom w:val="none" w:sz="0" w:space="0" w:color="auto"/>
            <w:right w:val="none" w:sz="0" w:space="0" w:color="auto"/>
          </w:divBdr>
          <w:divsChild>
            <w:div w:id="1136030023">
              <w:marLeft w:val="0"/>
              <w:marRight w:val="0"/>
              <w:marTop w:val="0"/>
              <w:marBottom w:val="0"/>
              <w:divBdr>
                <w:top w:val="none" w:sz="0" w:space="0" w:color="auto"/>
                <w:left w:val="none" w:sz="0" w:space="0" w:color="auto"/>
                <w:bottom w:val="none" w:sz="0" w:space="0" w:color="auto"/>
                <w:right w:val="none" w:sz="0" w:space="0" w:color="auto"/>
              </w:divBdr>
              <w:divsChild>
                <w:div w:id="113603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030025">
      <w:marLeft w:val="0"/>
      <w:marRight w:val="0"/>
      <w:marTop w:val="0"/>
      <w:marBottom w:val="0"/>
      <w:divBdr>
        <w:top w:val="none" w:sz="0" w:space="0" w:color="auto"/>
        <w:left w:val="none" w:sz="0" w:space="0" w:color="auto"/>
        <w:bottom w:val="none" w:sz="0" w:space="0" w:color="auto"/>
        <w:right w:val="none" w:sz="0" w:space="0" w:color="auto"/>
      </w:divBdr>
      <w:divsChild>
        <w:div w:id="1136030027">
          <w:marLeft w:val="0"/>
          <w:marRight w:val="0"/>
          <w:marTop w:val="0"/>
          <w:marBottom w:val="0"/>
          <w:divBdr>
            <w:top w:val="none" w:sz="0" w:space="0" w:color="auto"/>
            <w:left w:val="none" w:sz="0" w:space="0" w:color="auto"/>
            <w:bottom w:val="none" w:sz="0" w:space="0" w:color="auto"/>
            <w:right w:val="none" w:sz="0" w:space="0" w:color="auto"/>
          </w:divBdr>
        </w:div>
      </w:divsChild>
    </w:div>
    <w:div w:id="1136030028">
      <w:marLeft w:val="0"/>
      <w:marRight w:val="0"/>
      <w:marTop w:val="0"/>
      <w:marBottom w:val="0"/>
      <w:divBdr>
        <w:top w:val="none" w:sz="0" w:space="0" w:color="auto"/>
        <w:left w:val="none" w:sz="0" w:space="0" w:color="auto"/>
        <w:bottom w:val="none" w:sz="0" w:space="0" w:color="auto"/>
        <w:right w:val="none" w:sz="0" w:space="0" w:color="auto"/>
      </w:divBdr>
      <w:divsChild>
        <w:div w:id="1136030026">
          <w:marLeft w:val="0"/>
          <w:marRight w:val="0"/>
          <w:marTop w:val="0"/>
          <w:marBottom w:val="0"/>
          <w:divBdr>
            <w:top w:val="none" w:sz="0" w:space="0" w:color="auto"/>
            <w:left w:val="none" w:sz="0" w:space="0" w:color="auto"/>
            <w:bottom w:val="none" w:sz="0" w:space="0" w:color="auto"/>
            <w:right w:val="none" w:sz="0" w:space="0" w:color="auto"/>
          </w:divBdr>
        </w:div>
      </w:divsChild>
    </w:div>
    <w:div w:id="1198161093">
      <w:bodyDiv w:val="1"/>
      <w:marLeft w:val="0"/>
      <w:marRight w:val="0"/>
      <w:marTop w:val="0"/>
      <w:marBottom w:val="0"/>
      <w:divBdr>
        <w:top w:val="none" w:sz="0" w:space="0" w:color="auto"/>
        <w:left w:val="none" w:sz="0" w:space="0" w:color="auto"/>
        <w:bottom w:val="none" w:sz="0" w:space="0" w:color="auto"/>
        <w:right w:val="none" w:sz="0" w:space="0" w:color="auto"/>
      </w:divBdr>
    </w:div>
    <w:div w:id="1201094674">
      <w:bodyDiv w:val="1"/>
      <w:marLeft w:val="0"/>
      <w:marRight w:val="0"/>
      <w:marTop w:val="0"/>
      <w:marBottom w:val="0"/>
      <w:divBdr>
        <w:top w:val="none" w:sz="0" w:space="0" w:color="auto"/>
        <w:left w:val="none" w:sz="0" w:space="0" w:color="auto"/>
        <w:bottom w:val="none" w:sz="0" w:space="0" w:color="auto"/>
        <w:right w:val="none" w:sz="0" w:space="0" w:color="auto"/>
      </w:divBdr>
    </w:div>
    <w:div w:id="1234468818">
      <w:bodyDiv w:val="1"/>
      <w:marLeft w:val="0"/>
      <w:marRight w:val="0"/>
      <w:marTop w:val="0"/>
      <w:marBottom w:val="0"/>
      <w:divBdr>
        <w:top w:val="none" w:sz="0" w:space="0" w:color="auto"/>
        <w:left w:val="none" w:sz="0" w:space="0" w:color="auto"/>
        <w:bottom w:val="none" w:sz="0" w:space="0" w:color="auto"/>
        <w:right w:val="none" w:sz="0" w:space="0" w:color="auto"/>
      </w:divBdr>
    </w:div>
    <w:div w:id="1248147428">
      <w:bodyDiv w:val="1"/>
      <w:marLeft w:val="0"/>
      <w:marRight w:val="0"/>
      <w:marTop w:val="0"/>
      <w:marBottom w:val="0"/>
      <w:divBdr>
        <w:top w:val="none" w:sz="0" w:space="0" w:color="auto"/>
        <w:left w:val="none" w:sz="0" w:space="0" w:color="auto"/>
        <w:bottom w:val="none" w:sz="0" w:space="0" w:color="auto"/>
        <w:right w:val="none" w:sz="0" w:space="0" w:color="auto"/>
      </w:divBdr>
    </w:div>
    <w:div w:id="1294142727">
      <w:bodyDiv w:val="1"/>
      <w:marLeft w:val="0"/>
      <w:marRight w:val="0"/>
      <w:marTop w:val="0"/>
      <w:marBottom w:val="0"/>
      <w:divBdr>
        <w:top w:val="none" w:sz="0" w:space="0" w:color="auto"/>
        <w:left w:val="none" w:sz="0" w:space="0" w:color="auto"/>
        <w:bottom w:val="none" w:sz="0" w:space="0" w:color="auto"/>
        <w:right w:val="none" w:sz="0" w:space="0" w:color="auto"/>
      </w:divBdr>
    </w:div>
    <w:div w:id="1336686347">
      <w:bodyDiv w:val="1"/>
      <w:marLeft w:val="0"/>
      <w:marRight w:val="0"/>
      <w:marTop w:val="0"/>
      <w:marBottom w:val="0"/>
      <w:divBdr>
        <w:top w:val="none" w:sz="0" w:space="0" w:color="auto"/>
        <w:left w:val="none" w:sz="0" w:space="0" w:color="auto"/>
        <w:bottom w:val="none" w:sz="0" w:space="0" w:color="auto"/>
        <w:right w:val="none" w:sz="0" w:space="0" w:color="auto"/>
      </w:divBdr>
    </w:div>
    <w:div w:id="1352800152">
      <w:bodyDiv w:val="1"/>
      <w:marLeft w:val="0"/>
      <w:marRight w:val="0"/>
      <w:marTop w:val="0"/>
      <w:marBottom w:val="0"/>
      <w:divBdr>
        <w:top w:val="none" w:sz="0" w:space="0" w:color="auto"/>
        <w:left w:val="none" w:sz="0" w:space="0" w:color="auto"/>
        <w:bottom w:val="none" w:sz="0" w:space="0" w:color="auto"/>
        <w:right w:val="none" w:sz="0" w:space="0" w:color="auto"/>
      </w:divBdr>
    </w:div>
    <w:div w:id="1395354847">
      <w:bodyDiv w:val="1"/>
      <w:marLeft w:val="0"/>
      <w:marRight w:val="0"/>
      <w:marTop w:val="0"/>
      <w:marBottom w:val="0"/>
      <w:divBdr>
        <w:top w:val="none" w:sz="0" w:space="0" w:color="auto"/>
        <w:left w:val="none" w:sz="0" w:space="0" w:color="auto"/>
        <w:bottom w:val="none" w:sz="0" w:space="0" w:color="auto"/>
        <w:right w:val="none" w:sz="0" w:space="0" w:color="auto"/>
      </w:divBdr>
      <w:divsChild>
        <w:div w:id="953095805">
          <w:marLeft w:val="0"/>
          <w:marRight w:val="0"/>
          <w:marTop w:val="0"/>
          <w:marBottom w:val="0"/>
          <w:divBdr>
            <w:top w:val="none" w:sz="0" w:space="0" w:color="auto"/>
            <w:left w:val="none" w:sz="0" w:space="0" w:color="auto"/>
            <w:bottom w:val="none" w:sz="0" w:space="0" w:color="auto"/>
            <w:right w:val="none" w:sz="0" w:space="0" w:color="auto"/>
          </w:divBdr>
          <w:divsChild>
            <w:div w:id="1181042474">
              <w:marLeft w:val="0"/>
              <w:marRight w:val="0"/>
              <w:marTop w:val="0"/>
              <w:marBottom w:val="0"/>
              <w:divBdr>
                <w:top w:val="none" w:sz="0" w:space="0" w:color="auto"/>
                <w:left w:val="none" w:sz="0" w:space="0" w:color="auto"/>
                <w:bottom w:val="none" w:sz="0" w:space="0" w:color="auto"/>
                <w:right w:val="none" w:sz="0" w:space="0" w:color="auto"/>
              </w:divBdr>
              <w:divsChild>
                <w:div w:id="104910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546822">
      <w:bodyDiv w:val="1"/>
      <w:marLeft w:val="0"/>
      <w:marRight w:val="0"/>
      <w:marTop w:val="0"/>
      <w:marBottom w:val="0"/>
      <w:divBdr>
        <w:top w:val="none" w:sz="0" w:space="0" w:color="auto"/>
        <w:left w:val="none" w:sz="0" w:space="0" w:color="auto"/>
        <w:bottom w:val="none" w:sz="0" w:space="0" w:color="auto"/>
        <w:right w:val="none" w:sz="0" w:space="0" w:color="auto"/>
      </w:divBdr>
    </w:div>
    <w:div w:id="1399205070">
      <w:bodyDiv w:val="1"/>
      <w:marLeft w:val="0"/>
      <w:marRight w:val="0"/>
      <w:marTop w:val="0"/>
      <w:marBottom w:val="0"/>
      <w:divBdr>
        <w:top w:val="none" w:sz="0" w:space="0" w:color="auto"/>
        <w:left w:val="none" w:sz="0" w:space="0" w:color="auto"/>
        <w:bottom w:val="none" w:sz="0" w:space="0" w:color="auto"/>
        <w:right w:val="none" w:sz="0" w:space="0" w:color="auto"/>
      </w:divBdr>
    </w:div>
    <w:div w:id="1419712018">
      <w:bodyDiv w:val="1"/>
      <w:marLeft w:val="0"/>
      <w:marRight w:val="0"/>
      <w:marTop w:val="0"/>
      <w:marBottom w:val="0"/>
      <w:divBdr>
        <w:top w:val="none" w:sz="0" w:space="0" w:color="auto"/>
        <w:left w:val="none" w:sz="0" w:space="0" w:color="auto"/>
        <w:bottom w:val="none" w:sz="0" w:space="0" w:color="auto"/>
        <w:right w:val="none" w:sz="0" w:space="0" w:color="auto"/>
      </w:divBdr>
    </w:div>
    <w:div w:id="1472138953">
      <w:bodyDiv w:val="1"/>
      <w:marLeft w:val="0"/>
      <w:marRight w:val="0"/>
      <w:marTop w:val="0"/>
      <w:marBottom w:val="0"/>
      <w:divBdr>
        <w:top w:val="none" w:sz="0" w:space="0" w:color="auto"/>
        <w:left w:val="none" w:sz="0" w:space="0" w:color="auto"/>
        <w:bottom w:val="none" w:sz="0" w:space="0" w:color="auto"/>
        <w:right w:val="none" w:sz="0" w:space="0" w:color="auto"/>
      </w:divBdr>
    </w:div>
    <w:div w:id="1487362621">
      <w:bodyDiv w:val="1"/>
      <w:marLeft w:val="0"/>
      <w:marRight w:val="0"/>
      <w:marTop w:val="0"/>
      <w:marBottom w:val="0"/>
      <w:divBdr>
        <w:top w:val="none" w:sz="0" w:space="0" w:color="auto"/>
        <w:left w:val="none" w:sz="0" w:space="0" w:color="auto"/>
        <w:bottom w:val="none" w:sz="0" w:space="0" w:color="auto"/>
        <w:right w:val="none" w:sz="0" w:space="0" w:color="auto"/>
      </w:divBdr>
    </w:div>
    <w:div w:id="1508979471">
      <w:bodyDiv w:val="1"/>
      <w:marLeft w:val="0"/>
      <w:marRight w:val="0"/>
      <w:marTop w:val="0"/>
      <w:marBottom w:val="0"/>
      <w:divBdr>
        <w:top w:val="none" w:sz="0" w:space="0" w:color="auto"/>
        <w:left w:val="none" w:sz="0" w:space="0" w:color="auto"/>
        <w:bottom w:val="none" w:sz="0" w:space="0" w:color="auto"/>
        <w:right w:val="none" w:sz="0" w:space="0" w:color="auto"/>
      </w:divBdr>
    </w:div>
    <w:div w:id="1580167383">
      <w:bodyDiv w:val="1"/>
      <w:marLeft w:val="0"/>
      <w:marRight w:val="0"/>
      <w:marTop w:val="0"/>
      <w:marBottom w:val="0"/>
      <w:divBdr>
        <w:top w:val="none" w:sz="0" w:space="0" w:color="auto"/>
        <w:left w:val="none" w:sz="0" w:space="0" w:color="auto"/>
        <w:bottom w:val="none" w:sz="0" w:space="0" w:color="auto"/>
        <w:right w:val="none" w:sz="0" w:space="0" w:color="auto"/>
      </w:divBdr>
    </w:div>
    <w:div w:id="1583104741">
      <w:bodyDiv w:val="1"/>
      <w:marLeft w:val="0"/>
      <w:marRight w:val="0"/>
      <w:marTop w:val="0"/>
      <w:marBottom w:val="0"/>
      <w:divBdr>
        <w:top w:val="none" w:sz="0" w:space="0" w:color="auto"/>
        <w:left w:val="none" w:sz="0" w:space="0" w:color="auto"/>
        <w:bottom w:val="none" w:sz="0" w:space="0" w:color="auto"/>
        <w:right w:val="none" w:sz="0" w:space="0" w:color="auto"/>
      </w:divBdr>
    </w:div>
    <w:div w:id="1669943736">
      <w:bodyDiv w:val="1"/>
      <w:marLeft w:val="0"/>
      <w:marRight w:val="0"/>
      <w:marTop w:val="0"/>
      <w:marBottom w:val="0"/>
      <w:divBdr>
        <w:top w:val="none" w:sz="0" w:space="0" w:color="auto"/>
        <w:left w:val="none" w:sz="0" w:space="0" w:color="auto"/>
        <w:bottom w:val="none" w:sz="0" w:space="0" w:color="auto"/>
        <w:right w:val="none" w:sz="0" w:space="0" w:color="auto"/>
      </w:divBdr>
    </w:div>
    <w:div w:id="1672681399">
      <w:bodyDiv w:val="1"/>
      <w:marLeft w:val="0"/>
      <w:marRight w:val="0"/>
      <w:marTop w:val="0"/>
      <w:marBottom w:val="0"/>
      <w:divBdr>
        <w:top w:val="none" w:sz="0" w:space="0" w:color="auto"/>
        <w:left w:val="none" w:sz="0" w:space="0" w:color="auto"/>
        <w:bottom w:val="none" w:sz="0" w:space="0" w:color="auto"/>
        <w:right w:val="none" w:sz="0" w:space="0" w:color="auto"/>
      </w:divBdr>
    </w:div>
    <w:div w:id="1678116978">
      <w:bodyDiv w:val="1"/>
      <w:marLeft w:val="0"/>
      <w:marRight w:val="0"/>
      <w:marTop w:val="0"/>
      <w:marBottom w:val="0"/>
      <w:divBdr>
        <w:top w:val="none" w:sz="0" w:space="0" w:color="auto"/>
        <w:left w:val="none" w:sz="0" w:space="0" w:color="auto"/>
        <w:bottom w:val="none" w:sz="0" w:space="0" w:color="auto"/>
        <w:right w:val="none" w:sz="0" w:space="0" w:color="auto"/>
      </w:divBdr>
    </w:div>
    <w:div w:id="1693847708">
      <w:bodyDiv w:val="1"/>
      <w:marLeft w:val="0"/>
      <w:marRight w:val="0"/>
      <w:marTop w:val="0"/>
      <w:marBottom w:val="0"/>
      <w:divBdr>
        <w:top w:val="none" w:sz="0" w:space="0" w:color="auto"/>
        <w:left w:val="none" w:sz="0" w:space="0" w:color="auto"/>
        <w:bottom w:val="none" w:sz="0" w:space="0" w:color="auto"/>
        <w:right w:val="none" w:sz="0" w:space="0" w:color="auto"/>
      </w:divBdr>
    </w:div>
    <w:div w:id="1710494445">
      <w:bodyDiv w:val="1"/>
      <w:marLeft w:val="0"/>
      <w:marRight w:val="0"/>
      <w:marTop w:val="0"/>
      <w:marBottom w:val="0"/>
      <w:divBdr>
        <w:top w:val="none" w:sz="0" w:space="0" w:color="auto"/>
        <w:left w:val="none" w:sz="0" w:space="0" w:color="auto"/>
        <w:bottom w:val="none" w:sz="0" w:space="0" w:color="auto"/>
        <w:right w:val="none" w:sz="0" w:space="0" w:color="auto"/>
      </w:divBdr>
    </w:div>
    <w:div w:id="1750616884">
      <w:bodyDiv w:val="1"/>
      <w:marLeft w:val="0"/>
      <w:marRight w:val="0"/>
      <w:marTop w:val="0"/>
      <w:marBottom w:val="0"/>
      <w:divBdr>
        <w:top w:val="none" w:sz="0" w:space="0" w:color="auto"/>
        <w:left w:val="none" w:sz="0" w:space="0" w:color="auto"/>
        <w:bottom w:val="none" w:sz="0" w:space="0" w:color="auto"/>
        <w:right w:val="none" w:sz="0" w:space="0" w:color="auto"/>
      </w:divBdr>
    </w:div>
    <w:div w:id="1766807343">
      <w:bodyDiv w:val="1"/>
      <w:marLeft w:val="0"/>
      <w:marRight w:val="0"/>
      <w:marTop w:val="0"/>
      <w:marBottom w:val="0"/>
      <w:divBdr>
        <w:top w:val="none" w:sz="0" w:space="0" w:color="auto"/>
        <w:left w:val="none" w:sz="0" w:space="0" w:color="auto"/>
        <w:bottom w:val="none" w:sz="0" w:space="0" w:color="auto"/>
        <w:right w:val="none" w:sz="0" w:space="0" w:color="auto"/>
      </w:divBdr>
    </w:div>
    <w:div w:id="1804886601">
      <w:bodyDiv w:val="1"/>
      <w:marLeft w:val="0"/>
      <w:marRight w:val="0"/>
      <w:marTop w:val="0"/>
      <w:marBottom w:val="0"/>
      <w:divBdr>
        <w:top w:val="none" w:sz="0" w:space="0" w:color="auto"/>
        <w:left w:val="none" w:sz="0" w:space="0" w:color="auto"/>
        <w:bottom w:val="none" w:sz="0" w:space="0" w:color="auto"/>
        <w:right w:val="none" w:sz="0" w:space="0" w:color="auto"/>
      </w:divBdr>
    </w:div>
    <w:div w:id="1853184695">
      <w:bodyDiv w:val="1"/>
      <w:marLeft w:val="0"/>
      <w:marRight w:val="0"/>
      <w:marTop w:val="0"/>
      <w:marBottom w:val="0"/>
      <w:divBdr>
        <w:top w:val="none" w:sz="0" w:space="0" w:color="auto"/>
        <w:left w:val="none" w:sz="0" w:space="0" w:color="auto"/>
        <w:bottom w:val="none" w:sz="0" w:space="0" w:color="auto"/>
        <w:right w:val="none" w:sz="0" w:space="0" w:color="auto"/>
      </w:divBdr>
    </w:div>
    <w:div w:id="1888448170">
      <w:bodyDiv w:val="1"/>
      <w:marLeft w:val="0"/>
      <w:marRight w:val="0"/>
      <w:marTop w:val="0"/>
      <w:marBottom w:val="0"/>
      <w:divBdr>
        <w:top w:val="none" w:sz="0" w:space="0" w:color="auto"/>
        <w:left w:val="none" w:sz="0" w:space="0" w:color="auto"/>
        <w:bottom w:val="none" w:sz="0" w:space="0" w:color="auto"/>
        <w:right w:val="none" w:sz="0" w:space="0" w:color="auto"/>
      </w:divBdr>
    </w:div>
    <w:div w:id="1894268972">
      <w:bodyDiv w:val="1"/>
      <w:marLeft w:val="0"/>
      <w:marRight w:val="0"/>
      <w:marTop w:val="0"/>
      <w:marBottom w:val="0"/>
      <w:divBdr>
        <w:top w:val="none" w:sz="0" w:space="0" w:color="auto"/>
        <w:left w:val="none" w:sz="0" w:space="0" w:color="auto"/>
        <w:bottom w:val="none" w:sz="0" w:space="0" w:color="auto"/>
        <w:right w:val="none" w:sz="0" w:space="0" w:color="auto"/>
      </w:divBdr>
    </w:div>
    <w:div w:id="1898661519">
      <w:bodyDiv w:val="1"/>
      <w:marLeft w:val="0"/>
      <w:marRight w:val="0"/>
      <w:marTop w:val="0"/>
      <w:marBottom w:val="0"/>
      <w:divBdr>
        <w:top w:val="none" w:sz="0" w:space="0" w:color="auto"/>
        <w:left w:val="none" w:sz="0" w:space="0" w:color="auto"/>
        <w:bottom w:val="none" w:sz="0" w:space="0" w:color="auto"/>
        <w:right w:val="none" w:sz="0" w:space="0" w:color="auto"/>
      </w:divBdr>
    </w:div>
    <w:div w:id="1929346966">
      <w:bodyDiv w:val="1"/>
      <w:marLeft w:val="0"/>
      <w:marRight w:val="0"/>
      <w:marTop w:val="0"/>
      <w:marBottom w:val="0"/>
      <w:divBdr>
        <w:top w:val="none" w:sz="0" w:space="0" w:color="auto"/>
        <w:left w:val="none" w:sz="0" w:space="0" w:color="auto"/>
        <w:bottom w:val="none" w:sz="0" w:space="0" w:color="auto"/>
        <w:right w:val="none" w:sz="0" w:space="0" w:color="auto"/>
      </w:divBdr>
    </w:div>
    <w:div w:id="1930311148">
      <w:bodyDiv w:val="1"/>
      <w:marLeft w:val="0"/>
      <w:marRight w:val="0"/>
      <w:marTop w:val="0"/>
      <w:marBottom w:val="0"/>
      <w:divBdr>
        <w:top w:val="none" w:sz="0" w:space="0" w:color="auto"/>
        <w:left w:val="none" w:sz="0" w:space="0" w:color="auto"/>
        <w:bottom w:val="none" w:sz="0" w:space="0" w:color="auto"/>
        <w:right w:val="none" w:sz="0" w:space="0" w:color="auto"/>
      </w:divBdr>
    </w:div>
    <w:div w:id="1935741608">
      <w:bodyDiv w:val="1"/>
      <w:marLeft w:val="0"/>
      <w:marRight w:val="0"/>
      <w:marTop w:val="0"/>
      <w:marBottom w:val="0"/>
      <w:divBdr>
        <w:top w:val="none" w:sz="0" w:space="0" w:color="auto"/>
        <w:left w:val="none" w:sz="0" w:space="0" w:color="auto"/>
        <w:bottom w:val="none" w:sz="0" w:space="0" w:color="auto"/>
        <w:right w:val="none" w:sz="0" w:space="0" w:color="auto"/>
      </w:divBdr>
    </w:div>
    <w:div w:id="1936479572">
      <w:bodyDiv w:val="1"/>
      <w:marLeft w:val="0"/>
      <w:marRight w:val="0"/>
      <w:marTop w:val="0"/>
      <w:marBottom w:val="0"/>
      <w:divBdr>
        <w:top w:val="none" w:sz="0" w:space="0" w:color="auto"/>
        <w:left w:val="none" w:sz="0" w:space="0" w:color="auto"/>
        <w:bottom w:val="none" w:sz="0" w:space="0" w:color="auto"/>
        <w:right w:val="none" w:sz="0" w:space="0" w:color="auto"/>
      </w:divBdr>
    </w:div>
    <w:div w:id="1988972186">
      <w:bodyDiv w:val="1"/>
      <w:marLeft w:val="0"/>
      <w:marRight w:val="0"/>
      <w:marTop w:val="0"/>
      <w:marBottom w:val="0"/>
      <w:divBdr>
        <w:top w:val="none" w:sz="0" w:space="0" w:color="auto"/>
        <w:left w:val="none" w:sz="0" w:space="0" w:color="auto"/>
        <w:bottom w:val="none" w:sz="0" w:space="0" w:color="auto"/>
        <w:right w:val="none" w:sz="0" w:space="0" w:color="auto"/>
      </w:divBdr>
    </w:div>
    <w:div w:id="2013530836">
      <w:bodyDiv w:val="1"/>
      <w:marLeft w:val="0"/>
      <w:marRight w:val="0"/>
      <w:marTop w:val="0"/>
      <w:marBottom w:val="0"/>
      <w:divBdr>
        <w:top w:val="none" w:sz="0" w:space="0" w:color="auto"/>
        <w:left w:val="none" w:sz="0" w:space="0" w:color="auto"/>
        <w:bottom w:val="none" w:sz="0" w:space="0" w:color="auto"/>
        <w:right w:val="none" w:sz="0" w:space="0" w:color="auto"/>
      </w:divBdr>
    </w:div>
    <w:div w:id="2041933397">
      <w:bodyDiv w:val="1"/>
      <w:marLeft w:val="0"/>
      <w:marRight w:val="0"/>
      <w:marTop w:val="0"/>
      <w:marBottom w:val="0"/>
      <w:divBdr>
        <w:top w:val="none" w:sz="0" w:space="0" w:color="auto"/>
        <w:left w:val="none" w:sz="0" w:space="0" w:color="auto"/>
        <w:bottom w:val="none" w:sz="0" w:space="0" w:color="auto"/>
        <w:right w:val="none" w:sz="0" w:space="0" w:color="auto"/>
      </w:divBdr>
    </w:div>
    <w:div w:id="2051412235">
      <w:bodyDiv w:val="1"/>
      <w:marLeft w:val="0"/>
      <w:marRight w:val="0"/>
      <w:marTop w:val="0"/>
      <w:marBottom w:val="0"/>
      <w:divBdr>
        <w:top w:val="none" w:sz="0" w:space="0" w:color="auto"/>
        <w:left w:val="none" w:sz="0" w:space="0" w:color="auto"/>
        <w:bottom w:val="none" w:sz="0" w:space="0" w:color="auto"/>
        <w:right w:val="none" w:sz="0" w:space="0" w:color="auto"/>
      </w:divBdr>
    </w:div>
    <w:div w:id="2120950329">
      <w:bodyDiv w:val="1"/>
      <w:marLeft w:val="0"/>
      <w:marRight w:val="0"/>
      <w:marTop w:val="0"/>
      <w:marBottom w:val="0"/>
      <w:divBdr>
        <w:top w:val="none" w:sz="0" w:space="0" w:color="auto"/>
        <w:left w:val="none" w:sz="0" w:space="0" w:color="auto"/>
        <w:bottom w:val="none" w:sz="0" w:space="0" w:color="auto"/>
        <w:right w:val="none" w:sz="0" w:space="0" w:color="auto"/>
      </w:divBdr>
    </w:div>
    <w:div w:id="2121027356">
      <w:bodyDiv w:val="1"/>
      <w:marLeft w:val="0"/>
      <w:marRight w:val="0"/>
      <w:marTop w:val="0"/>
      <w:marBottom w:val="0"/>
      <w:divBdr>
        <w:top w:val="none" w:sz="0" w:space="0" w:color="auto"/>
        <w:left w:val="none" w:sz="0" w:space="0" w:color="auto"/>
        <w:bottom w:val="none" w:sz="0" w:space="0" w:color="auto"/>
        <w:right w:val="none" w:sz="0" w:space="0" w:color="auto"/>
      </w:divBdr>
    </w:div>
    <w:div w:id="2132429991">
      <w:bodyDiv w:val="1"/>
      <w:marLeft w:val="0"/>
      <w:marRight w:val="0"/>
      <w:marTop w:val="0"/>
      <w:marBottom w:val="0"/>
      <w:divBdr>
        <w:top w:val="none" w:sz="0" w:space="0" w:color="auto"/>
        <w:left w:val="none" w:sz="0" w:space="0" w:color="auto"/>
        <w:bottom w:val="none" w:sz="0" w:space="0" w:color="auto"/>
        <w:right w:val="none" w:sz="0" w:space="0" w:color="auto"/>
      </w:divBdr>
    </w:div>
    <w:div w:id="2145079748">
      <w:bodyDiv w:val="1"/>
      <w:marLeft w:val="0"/>
      <w:marRight w:val="0"/>
      <w:marTop w:val="0"/>
      <w:marBottom w:val="0"/>
      <w:divBdr>
        <w:top w:val="none" w:sz="0" w:space="0" w:color="auto"/>
        <w:left w:val="none" w:sz="0" w:space="0" w:color="auto"/>
        <w:bottom w:val="none" w:sz="0" w:space="0" w:color="auto"/>
        <w:right w:val="none" w:sz="0" w:space="0" w:color="auto"/>
      </w:divBdr>
    </w:div>
    <w:div w:id="214711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ddc.ministeriopublico.pt/sites/default/files/os_direitos_crianca_catarina_albuquerque.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hdl.handle.net/11328/36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dl.handle.net/11328/250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hdl.handle.net/11328/1461" TargetMode="External"/><Relationship Id="rId4" Type="http://schemas.openxmlformats.org/officeDocument/2006/relationships/settings" Target="settings.xml"/><Relationship Id="rId9" Type="http://schemas.openxmlformats.org/officeDocument/2006/relationships/hyperlink" Target="https://hdl.handle.net/11328/5319"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hdl.handle.net/11328/5319" TargetMode="External"/><Relationship Id="rId3" Type="http://schemas.openxmlformats.org/officeDocument/2006/relationships/hyperlink" Target="http://hdl.handle.net/11328/3608" TargetMode="External"/><Relationship Id="rId7" Type="http://schemas.openxmlformats.org/officeDocument/2006/relationships/hyperlink" Target="https://eur-lex.europa.eu/collection/eu-law/treaties/treaties-force.html" TargetMode="External"/><Relationship Id="rId2" Type="http://schemas.openxmlformats.org/officeDocument/2006/relationships/hyperlink" Target="mailto:%3Eimmvdfbc@upt.pt" TargetMode="External"/><Relationship Id="rId1" Type="http://schemas.openxmlformats.org/officeDocument/2006/relationships/hyperlink" Target="mailto:DRA@UPT.PT" TargetMode="External"/><Relationship Id="rId6" Type="http://schemas.openxmlformats.org/officeDocument/2006/relationships/hyperlink" Target="https://hdl.handle.net/11328/5319" TargetMode="External"/><Relationship Id="rId5" Type="http://schemas.openxmlformats.org/officeDocument/2006/relationships/hyperlink" Target="http://hdl.handle.net/11328/1461" TargetMode="External"/><Relationship Id="rId4" Type="http://schemas.openxmlformats.org/officeDocument/2006/relationships/hyperlink" Target="https://gddc.ministeriopublico.pt/sites/default/files/os_direitos_crianca_catarina_albuquerqu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Alv22</b:Tag>
    <b:SourceType>ArticleInAPeriodical</b:SourceType>
    <b:Guid>{0903DD62-B438-48D9-911F-DC2AC645701A}</b:Guid>
    <b:Title>A Relevância da Educação na Efetivação dos Direitos das Crianças Consagrados na Europa</b:Title>
    <b:Year>2020</b:Year>
    <b:Author>
      <b:Author>
        <b:NameList>
          <b:Person>
            <b:Last>Alves</b:Last>
            <b:First>Dora</b:First>
            <b:Middle>Resende</b:Middle>
          </b:Person>
          <b:Person>
            <b:Last>Clemente</b:Last>
            <b:First>Márcia</b:First>
          </b:Person>
        </b:NameList>
      </b:Author>
    </b:Author>
    <b:PeriodicalTitle>ELO - Revista do Centro de Formação Francisco de Holanda</b:PeriodicalTitle>
    <b:Pages>77-84</b:Pages>
    <b:URL>http://hdl.handle.net/11328/3315</b:URL>
    <b:Issue>27</b:Issue>
    <b:RefOrder>6</b:RefOrder>
  </b:Source>
  <b:Source>
    <b:Tag>Com</b:Tag>
    <b:SourceType>Misc</b:SourceType>
    <b:Guid>{AECF9359-C5F5-4A22-8DCC-CE49055D5BCF}</b:Guid>
    <b:Author>
      <b:Author>
        <b:Corporate>Comissão das Comunidades Europeias</b:Corporate>
      </b:Author>
    </b:Author>
    <b:Title>Comunicação da Comissão de 04.07.2006, documento COM (2006) 367 final - Rumo a uma estratégia da UE sobre os direitos da criança</b:Title>
    <b:Publisher>Serviço das Publicações da União Europeia</b:Publisher>
    <b:CountryRegion>Luxemburgo</b:CountryRegion>
    <b:URL>https://eur-lex.europa.eu/LexUriServ/LexUriServ.do?uri=COM:2006:0367:FIN:pt:PDF</b:URL>
    <b:RefOrder>7</b:RefOrder>
  </b:Source>
  <b:Source>
    <b:Tag>Sil20</b:Tag>
    <b:SourceType>ConferenceProceedings</b:SourceType>
    <b:Guid>{A4ED8F93-A740-4613-BDE0-5E464A08244B}</b:Guid>
    <b:Author>
      <b:Author>
        <b:NameList>
          <b:Person>
            <b:Last>Silva</b:Last>
            <b:First>M.</b:First>
            <b:Middle>M. M.</b:Middle>
          </b:Person>
          <b:Person>
            <b:Last>Alves</b:Last>
            <b:First>Dora</b:First>
            <b:Middle>Resende</b:Middle>
          </b:Person>
        </b:NameList>
      </b:Author>
    </b:Author>
    <b:Title>European Union law’s proximity to citizens through education and the use of digital technologies</b:Title>
    <b:Year>2020</b:Year>
    <b:ConferenceName>Proceedings 13th International Conference of Education, Research and Innovation</b:ConferenceName>
    <b:URL>http://hdl.handle.net/11328/3268</b:URL>
    <b:RefOrder>8</b:RefOrder>
  </b:Source>
  <b:Source>
    <b:Tag>Sil21</b:Tag>
    <b:SourceType>ConferenceProceedings</b:SourceType>
    <b:Guid>{ACAEFD43-7961-4DF1-8292-4E316EB4EE78}</b:Guid>
    <b:Author>
      <b:Author>
        <b:NameList>
          <b:Person>
            <b:Last>Silva</b:Last>
            <b:First>M.</b:First>
            <b:Middle>M. M.</b:Middle>
          </b:Person>
          <b:Person>
            <b:Last>Alves</b:Last>
            <b:First>Dora</b:First>
            <b:Middle>Resende</b:Middle>
          </b:Person>
        </b:NameList>
      </b:Author>
    </b:Author>
    <b:Title>Education for access to European Union Law through the use of digital technologies</b:Title>
    <b:Pages>12286-12294</b:Pages>
    <b:Year>2021</b:Year>
    <b:ConferenceName>Proceedings of EDULEARN21 Conference, 13th International Conference on Education and New Learning Technologies</b:ConferenceName>
    <b:URL>http://hdl.handle.net/11328/3624</b:URL>
    <b:DOI>10.21125/edulearn.2021.2582</b:DOI>
    <b:RefOrder>9</b:RefOrder>
  </b:Source>
  <b:Source>
    <b:Tag>Dor22</b:Tag>
    <b:SourceType>Misc</b:SourceType>
    <b:Guid>{5F9A196F-6228-455D-A33B-EE2D5686C476}</b:Guid>
    <b:Title>Cronologia da Construção Europeia Comunitária - Apontamentos Policopiados</b:Title>
    <b:Year>2022</b:Year>
    <b:Publisher>Universidade Portucalense</b:Publisher>
    <b:Author>
      <b:Author>
        <b:NameList>
          <b:Person>
            <b:Last>Alves</b:Last>
            <b:First>Dora</b:First>
            <b:Middle>Resende</b:Middle>
          </b:Person>
        </b:NameList>
      </b:Author>
    </b:Author>
    <b:City>Porto</b:City>
    <b:RefOrder>1</b:RefOrder>
  </b:Source>
  <b:Source>
    <b:Tag>Fro16</b:Tag>
    <b:SourceType>BookSection</b:SourceType>
    <b:Guid>{44343E84-CBD9-4F3C-80E3-51DD827FE2BA}</b:Guid>
    <b:Author>
      <b:Author>
        <b:NameList>
          <b:Person>
            <b:Last>Froufe</b:Last>
            <b:First>P.</b:First>
            <b:Middle>M.</b:Middle>
          </b:Person>
          <b:Person>
            <b:Last>Gomes</b:Last>
            <b:First>J.</b:First>
            <b:Middle>C.</b:Middle>
          </b:Person>
        </b:NameList>
      </b:Author>
      <b:BookAuthor>
        <b:NameList>
          <b:Person>
            <b:Last>Silveira</b:Last>
            <b:First>A.</b:First>
          </b:Person>
          <b:Person>
            <b:Last>Canotilho</b:Last>
            <b:First>M.</b:First>
          </b:Person>
          <b:Person>
            <b:Last>Froufe</b:Last>
            <b:First>P.</b:First>
            <b:Middle>M.</b:Middle>
          </b:Person>
        </b:NameList>
      </b:BookAuthor>
    </b:Author>
    <b:Title>Mercado interno e concorrência</b:Title>
    <b:BookTitle>Direito da União Europeia, elementos de direito e políticas públicas</b:BookTitle>
    <b:Year>2016</b:Year>
    <b:Pages>449-504</b:Pages>
    <b:Publisher>Almedina</b:Publisher>
    <b:RefOrder>2</b:RefOrder>
  </b:Source>
  <b:Source>
    <b:Tag>Mar13</b:Tag>
    <b:SourceType>BookSection</b:SourceType>
    <b:Guid>{AE8FE233-1C3D-4816-B0FE-CFAFADC1E269}</b:Guid>
    <b:Title>Anotação ao art. 24.º</b:Title>
    <b:Year>2013</b:Year>
    <b:City>Coimbra</b:City>
    <b:Publisher>Almedina</b:Publisher>
    <b:Author>
      <b:Author>
        <b:NameList>
          <b:Person>
            <b:Last>Martins</b:Last>
            <b:First>Rosa</b:First>
            <b:Middle>Cândido</b:Middle>
          </b:Person>
        </b:NameList>
      </b:Author>
      <b:BookAuthor>
        <b:NameList>
          <b:Person>
            <b:Last>Canotilho</b:Last>
            <b:First>Mariana</b:First>
          </b:Person>
          <b:Person>
            <b:Last>Silveira</b:Last>
            <b:First>Alessandra</b:First>
          </b:Person>
        </b:NameList>
      </b:BookAuthor>
    </b:Author>
    <b:BookTitle>Carta de Direitos Fundamentais da União Europeia Comentada</b:BookTitle>
    <b:RefOrder>5</b:RefOrder>
  </b:Source>
  <b:Source>
    <b:Tag>Alv21</b:Tag>
    <b:SourceType>BookSection</b:SourceType>
    <b:Guid>{560AAEF0-9E82-442D-8A18-0C1E27D20817}</b:Guid>
    <b:Title>De que falamos quando falamos de direitos fundamentais?</b:Title>
    <b:Year>2021</b:Year>
    <b:Publisher>Imprensa Universidade de Coimbra</b:Publisher>
    <b:Author>
      <b:Author>
        <b:NameList>
          <b:Person>
            <b:Last>Alves</b:Last>
            <b:First>Dora</b:First>
            <b:Middle>Resende</b:Middle>
          </b:Person>
          <b:Person>
            <b:Last>Pacheco</b:Last>
            <b:First>Fátima</b:First>
          </b:Person>
        </b:NameList>
      </b:Author>
      <b:BookAuthor>
        <b:NameList>
          <b:Person>
            <b:Last>Xavier</b:Last>
            <b:First>J.</b:First>
            <b:Middle>P.</b:Middle>
          </b:Person>
          <b:Person>
            <b:Last>Albuquerque</b:Last>
            <b:First>C.</b:First>
            <b:Middle>P.</b:Middle>
          </b:Person>
          <b:Person>
            <b:Last>Simões</b:Last>
            <b:First>J.</b:First>
          </b:Person>
          <b:Person>
            <b:Last>Cruz</b:Last>
            <b:First>M.</b:First>
            <b:Middle>T. L.</b:Middle>
          </b:Person>
        </b:NameList>
      </b:BookAuthor>
    </b:Author>
    <b:BookTitle>Past, Present and Future of Human Rights: After the 70th Anniversary of the Universal Declaration of Human Rights 1948-2018</b:BookTitle>
    <b:Pages>61-86</b:Pages>
    <b:URL>http://hdl.handle.net/11328/3736</b:URL>
    <b:RefOrder>3</b:RefOrder>
  </b:Source>
  <b:Source>
    <b:Tag>Pac15</b:Tag>
    <b:SourceType>Misc</b:SourceType>
    <b:Guid>{EB59C240-D5E9-4F26-9E79-8D1CBCC9587F}</b:Guid>
    <b:Title>Entre limites e expansibilidade: as disposições horizontais da Carta dos Direitos Fundamentais da União Europeia</b:Title>
    <b:Year>2015</b:Year>
    <b:Author>
      <b:Author>
        <b:NameList>
          <b:Person>
            <b:Last>Pacheco</b:Last>
            <b:First>Fátima</b:First>
          </b:Person>
        </b:NameList>
      </b:Author>
    </b:Author>
    <b:PublicationTitle>Tese de Doutoramento</b:PublicationTitle>
    <b:Publisher>Universidade Católica</b:Publisher>
    <b:RefOrder>4</b:RefOrder>
  </b:Source>
</b:Sources>
</file>

<file path=customXml/itemProps1.xml><?xml version="1.0" encoding="utf-8"?>
<ds:datastoreItem xmlns:ds="http://schemas.openxmlformats.org/officeDocument/2006/customXml" ds:itemID="{113C2D64-BA4C-4BDF-B279-7AA8C29A0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6620</Words>
  <Characters>35748</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42284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MarciaBento</dc:creator>
  <cp:keywords/>
  <dc:description/>
  <cp:lastModifiedBy>Filipa Maria Sousa Marinho da Silva</cp:lastModifiedBy>
  <cp:revision>2</cp:revision>
  <cp:lastPrinted>2021-08-15T13:08:00Z</cp:lastPrinted>
  <dcterms:created xsi:type="dcterms:W3CDTF">2026-10-19T14:38:00Z</dcterms:created>
  <dcterms:modified xsi:type="dcterms:W3CDTF">2026-10-19T14:38:00Z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1192a9c23a5c9cc3f709fb4922a806c1d2848142bf94e3ad9c86ce05d893d6cd</vt:lpwstr>
  </property>
</Properties>
</file>