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218D" w:rsidRDefault="00D0218D" w:rsidP="002040AD">
      <w:pPr>
        <w:spacing w:line="360" w:lineRule="auto"/>
        <w:jc w:val="both"/>
      </w:pPr>
    </w:p>
    <w:p w:rsidR="00D0218D" w:rsidRDefault="00D0218D" w:rsidP="0071236B">
      <w:pPr>
        <w:pStyle w:val="Ttulo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:rsidR="00D0218D" w:rsidRDefault="00D0218D" w:rsidP="002040AD">
      <w:pPr>
        <w:pStyle w:val="Ttulo3"/>
        <w:shd w:val="clear" w:color="auto" w:fill="FFFFFF"/>
        <w:tabs>
          <w:tab w:val="left" w:pos="195"/>
        </w:tabs>
        <w:spacing w:before="0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  <w:r>
        <w:rPr>
          <w:rFonts w:ascii="Times New Roman" w:hAnsi="Times New Roman" w:cs="Times New Roman"/>
          <w:b/>
          <w:bCs/>
          <w:sz w:val="18"/>
          <w:szCs w:val="18"/>
          <w:lang w:val="es-ES_tradnl"/>
        </w:rPr>
        <w:tab/>
      </w:r>
    </w:p>
    <w:p w:rsidR="00D0218D" w:rsidRDefault="00D0218D" w:rsidP="0071236B">
      <w:pPr>
        <w:pStyle w:val="Ttulo3"/>
        <w:shd w:val="clear" w:color="auto" w:fill="FFFFFF"/>
        <w:spacing w:before="0"/>
        <w:jc w:val="right"/>
        <w:textAlignment w:val="baseline"/>
        <w:rPr>
          <w:rFonts w:ascii="Times New Roman" w:hAnsi="Times New Roman" w:cs="Times New Roman"/>
          <w:b/>
          <w:bCs/>
          <w:sz w:val="18"/>
          <w:szCs w:val="18"/>
          <w:lang w:val="es-ES_tradnl"/>
        </w:rPr>
      </w:pPr>
    </w:p>
    <w:p w:rsidR="00E3030D" w:rsidRPr="004D3B16" w:rsidRDefault="00E3030D" w:rsidP="00E3030D">
      <w:pPr>
        <w:pStyle w:val="PargrafodaLista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3B16">
        <w:rPr>
          <w:rFonts w:ascii="Times New Roman" w:hAnsi="Times New Roman" w:cs="Times New Roman"/>
          <w:b/>
          <w:sz w:val="28"/>
          <w:szCs w:val="28"/>
        </w:rPr>
        <w:t xml:space="preserve">CONGRESSO SOBRE A CONVENÇÃO EUROPEIA DOS DIREITOS HUMANOS </w:t>
      </w:r>
    </w:p>
    <w:p w:rsidR="00E3030D" w:rsidRPr="004D3B16" w:rsidRDefault="00E3030D" w:rsidP="00E3030D">
      <w:pPr>
        <w:pStyle w:val="PargrafodaLista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3B16">
        <w:rPr>
          <w:rFonts w:ascii="Times New Roman" w:hAnsi="Times New Roman" w:cs="Times New Roman"/>
          <w:b/>
          <w:sz w:val="28"/>
          <w:szCs w:val="28"/>
        </w:rPr>
        <w:t xml:space="preserve">E OS PROTOCOLOS ADICIONAIS </w:t>
      </w:r>
    </w:p>
    <w:p w:rsidR="00E3030D" w:rsidRDefault="00E3030D" w:rsidP="00E3030D">
      <w:pPr>
        <w:pStyle w:val="PargrafodaList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0D" w:rsidRPr="004D3B16" w:rsidRDefault="00E3030D" w:rsidP="00E3030D">
      <w:pPr>
        <w:pStyle w:val="PargrafodaLista"/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4D3B16">
        <w:rPr>
          <w:rFonts w:ascii="Times New Roman" w:hAnsi="Times New Roman" w:cs="Times New Roman"/>
          <w:b/>
          <w:sz w:val="20"/>
          <w:szCs w:val="20"/>
        </w:rPr>
        <w:t xml:space="preserve">(organização científica: PAULO PINTO DE </w:t>
      </w:r>
      <w:proofErr w:type="gramStart"/>
      <w:r w:rsidRPr="004D3B16">
        <w:rPr>
          <w:rFonts w:ascii="Times New Roman" w:hAnsi="Times New Roman" w:cs="Times New Roman"/>
          <w:b/>
          <w:sz w:val="20"/>
          <w:szCs w:val="20"/>
        </w:rPr>
        <w:t>ALBUQUERQUE )</w:t>
      </w:r>
      <w:proofErr w:type="gramEnd"/>
    </w:p>
    <w:p w:rsidR="007C3021" w:rsidRDefault="007C3021" w:rsidP="00E3030D">
      <w:pPr>
        <w:pStyle w:val="PargrafodaLista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3021" w:rsidRDefault="008B0C5E" w:rsidP="007C3021">
      <w:hyperlink r:id="rId7" w:history="1">
        <w:r w:rsidR="007C3021">
          <w:rPr>
            <w:rStyle w:val="Hiperligao"/>
          </w:rPr>
          <w:t xml:space="preserve">Porto, 4 de </w:t>
        </w:r>
        <w:proofErr w:type="gramStart"/>
        <w:r w:rsidR="007C3021">
          <w:rPr>
            <w:rStyle w:val="Hiperligao"/>
          </w:rPr>
          <w:t>Junho</w:t>
        </w:r>
        <w:proofErr w:type="gramEnd"/>
      </w:hyperlink>
      <w:r w:rsidR="007C3021">
        <w:t xml:space="preserve"> | Escola de Direito do Porto da Universidade Católica Portuguesa </w:t>
      </w:r>
    </w:p>
    <w:p w:rsidR="007C3021" w:rsidRDefault="008B0C5E" w:rsidP="007C3021">
      <w:hyperlink r:id="rId8" w:history="1">
        <w:r w:rsidR="007C3021">
          <w:rPr>
            <w:rStyle w:val="Hiperligao"/>
          </w:rPr>
          <w:t xml:space="preserve">Lisboa, 5 de </w:t>
        </w:r>
        <w:proofErr w:type="gramStart"/>
        <w:r w:rsidR="007C3021">
          <w:rPr>
            <w:rStyle w:val="Hiperligao"/>
          </w:rPr>
          <w:t>Junho</w:t>
        </w:r>
        <w:proofErr w:type="gramEnd"/>
      </w:hyperlink>
      <w:r w:rsidR="007C3021">
        <w:t xml:space="preserve"> | Faculdade de Direito da Universidade de Lisboa</w:t>
      </w:r>
    </w:p>
    <w:p w:rsidR="007C3021" w:rsidRDefault="008B0C5E" w:rsidP="007C3021">
      <w:hyperlink r:id="rId9" w:history="1">
        <w:r w:rsidR="007C3021">
          <w:rPr>
            <w:rStyle w:val="Hiperligao"/>
          </w:rPr>
          <w:t xml:space="preserve">Lisboa, 6 de </w:t>
        </w:r>
        <w:proofErr w:type="gramStart"/>
        <w:r w:rsidR="007C3021">
          <w:rPr>
            <w:rStyle w:val="Hiperligao"/>
          </w:rPr>
          <w:t>Junho</w:t>
        </w:r>
        <w:proofErr w:type="gramEnd"/>
      </w:hyperlink>
      <w:r w:rsidR="007C3021">
        <w:t xml:space="preserve"> | Escola de Direito de Lisboa da Universidade Católica Portuguesa</w:t>
      </w:r>
    </w:p>
    <w:p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D0218D" w:rsidRPr="006B0A59" w:rsidRDefault="00E672A4" w:rsidP="00E672A4">
      <w:pPr>
        <w:spacing w:line="360" w:lineRule="auto"/>
        <w:jc w:val="center"/>
        <w:rPr>
          <w:sz w:val="22"/>
          <w:szCs w:val="22"/>
          <w:u w:val="single"/>
          <w:lang w:val="es-ES_tradnl"/>
        </w:rPr>
      </w:pPr>
      <w:r>
        <w:rPr>
          <w:rFonts w:ascii="Arial" w:hAnsi="Arial" w:cs="Arial"/>
          <w:noProof/>
          <w:color w:val="1A0DAB"/>
          <w:sz w:val="20"/>
          <w:szCs w:val="20"/>
          <w:bdr w:val="none" w:sz="0" w:space="0" w:color="auto" w:frame="1"/>
        </w:rPr>
        <w:drawing>
          <wp:inline distT="0" distB="0" distL="0" distR="0">
            <wp:extent cx="4327499" cy="1619250"/>
            <wp:effectExtent l="0" t="0" r="0" b="0"/>
            <wp:docPr id="1" name="Imagem 1" descr="Resultado de imagem para tedh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do de imagem para tedh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2686" cy="1624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D0218D" w:rsidRPr="006B0A59" w:rsidRDefault="00D0218D" w:rsidP="00F90ABB">
      <w:pPr>
        <w:spacing w:line="360" w:lineRule="auto"/>
        <w:jc w:val="both"/>
        <w:rPr>
          <w:sz w:val="22"/>
          <w:szCs w:val="22"/>
          <w:u w:val="single"/>
          <w:lang w:val="es-ES_tradnl"/>
        </w:rPr>
      </w:pPr>
    </w:p>
    <w:p w:rsidR="00D0218D" w:rsidRDefault="007D22D9" w:rsidP="000F4FA8">
      <w:pPr>
        <w:spacing w:line="360" w:lineRule="auto"/>
        <w:jc w:val="center"/>
        <w:rPr>
          <w:b/>
        </w:rPr>
      </w:pPr>
      <w:r>
        <w:rPr>
          <w:b/>
        </w:rPr>
        <w:t>AS NOVAS GERAÇÕES DE DIREITOS NA JURISPRUDÊNCIA DO TRIBUNAL EUROPEU DOS DIREITOS HUMANOS: VELHAS RESPOSTAS PARA NOVOS PROBLEMAS – O CONTRIBUTO DA CONVENÇÃO PARA O DIREITO À INSTRUÇÃO</w:t>
      </w:r>
    </w:p>
    <w:p w:rsidR="00D0218D" w:rsidRDefault="00D0218D" w:rsidP="0071236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A5B41" w:rsidRDefault="00D0218D" w:rsidP="004A5B41">
      <w:pPr>
        <w:spacing w:line="360" w:lineRule="auto"/>
        <w:jc w:val="both"/>
      </w:pPr>
      <w:r w:rsidRPr="004E0BFA">
        <w:rPr>
          <w:i/>
          <w:iCs/>
        </w:rPr>
        <w:t xml:space="preserve">Dora Resende Alves   </w:t>
      </w:r>
      <w:hyperlink r:id="rId12" w:history="1">
        <w:r w:rsidR="004A5B41" w:rsidRPr="00E65518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</w:t>
      </w:r>
    </w:p>
    <w:p w:rsidR="004A5B41" w:rsidRDefault="004A5B41" w:rsidP="004A5B41">
      <w:pPr>
        <w:spacing w:line="360" w:lineRule="auto"/>
        <w:jc w:val="both"/>
        <w:rPr>
          <w:sz w:val="20"/>
          <w:szCs w:val="20"/>
        </w:rPr>
      </w:pPr>
      <w:r w:rsidRPr="008D2A9C">
        <w:rPr>
          <w:sz w:val="20"/>
          <w:szCs w:val="20"/>
        </w:rPr>
        <w:t>Universidade Por</w:t>
      </w:r>
      <w:r>
        <w:rPr>
          <w:sz w:val="20"/>
          <w:szCs w:val="20"/>
        </w:rPr>
        <w:t>tucalense Infante D. Henrique, Departamento de Direito, P</w:t>
      </w:r>
      <w:r w:rsidRPr="008D2A9C">
        <w:rPr>
          <w:sz w:val="20"/>
          <w:szCs w:val="20"/>
        </w:rPr>
        <w:t>orto, Portugal</w:t>
      </w:r>
    </w:p>
    <w:p w:rsidR="004A5B41" w:rsidRDefault="004A5B41" w:rsidP="004A5B41">
      <w:pPr>
        <w:spacing w:line="360" w:lineRule="auto"/>
        <w:jc w:val="both"/>
      </w:pPr>
    </w:p>
    <w:p w:rsidR="004A5B41" w:rsidRDefault="004A5B41" w:rsidP="004A5B41">
      <w:pPr>
        <w:jc w:val="both"/>
      </w:pPr>
      <w:r w:rsidRPr="004A5B41">
        <w:rPr>
          <w:i/>
        </w:rPr>
        <w:t>Maria de Fátima de Castro Tavares Monteiro Pacheco</w:t>
      </w:r>
      <w:r>
        <w:t xml:space="preserve"> </w:t>
      </w:r>
      <w:r>
        <w:tab/>
      </w:r>
      <w:hyperlink r:id="rId13" w:history="1">
        <w:r w:rsidRPr="00E65518">
          <w:rPr>
            <w:rStyle w:val="Hiperligao"/>
          </w:rPr>
          <w:t>fatima_pacheco@live.com.pt</w:t>
        </w:r>
      </w:hyperlink>
    </w:p>
    <w:p w:rsidR="004A5B41" w:rsidRDefault="004A5B41" w:rsidP="004A5B41">
      <w:pPr>
        <w:jc w:val="both"/>
      </w:pPr>
    </w:p>
    <w:p w:rsidR="004A5B41" w:rsidRPr="00964728" w:rsidRDefault="004A5B41" w:rsidP="004A5B4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Instituto Superior de Contabilidade e Administração do Porto (ISCAP), </w:t>
      </w:r>
      <w:proofErr w:type="gramStart"/>
      <w:r>
        <w:rPr>
          <w:sz w:val="20"/>
          <w:szCs w:val="20"/>
        </w:rPr>
        <w:t>Politécnico</w:t>
      </w:r>
      <w:proofErr w:type="gramEnd"/>
      <w:r>
        <w:rPr>
          <w:sz w:val="20"/>
          <w:szCs w:val="20"/>
        </w:rPr>
        <w:t xml:space="preserve"> do Porto, Portugal e </w:t>
      </w:r>
      <w:r w:rsidRPr="00EA1D4A">
        <w:rPr>
          <w:sz w:val="20"/>
          <w:szCs w:val="20"/>
        </w:rPr>
        <w:t>JUSGOV (Universidade do Minho)</w:t>
      </w:r>
    </w:p>
    <w:p w:rsidR="00D0218D" w:rsidRDefault="00D0218D" w:rsidP="004A5B41">
      <w:pPr>
        <w:spacing w:line="360" w:lineRule="auto"/>
        <w:jc w:val="both"/>
      </w:pPr>
      <w:r w:rsidRPr="004E0BFA">
        <w:tab/>
      </w:r>
    </w:p>
    <w:p w:rsidR="00D0218D" w:rsidRPr="006B0A59" w:rsidRDefault="00D0218D" w:rsidP="006B0A59">
      <w:pPr>
        <w:spacing w:line="360" w:lineRule="auto"/>
        <w:ind w:firstLine="708"/>
        <w:jc w:val="both"/>
      </w:pPr>
    </w:p>
    <w:p w:rsidR="00D0218D" w:rsidRPr="006B0A59" w:rsidRDefault="00D0218D" w:rsidP="00282214">
      <w:pPr>
        <w:rPr>
          <w:b/>
          <w:bCs/>
        </w:rPr>
      </w:pPr>
    </w:p>
    <w:p w:rsidR="00D0218D" w:rsidRPr="00843F90" w:rsidRDefault="00D0218D" w:rsidP="00282214">
      <w:pPr>
        <w:rPr>
          <w:b/>
          <w:bCs/>
        </w:rPr>
      </w:pPr>
      <w:r w:rsidRPr="00843F90">
        <w:rPr>
          <w:b/>
          <w:bCs/>
        </w:rPr>
        <w:lastRenderedPageBreak/>
        <w:t>Resumo:</w:t>
      </w:r>
      <w:r w:rsidR="001E294F">
        <w:rPr>
          <w:b/>
          <w:bCs/>
        </w:rPr>
        <w:t xml:space="preserve">    </w:t>
      </w:r>
    </w:p>
    <w:p w:rsidR="00D0218D" w:rsidRDefault="00D0218D" w:rsidP="00F90ABB">
      <w:pPr>
        <w:spacing w:line="360" w:lineRule="auto"/>
        <w:ind w:firstLine="708"/>
        <w:jc w:val="both"/>
      </w:pPr>
    </w:p>
    <w:p w:rsidR="00BD0C2E" w:rsidRDefault="00BD0C2E" w:rsidP="00BD0C2E">
      <w:pPr>
        <w:spacing w:line="360" w:lineRule="auto"/>
        <w:ind w:firstLine="708"/>
        <w:jc w:val="both"/>
      </w:pPr>
      <w:r w:rsidRPr="00BD0C2E">
        <w:t xml:space="preserve">Partindo de uma ideia inicial sobre a forma pela qual as novas gerações de direitos e os novos problemas suscitados pelos grupos sociais mais vulneráveis seriam recebidos na jurisprudência do Tribunal Europeu dos Direitos Humanos (TEDH), julga-se encontrar nas velhas respostas da Convenção Europeia dos Direitos Humanos (CEDH) os necessários instrumentos de proteção e inclusão de todos na sociedade europeia. Num trabalho de análise do sistema internacional regional instituído pela CEDH, buscou-se nas decisões do seu tribunal a expansão necessária dos seus dispositivos, rumo à convergência e efetividade do direito internacional regional de proteção dos direitos fundamentais. Focando muito brevemente a sua influência na construção do sistema de proteção de direitos fundamentais da União Europeia (UE) e o direito à instrução – em especial no que concerne à sua aplicação a grupos vulneráveis – foi efetuada uma análise doutrinal e jurisprudencial que permanece em aberto. </w:t>
      </w:r>
    </w:p>
    <w:p w:rsidR="00BD0C2E" w:rsidRDefault="00BD0C2E" w:rsidP="00BD0C2E">
      <w:pPr>
        <w:spacing w:line="360" w:lineRule="auto"/>
        <w:ind w:firstLine="708"/>
        <w:jc w:val="both"/>
      </w:pPr>
      <w:r w:rsidRPr="00DC01E9">
        <w:t>Este trabalho pretende analisar quais as respostas que o sistema internacional</w:t>
      </w:r>
      <w:r>
        <w:t xml:space="preserve"> regional instituído pela atualmente </w:t>
      </w:r>
      <w:r w:rsidRPr="00392BD5">
        <w:t>denominada Convenção Europeia dos Direitos Humanos (CEDH) construiu para</w:t>
      </w:r>
      <w:r>
        <w:t xml:space="preserve"> </w:t>
      </w:r>
      <w:r w:rsidRPr="00BD0C2E">
        <w:t xml:space="preserve">algumas </w:t>
      </w:r>
      <w:r w:rsidRPr="00392BD5">
        <w:t>perguntas:</w:t>
      </w:r>
      <w:r>
        <w:t xml:space="preserve"> q</w:t>
      </w:r>
      <w:r>
        <w:t>ua</w:t>
      </w:r>
      <w:r>
        <w:t>l</w:t>
      </w:r>
      <w:r>
        <w:t xml:space="preserve"> o grau de eficácia dos acórdãos proferidos pelo TEDH nas ordens jurídicas internas</w:t>
      </w:r>
      <w:r>
        <w:t xml:space="preserve">? Qual </w:t>
      </w:r>
      <w:r>
        <w:t>o grau de impacto de tais acórdãos sobre a legislação interna</w:t>
      </w:r>
      <w:r>
        <w:t xml:space="preserve">? </w:t>
      </w:r>
      <w:r w:rsidR="00DC01E9">
        <w:t>Qual a relevância do sistema face a novas realidades sociais, em especial junto às pessoas mais vulneráveis: velhas respostas para novos problemas?</w:t>
      </w:r>
      <w:r w:rsidR="00DC01E9">
        <w:t xml:space="preserve"> Depois limitando a pesquisa a</w:t>
      </w:r>
      <w:r w:rsidR="00DC01E9" w:rsidRPr="009038A6">
        <w:t xml:space="preserve"> novos problemas que se levantam no âmbito de proteção da convencionalidade: </w:t>
      </w:r>
      <w:r w:rsidR="00DC01E9">
        <w:t xml:space="preserve">a </w:t>
      </w:r>
      <w:r w:rsidR="00DC01E9" w:rsidRPr="009038A6">
        <w:t>caminho do universalismo dos direitos fundamentais?</w:t>
      </w:r>
      <w:r w:rsidR="00DC01E9">
        <w:t xml:space="preserve"> Tudo verificando a</w:t>
      </w:r>
      <w:r w:rsidR="00DC01E9">
        <w:t xml:space="preserve"> jurisprudência do TEDH, relativamente a direitos fundamentais não previstos no seu texto original</w:t>
      </w:r>
      <w:r w:rsidR="00DC01E9">
        <w:t>, debruçando o estudo sobre</w:t>
      </w:r>
      <w:r w:rsidR="00DC01E9">
        <w:t xml:space="preserve"> o caso do direito à instrução</w:t>
      </w:r>
      <w:r w:rsidR="00DC01E9">
        <w:t>. E com</w:t>
      </w:r>
      <w:r w:rsidR="00DC01E9">
        <w:t xml:space="preserve"> breve alusão</w:t>
      </w:r>
      <w:r w:rsidR="00DC01E9">
        <w:t xml:space="preserve"> à</w:t>
      </w:r>
      <w:r w:rsidR="00DC01E9" w:rsidRPr="00DC01E9">
        <w:t xml:space="preserve"> </w:t>
      </w:r>
      <w:r w:rsidR="00DC01E9" w:rsidRPr="00C237D8">
        <w:t>influência da CEDH no ordenamento</w:t>
      </w:r>
      <w:r w:rsidR="00DC01E9" w:rsidRPr="00C6511F">
        <w:t xml:space="preserve"> jurídico da União Europeia, em especial, n</w:t>
      </w:r>
      <w:r w:rsidR="00DC01E9">
        <w:t>o conteúdo d</w:t>
      </w:r>
      <w:r w:rsidR="00DC01E9" w:rsidRPr="00C6511F">
        <w:t>a</w:t>
      </w:r>
      <w:r w:rsidR="00DC01E9" w:rsidRPr="00C6511F">
        <w:rPr>
          <w:color w:val="7030A0"/>
        </w:rPr>
        <w:t xml:space="preserve"> </w:t>
      </w:r>
      <w:r w:rsidR="00DC01E9">
        <w:t>Carta dos Direitos Fundamentais da União Europeia</w:t>
      </w:r>
      <w:r w:rsidR="00DC01E9">
        <w:t>.</w:t>
      </w:r>
      <w:r w:rsidR="00DC01E9">
        <w:t xml:space="preserve"> </w:t>
      </w:r>
    </w:p>
    <w:p w:rsidR="00DC01E9" w:rsidRPr="00DC01E9" w:rsidRDefault="00DC01E9" w:rsidP="00DC01E9">
      <w:pPr>
        <w:spacing w:line="360" w:lineRule="auto"/>
        <w:ind w:firstLine="708"/>
        <w:jc w:val="both"/>
      </w:pPr>
      <w:r w:rsidRPr="00DC01E9">
        <w:t>Conclu</w:t>
      </w:r>
      <w:r>
        <w:t>ind</w:t>
      </w:r>
      <w:r w:rsidRPr="00DC01E9">
        <w:t>o que</w:t>
      </w:r>
      <w:r>
        <w:t>,</w:t>
      </w:r>
      <w:r w:rsidRPr="00DC01E9">
        <w:t xml:space="preserve"> não tendo sido pensada para acolher as diversas gerações ou dimensões de direitos, o texto da CEDH pode, apesar disso, permitir acolher algumas dessas manifestações na medida em que o seu teor deva ser interpretado no presente. </w:t>
      </w:r>
    </w:p>
    <w:p w:rsidR="00DC01E9" w:rsidRPr="00145ADE" w:rsidRDefault="00DC01E9" w:rsidP="00DC01E9">
      <w:pPr>
        <w:spacing w:line="360" w:lineRule="auto"/>
        <w:ind w:firstLine="708"/>
        <w:jc w:val="both"/>
      </w:pPr>
      <w:r w:rsidRPr="00DC01E9">
        <w:t>Foram colocadas mais questões do que as resolvidas, numa análise que se pretende como um pequeno contributo que permanece em aberto para uma melhor reflexão futura.</w:t>
      </w:r>
    </w:p>
    <w:p w:rsidR="00DC01E9" w:rsidRPr="00BD0C2E" w:rsidRDefault="00DC01E9" w:rsidP="00DC01E9">
      <w:pPr>
        <w:spacing w:line="360" w:lineRule="auto"/>
        <w:ind w:firstLine="708"/>
        <w:jc w:val="both"/>
      </w:pPr>
    </w:p>
    <w:p w:rsidR="00EE43C0" w:rsidRDefault="00EE43C0" w:rsidP="00EE43C0">
      <w:pPr>
        <w:spacing w:line="360" w:lineRule="auto"/>
        <w:jc w:val="both"/>
      </w:pPr>
    </w:p>
    <w:p w:rsidR="00585075" w:rsidRDefault="00585075" w:rsidP="00EE43C0">
      <w:pPr>
        <w:spacing w:line="360" w:lineRule="auto"/>
        <w:jc w:val="both"/>
        <w:rPr>
          <w:bCs/>
        </w:rPr>
      </w:pPr>
    </w:p>
    <w:p w:rsidR="00C83B17" w:rsidRPr="00C83B17" w:rsidRDefault="00EE43C0" w:rsidP="00C83B17">
      <w:pPr>
        <w:jc w:val="both"/>
      </w:pPr>
      <w:r w:rsidRPr="00485652">
        <w:rPr>
          <w:b/>
          <w:bCs/>
        </w:rPr>
        <w:t>Palavras-chave:</w:t>
      </w:r>
      <w:r w:rsidRPr="00485652">
        <w:rPr>
          <w:bCs/>
        </w:rPr>
        <w:t xml:space="preserve"> </w:t>
      </w:r>
      <w:r w:rsidR="00C83B17" w:rsidRPr="00C83B17">
        <w:t>Convenção Europeia dos Direitos Humanos; Tribunal Europeu dos Direitos Humanos; jurisprudência; minorias; Carta dos Direitos Fundamentais da União Europeia.</w:t>
      </w:r>
    </w:p>
    <w:p w:rsidR="00EE43C0" w:rsidRPr="00C83B17" w:rsidRDefault="00EE43C0" w:rsidP="00C83B17">
      <w:pPr>
        <w:spacing w:line="360" w:lineRule="auto"/>
        <w:jc w:val="both"/>
        <w:rPr>
          <w:bCs/>
        </w:rPr>
      </w:pPr>
    </w:p>
    <w:p w:rsidR="00D0218D" w:rsidRDefault="00D0218D" w:rsidP="001D504A">
      <w:pPr>
        <w:spacing w:line="360" w:lineRule="auto"/>
        <w:jc w:val="both"/>
      </w:pPr>
    </w:p>
    <w:p w:rsidR="001D504A" w:rsidRDefault="001D504A" w:rsidP="001D504A">
      <w:pPr>
        <w:spacing w:line="360" w:lineRule="auto"/>
        <w:jc w:val="both"/>
      </w:pPr>
    </w:p>
    <w:p w:rsidR="001D504A" w:rsidRDefault="001D504A" w:rsidP="001D504A">
      <w:pPr>
        <w:spacing w:line="360" w:lineRule="auto"/>
        <w:jc w:val="both"/>
      </w:pPr>
      <w:bookmarkStart w:id="0" w:name="_GoBack"/>
      <w:bookmarkEnd w:id="0"/>
    </w:p>
    <w:p w:rsidR="00D0218D" w:rsidRDefault="00D0218D" w:rsidP="0071236B">
      <w:pPr>
        <w:spacing w:line="360" w:lineRule="auto"/>
        <w:ind w:firstLine="708"/>
        <w:jc w:val="both"/>
      </w:pPr>
    </w:p>
    <w:p w:rsidR="00D0218D" w:rsidRDefault="00D0218D" w:rsidP="0071236B">
      <w:pPr>
        <w:spacing w:line="360" w:lineRule="auto"/>
        <w:ind w:firstLine="708"/>
        <w:jc w:val="both"/>
      </w:pPr>
    </w:p>
    <w:sectPr w:rsidR="00D0218D" w:rsidSect="006A46B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0C5E" w:rsidRDefault="008B0C5E" w:rsidP="007D4EAE">
      <w:r>
        <w:separator/>
      </w:r>
    </w:p>
  </w:endnote>
  <w:endnote w:type="continuationSeparator" w:id="0">
    <w:p w:rsidR="008B0C5E" w:rsidRDefault="008B0C5E" w:rsidP="007D4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0C5E" w:rsidRDefault="008B0C5E" w:rsidP="007D4EAE">
      <w:r>
        <w:separator/>
      </w:r>
    </w:p>
  </w:footnote>
  <w:footnote w:type="continuationSeparator" w:id="0">
    <w:p w:rsidR="008B0C5E" w:rsidRDefault="008B0C5E" w:rsidP="007D4E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ABB"/>
    <w:rsid w:val="00020BC2"/>
    <w:rsid w:val="00022FD6"/>
    <w:rsid w:val="0009297C"/>
    <w:rsid w:val="000A4320"/>
    <w:rsid w:val="000E352B"/>
    <w:rsid w:val="000F4FA8"/>
    <w:rsid w:val="001C478E"/>
    <w:rsid w:val="001D504A"/>
    <w:rsid w:val="001E294F"/>
    <w:rsid w:val="001F1738"/>
    <w:rsid w:val="002030EE"/>
    <w:rsid w:val="002040AD"/>
    <w:rsid w:val="00253539"/>
    <w:rsid w:val="00257FA9"/>
    <w:rsid w:val="00282214"/>
    <w:rsid w:val="00284265"/>
    <w:rsid w:val="002B3E3B"/>
    <w:rsid w:val="00321E76"/>
    <w:rsid w:val="00324F08"/>
    <w:rsid w:val="00337EDF"/>
    <w:rsid w:val="00361328"/>
    <w:rsid w:val="004158AF"/>
    <w:rsid w:val="00427449"/>
    <w:rsid w:val="00493243"/>
    <w:rsid w:val="004A0489"/>
    <w:rsid w:val="004A5B41"/>
    <w:rsid w:val="004D3B16"/>
    <w:rsid w:val="004E0BFA"/>
    <w:rsid w:val="00524437"/>
    <w:rsid w:val="00567E16"/>
    <w:rsid w:val="00585075"/>
    <w:rsid w:val="005924F1"/>
    <w:rsid w:val="005D4574"/>
    <w:rsid w:val="00646BFB"/>
    <w:rsid w:val="00661049"/>
    <w:rsid w:val="006934EF"/>
    <w:rsid w:val="006A46B1"/>
    <w:rsid w:val="006B0A59"/>
    <w:rsid w:val="006B6D01"/>
    <w:rsid w:val="006F54D1"/>
    <w:rsid w:val="0071236B"/>
    <w:rsid w:val="00775C7C"/>
    <w:rsid w:val="007843E6"/>
    <w:rsid w:val="007917B1"/>
    <w:rsid w:val="007C3021"/>
    <w:rsid w:val="007D22D9"/>
    <w:rsid w:val="007D4009"/>
    <w:rsid w:val="007D4EAE"/>
    <w:rsid w:val="007E411B"/>
    <w:rsid w:val="007E5D69"/>
    <w:rsid w:val="00831EBC"/>
    <w:rsid w:val="00843F90"/>
    <w:rsid w:val="00844CE3"/>
    <w:rsid w:val="008A4811"/>
    <w:rsid w:val="008B0C5E"/>
    <w:rsid w:val="008D2A9C"/>
    <w:rsid w:val="008E7FFE"/>
    <w:rsid w:val="00915F4D"/>
    <w:rsid w:val="00966F9D"/>
    <w:rsid w:val="009911CA"/>
    <w:rsid w:val="009C57B3"/>
    <w:rsid w:val="009E4724"/>
    <w:rsid w:val="00A0251C"/>
    <w:rsid w:val="00A57059"/>
    <w:rsid w:val="00A77398"/>
    <w:rsid w:val="00A96664"/>
    <w:rsid w:val="00AA606F"/>
    <w:rsid w:val="00AA7D83"/>
    <w:rsid w:val="00AC5DD2"/>
    <w:rsid w:val="00AD2FF1"/>
    <w:rsid w:val="00B21B4C"/>
    <w:rsid w:val="00B369C7"/>
    <w:rsid w:val="00B82FEC"/>
    <w:rsid w:val="00BD0C2E"/>
    <w:rsid w:val="00BD743C"/>
    <w:rsid w:val="00C000BB"/>
    <w:rsid w:val="00C568A6"/>
    <w:rsid w:val="00C608BA"/>
    <w:rsid w:val="00C83B17"/>
    <w:rsid w:val="00C90B8F"/>
    <w:rsid w:val="00CA1061"/>
    <w:rsid w:val="00D0218D"/>
    <w:rsid w:val="00D657AE"/>
    <w:rsid w:val="00DC01E9"/>
    <w:rsid w:val="00DF1FA9"/>
    <w:rsid w:val="00E03059"/>
    <w:rsid w:val="00E04717"/>
    <w:rsid w:val="00E3030D"/>
    <w:rsid w:val="00E672A4"/>
    <w:rsid w:val="00EC665D"/>
    <w:rsid w:val="00ED6672"/>
    <w:rsid w:val="00EE43C0"/>
    <w:rsid w:val="00F34F7C"/>
    <w:rsid w:val="00F64129"/>
    <w:rsid w:val="00F90ABB"/>
    <w:rsid w:val="00FA3EA5"/>
    <w:rsid w:val="00FE3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5C7FEC"/>
  <w15:docId w15:val="{28BE437D-2ABB-4453-B82D-A6F9BA24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90ABB"/>
    <w:rPr>
      <w:rFonts w:ascii="Times New Roman" w:eastAsia="Times New Roman" w:hAnsi="Times New Roman"/>
      <w:sz w:val="24"/>
      <w:szCs w:val="24"/>
    </w:rPr>
  </w:style>
  <w:style w:type="paragraph" w:styleId="Ttulo2">
    <w:name w:val="heading 2"/>
    <w:basedOn w:val="Normal"/>
    <w:next w:val="Normal"/>
    <w:link w:val="Ttulo2Carter"/>
    <w:uiPriority w:val="99"/>
    <w:qFormat/>
    <w:rsid w:val="002040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ter"/>
    <w:uiPriority w:val="99"/>
    <w:qFormat/>
    <w:rsid w:val="0071236B"/>
    <w:pPr>
      <w:keepNext/>
      <w:keepLines/>
      <w:spacing w:before="40" w:line="276" w:lineRule="auto"/>
      <w:outlineLvl w:val="2"/>
    </w:pPr>
    <w:rPr>
      <w:rFonts w:ascii="Calibri Light" w:hAnsi="Calibri Light" w:cs="Calibri Light"/>
      <w:color w:val="1F4D78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link w:val="Ttulo2"/>
    <w:uiPriority w:val="9"/>
    <w:semiHidden/>
    <w:rsid w:val="002C05A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arter">
    <w:name w:val="Título 3 Caráter"/>
    <w:link w:val="Ttulo3"/>
    <w:uiPriority w:val="99"/>
    <w:semiHidden/>
    <w:rsid w:val="0071236B"/>
    <w:rPr>
      <w:rFonts w:ascii="Calibri Light" w:hAnsi="Calibri Light" w:cs="Calibri Light"/>
      <w:color w:val="1F4D78"/>
      <w:sz w:val="24"/>
      <w:szCs w:val="24"/>
    </w:rPr>
  </w:style>
  <w:style w:type="paragraph" w:customStyle="1" w:styleId="font8">
    <w:name w:val="font_8"/>
    <w:basedOn w:val="Normal"/>
    <w:uiPriority w:val="99"/>
    <w:rsid w:val="00282214"/>
    <w:pPr>
      <w:spacing w:before="100" w:beforeAutospacing="1" w:after="100" w:afterAutospacing="1"/>
    </w:pPr>
  </w:style>
  <w:style w:type="character" w:styleId="Hiperligao">
    <w:name w:val="Hyperlink"/>
    <w:uiPriority w:val="99"/>
    <w:rsid w:val="0071236B"/>
    <w:rPr>
      <w:color w:val="0000FF"/>
      <w:u w:val="single"/>
    </w:rPr>
  </w:style>
  <w:style w:type="paragraph" w:customStyle="1" w:styleId="Default">
    <w:name w:val="Default"/>
    <w:uiPriority w:val="99"/>
    <w:rsid w:val="0071236B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Cabealho">
    <w:name w:val="header"/>
    <w:basedOn w:val="Normal"/>
    <w:link w:val="CabealhoCarter"/>
    <w:uiPriority w:val="99"/>
    <w:rsid w:val="0071236B"/>
    <w:pPr>
      <w:tabs>
        <w:tab w:val="center" w:pos="4252"/>
        <w:tab w:val="right" w:pos="8504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CabealhoCarter">
    <w:name w:val="Cabeçalho Caráter"/>
    <w:link w:val="Cabealho"/>
    <w:uiPriority w:val="99"/>
    <w:rsid w:val="0071236B"/>
    <w:rPr>
      <w:rFonts w:ascii="Calibri" w:hAnsi="Calibri" w:cs="Calibri"/>
    </w:rPr>
  </w:style>
  <w:style w:type="paragraph" w:styleId="Textodenotaderodap">
    <w:name w:val="footnote text"/>
    <w:basedOn w:val="Normal"/>
    <w:link w:val="TextodenotaderodapCarter"/>
    <w:rsid w:val="00A96664"/>
    <w:rPr>
      <w:rFonts w:ascii="Arial" w:hAnsi="Arial" w:cs="Arial"/>
      <w:sz w:val="20"/>
      <w:szCs w:val="20"/>
      <w:lang w:eastAsia="en-US"/>
    </w:rPr>
  </w:style>
  <w:style w:type="character" w:customStyle="1" w:styleId="TextodenotaderodapCarter">
    <w:name w:val="Texto de nota de rodapé Caráter"/>
    <w:link w:val="Textodenotaderodap"/>
    <w:rsid w:val="00A96664"/>
    <w:rPr>
      <w:rFonts w:ascii="Arial" w:hAnsi="Arial" w:cs="Arial"/>
      <w:sz w:val="20"/>
      <w:szCs w:val="20"/>
    </w:rPr>
  </w:style>
  <w:style w:type="character" w:styleId="Forte">
    <w:name w:val="Strong"/>
    <w:uiPriority w:val="99"/>
    <w:qFormat/>
    <w:rsid w:val="00337EDF"/>
    <w:rPr>
      <w:b/>
      <w:bCs/>
    </w:rPr>
  </w:style>
  <w:style w:type="character" w:customStyle="1" w:styleId="MenoNoResolvida1">
    <w:name w:val="Menção Não Resolvida1"/>
    <w:basedOn w:val="Tipodeletrapredefinidodopargrafo"/>
    <w:uiPriority w:val="99"/>
    <w:semiHidden/>
    <w:unhideWhenUsed/>
    <w:rsid w:val="00FE35F1"/>
    <w:rPr>
      <w:color w:val="605E5C"/>
      <w:shd w:val="clear" w:color="auto" w:fill="E1DFDD"/>
    </w:rPr>
  </w:style>
  <w:style w:type="character" w:styleId="Refdenotaderodap">
    <w:name w:val="footnote reference"/>
    <w:rsid w:val="007D4EAE"/>
    <w:rPr>
      <w:vertAlign w:val="superscri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646BF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646BF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646BFB"/>
    <w:rPr>
      <w:rFonts w:ascii="Times New Roman" w:eastAsia="Times New Roman" w:hAnsi="Times New Roman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646BF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646BFB"/>
    <w:rPr>
      <w:rFonts w:ascii="Times New Roman" w:eastAsia="Times New Roman" w:hAnsi="Times New Roman"/>
      <w:b/>
      <w:bCs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646B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6BFB"/>
    <w:rPr>
      <w:rFonts w:ascii="Segoe UI" w:eastAsia="Times New Roman" w:hAnsi="Segoe UI" w:cs="Segoe UI"/>
      <w:sz w:val="18"/>
      <w:szCs w:val="18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4A5B41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E3030D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125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oa.pt/media/127813/congresso-tedh_dia5.pdf" TargetMode="External"/><Relationship Id="rId13" Type="http://schemas.openxmlformats.org/officeDocument/2006/relationships/hyperlink" Target="mailto:fatima_pacheco@live.com.p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ortal.oa.pt/media/127812/congresso-tedh_dia4.pdf" TargetMode="External"/><Relationship Id="rId12" Type="http://schemas.openxmlformats.org/officeDocument/2006/relationships/hyperlink" Target="mailto:dra@upt.p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google.pt/url?sa=i&amp;rct=j&amp;q=&amp;esrc=s&amp;source=images&amp;cd=&amp;ved=2ahUKEwiWp5-Vv93iAhWJmBQKHWX5AY0QjRx6BAgBEAU&amp;url=https%3A%2F%2Fapav.pt%2Fapav_v3%2Findex.php%2Fpt%2Fajudar%2F2-uncategorised%2F734-queixa-ao-tribunal-europeu-dos-direitos-humanos-um-direito-com-novas-regras-o-tribunal-europeu-dos-direitos-do-homem&amp;psig=AOvVaw1bqmaikiPEpCmY3wAmaAzy&amp;ust=15602072741415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ortal.oa.pt/media/127814/congressotedh_-dia6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7C1FF-DDF8-4058-9787-B917AF568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596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II Congreso Internacional Comunicación y Pensamiento</vt:lpstr>
    </vt:vector>
  </TitlesOfParts>
  <Company/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II Congreso Internacional Comunicación y Pensamiento</dc:title>
  <dc:subject/>
  <dc:creator>Maria Manuela Dias Marques Magalhaes Silva</dc:creator>
  <cp:keywords/>
  <dc:description/>
  <cp:lastModifiedBy>mdmir</cp:lastModifiedBy>
  <cp:revision>13</cp:revision>
  <dcterms:created xsi:type="dcterms:W3CDTF">2019-06-05T22:48:00Z</dcterms:created>
  <dcterms:modified xsi:type="dcterms:W3CDTF">2019-06-09T23:04:00Z</dcterms:modified>
</cp:coreProperties>
</file>