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tbl>
      <w:tblPr>
        <w:tblStyle w:val="TabelacomGrelha"/>
        <w:tblpPr w:leftFromText="142" w:rightFromText="142" w:vertAnchor="text" w:horzAnchor="margin" w:tblpY="612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226"/>
      </w:tblGrid>
      <w:tr w:rsidR="00DE7ED5" w14:paraId="281C5266" w14:textId="77777777" w:rsidTr="00DE7ED5">
        <w:tc>
          <w:tcPr>
            <w:tcW w:w="6226" w:type="dxa"/>
            <w:tcBorders>
              <w:top w:val="single" w:sz="4" w:space="0" w:color="auto"/>
            </w:tcBorders>
          </w:tcPr>
          <w:p w14:paraId="6314981C" w14:textId="49E1BBBA" w:rsidR="00DE7ED5" w:rsidRPr="00DE7ED5" w:rsidRDefault="00B56186" w:rsidP="00DE7ED5">
            <w:pPr>
              <w:widowControl w:val="0"/>
              <w:spacing w:before="220"/>
              <w:ind w:right="0"/>
              <w:jc w:val="left"/>
              <w:rPr>
                <w:rFonts w:ascii="Helvetica Neue" w:hAnsi="Helvetica Neue"/>
                <w:b/>
                <w:bCs/>
              </w:rPr>
            </w:pPr>
            <w:r w:rsidRPr="00B56186">
              <w:rPr>
                <w:rFonts w:ascii="Helvetica Neue" w:hAnsi="Helvetica Neue"/>
                <w:b/>
                <w:bCs/>
                <w:sz w:val="32"/>
                <w:szCs w:val="32"/>
              </w:rPr>
              <w:t>O impacto da federalização da União Europeia na soberania dos Estados-</w:t>
            </w:r>
            <w:r w:rsidR="005747EA">
              <w:rPr>
                <w:rFonts w:ascii="Helvetica Neue" w:hAnsi="Helvetica Neue"/>
                <w:b/>
                <w:bCs/>
                <w:sz w:val="32"/>
                <w:szCs w:val="32"/>
              </w:rPr>
              <w:t>M</w:t>
            </w:r>
            <w:r w:rsidRPr="00B56186">
              <w:rPr>
                <w:rFonts w:ascii="Helvetica Neue" w:hAnsi="Helvetica Neue"/>
                <w:b/>
                <w:bCs/>
                <w:sz w:val="32"/>
                <w:szCs w:val="32"/>
              </w:rPr>
              <w:t>embros: vantagens e desafios</w:t>
            </w:r>
          </w:p>
        </w:tc>
      </w:tr>
      <w:tr w:rsidR="00DE7ED5" w14:paraId="3448953D" w14:textId="77777777" w:rsidTr="00DE7ED5">
        <w:tc>
          <w:tcPr>
            <w:tcW w:w="6226" w:type="dxa"/>
          </w:tcPr>
          <w:p w14:paraId="6191DFEE" w14:textId="206029A9" w:rsidR="00DE7ED5" w:rsidRPr="00DE7ED5" w:rsidRDefault="00DE7ED5" w:rsidP="00DE7ED5">
            <w:pPr>
              <w:widowControl w:val="0"/>
              <w:spacing w:before="100"/>
              <w:ind w:right="0"/>
              <w:jc w:val="left"/>
            </w:pPr>
          </w:p>
        </w:tc>
      </w:tr>
      <w:tr w:rsidR="00DE7ED5" w14:paraId="01469100" w14:textId="77777777" w:rsidTr="00DE7ED5">
        <w:tc>
          <w:tcPr>
            <w:tcW w:w="6226" w:type="dxa"/>
          </w:tcPr>
          <w:p w14:paraId="5F920E97" w14:textId="28C06261" w:rsidR="00DE7ED5" w:rsidRPr="00DE7ED5" w:rsidRDefault="00B56186" w:rsidP="00DE7ED5">
            <w:pPr>
              <w:widowControl w:val="0"/>
              <w:spacing w:before="900"/>
              <w:ind w:right="0"/>
              <w:jc w:val="left"/>
              <w:rPr>
                <w:rFonts w:ascii="Helvetica Neue" w:hAnsi="Helvetica Neue"/>
                <w:b/>
                <w:bCs/>
              </w:rPr>
            </w:pPr>
            <w:r>
              <w:rPr>
                <w:rFonts w:ascii="Helvetica Neue" w:hAnsi="Helvetica Neue"/>
                <w:b/>
                <w:bCs/>
              </w:rPr>
              <w:t>Lucas Oliveira de Mesquita Diniz</w:t>
            </w:r>
          </w:p>
        </w:tc>
      </w:tr>
      <w:tr w:rsidR="00DE7ED5" w14:paraId="25806B64" w14:textId="77777777" w:rsidTr="00DE7ED5">
        <w:tc>
          <w:tcPr>
            <w:tcW w:w="6226" w:type="dxa"/>
            <w:tcBorders>
              <w:bottom w:val="single" w:sz="4" w:space="0" w:color="auto"/>
            </w:tcBorders>
          </w:tcPr>
          <w:p w14:paraId="0B354DD2" w14:textId="162A11B1" w:rsidR="00DE7ED5" w:rsidRPr="00DE7ED5" w:rsidRDefault="00DE7ED5" w:rsidP="00DE7ED5">
            <w:pPr>
              <w:spacing w:before="300" w:line="240" w:lineRule="exact"/>
              <w:rPr>
                <w:sz w:val="16"/>
                <w:szCs w:val="16"/>
              </w:rPr>
            </w:pPr>
            <w:r w:rsidRPr="00DE7ED5">
              <w:rPr>
                <w:sz w:val="16"/>
                <w:szCs w:val="16"/>
              </w:rPr>
              <w:t>Dissertação de Mestrado em</w:t>
            </w:r>
            <w:r w:rsidR="00B56186">
              <w:rPr>
                <w:sz w:val="16"/>
                <w:szCs w:val="16"/>
              </w:rPr>
              <w:t xml:space="preserve"> Ciências Jurídico-</w:t>
            </w:r>
            <w:r w:rsidR="00351C6C">
              <w:rPr>
                <w:sz w:val="16"/>
                <w:szCs w:val="16"/>
              </w:rPr>
              <w:t>P</w:t>
            </w:r>
            <w:r w:rsidR="00B56186">
              <w:rPr>
                <w:sz w:val="16"/>
                <w:szCs w:val="16"/>
              </w:rPr>
              <w:t>olíticas</w:t>
            </w:r>
          </w:p>
          <w:p w14:paraId="16F73A33" w14:textId="287F08A1" w:rsidR="00DE7ED5" w:rsidRDefault="00B56186" w:rsidP="00DE7ED5">
            <w:pPr>
              <w:widowControl w:val="0"/>
              <w:spacing w:after="220" w:line="240" w:lineRule="exact"/>
              <w:ind w:right="0"/>
              <w:jc w:val="left"/>
            </w:pPr>
            <w:r>
              <w:rPr>
                <w:sz w:val="16"/>
                <w:szCs w:val="16"/>
              </w:rPr>
              <w:t>Fevereiro</w:t>
            </w:r>
            <w:r w:rsidR="00DE7ED5" w:rsidRPr="00DE7ED5">
              <w:rPr>
                <w:sz w:val="16"/>
                <w:szCs w:val="16"/>
              </w:rPr>
              <w:t xml:space="preserve"> de 202</w:t>
            </w:r>
            <w:r>
              <w:rPr>
                <w:sz w:val="16"/>
                <w:szCs w:val="16"/>
              </w:rPr>
              <w:t>6</w:t>
            </w:r>
          </w:p>
        </w:tc>
      </w:tr>
    </w:tbl>
    <w:p w14:paraId="688BE15F" w14:textId="77777777" w:rsidR="0019302D" w:rsidRDefault="0019302D">
      <w:pPr>
        <w:sectPr w:rsidR="0019302D">
          <w:headerReference w:type="even" r:id="rId9"/>
          <w:headerReference w:type="default" r:id="rId10"/>
          <w:footerReference w:type="even" r:id="rId11"/>
          <w:footerReference w:type="default" r:id="rId12"/>
          <w:headerReference w:type="first" r:id="rId13"/>
          <w:footerReference w:type="first" r:id="rId14"/>
          <w:pgSz w:w="11906" w:h="16838"/>
          <w:pgMar w:top="1701" w:right="1701" w:bottom="851" w:left="3969" w:header="567" w:footer="567" w:gutter="0"/>
          <w:pgNumType w:start="0"/>
          <w:cols w:space="720"/>
          <w:titlePg/>
        </w:sectPr>
      </w:pPr>
    </w:p>
    <w:p w14:paraId="5951D992" w14:textId="77777777" w:rsidR="0019302D" w:rsidRDefault="0019302D">
      <w:pPr>
        <w:widowControl w:val="0"/>
        <w:spacing w:before="0" w:line="276" w:lineRule="auto"/>
        <w:ind w:right="0"/>
        <w:jc w:val="left"/>
        <w:rPr>
          <w:sz w:val="18"/>
          <w:szCs w:val="18"/>
        </w:rPr>
      </w:pPr>
    </w:p>
    <w:tbl>
      <w:tblPr>
        <w:tblStyle w:val="16"/>
        <w:tblpPr w:vertAnchor="text" w:tblpY="4535"/>
        <w:tblW w:w="623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6237"/>
      </w:tblGrid>
      <w:tr w:rsidR="0019302D" w14:paraId="13174577" w14:textId="77777777">
        <w:tc>
          <w:tcPr>
            <w:tcW w:w="6237" w:type="dxa"/>
            <w:tcMar>
              <w:top w:w="0" w:type="dxa"/>
              <w:left w:w="0" w:type="dxa"/>
              <w:bottom w:w="0" w:type="dxa"/>
              <w:right w:w="0" w:type="dxa"/>
            </w:tcMar>
          </w:tcPr>
          <w:p w14:paraId="34148AA2" w14:textId="59527181" w:rsidR="0019302D" w:rsidRDefault="006E60C5">
            <w:pPr>
              <w:keepNext/>
              <w:keepLines/>
              <w:pBdr>
                <w:top w:val="nil"/>
                <w:left w:val="nil"/>
                <w:bottom w:val="nil"/>
                <w:right w:val="nil"/>
                <w:between w:val="nil"/>
              </w:pBdr>
              <w:spacing w:before="200" w:line="288" w:lineRule="auto"/>
              <w:ind w:right="0"/>
              <w:rPr>
                <w:rFonts w:ascii="Helvetica Neue" w:eastAsia="Helvetica Neue" w:hAnsi="Helvetica Neue" w:cs="Helvetica Neue"/>
                <w:b/>
                <w:bCs/>
                <w:color w:val="000000"/>
              </w:rPr>
            </w:pPr>
            <w:bookmarkStart w:id="0" w:name="_heading=h.71ajeya8ny6u" w:colFirst="0" w:colLast="0"/>
            <w:bookmarkEnd w:id="0"/>
            <w:r>
              <w:rPr>
                <w:color w:val="000000"/>
              </w:rPr>
              <w:t xml:space="preserve">Dissertação apresentada à Universidade Portucalense Infante D. Henrique para cumprimento dos requisitos necessários à obtenção do grau de Mestre em </w:t>
            </w:r>
            <w:r w:rsidR="00B56186">
              <w:rPr>
                <w:color w:val="000000"/>
              </w:rPr>
              <w:t>Ciências Jurídico-</w:t>
            </w:r>
            <w:r w:rsidR="00351C6C">
              <w:rPr>
                <w:color w:val="000000"/>
              </w:rPr>
              <w:t>P</w:t>
            </w:r>
            <w:r w:rsidR="00B56186">
              <w:rPr>
                <w:color w:val="000000"/>
              </w:rPr>
              <w:t>olíticas</w:t>
            </w:r>
            <w:r>
              <w:rPr>
                <w:color w:val="000000"/>
              </w:rPr>
              <w:t>, realizada sob a orientação científica d</w:t>
            </w:r>
            <w:r w:rsidR="00B56186">
              <w:rPr>
                <w:color w:val="000000"/>
              </w:rPr>
              <w:t>a</w:t>
            </w:r>
            <w:r>
              <w:rPr>
                <w:color w:val="000000"/>
              </w:rPr>
              <w:t xml:space="preserve"> Pr</w:t>
            </w:r>
            <w:r w:rsidR="002C5907">
              <w:rPr>
                <w:color w:val="000000"/>
              </w:rPr>
              <w:t>of.ª</w:t>
            </w:r>
            <w:r>
              <w:rPr>
                <w:color w:val="000000"/>
              </w:rPr>
              <w:t xml:space="preserve"> Doutor</w:t>
            </w:r>
            <w:r w:rsidR="00B56186">
              <w:rPr>
                <w:color w:val="000000"/>
              </w:rPr>
              <w:t>a</w:t>
            </w:r>
            <w:r w:rsidR="00B56186">
              <w:t xml:space="preserve"> </w:t>
            </w:r>
            <w:r w:rsidR="00B56186" w:rsidRPr="00B56186">
              <w:rPr>
                <w:color w:val="000000"/>
              </w:rPr>
              <w:t xml:space="preserve">Dora Resende Alves </w:t>
            </w:r>
            <w:r>
              <w:rPr>
                <w:color w:val="000000"/>
              </w:rPr>
              <w:t>no ano de 20</w:t>
            </w:r>
            <w:r w:rsidR="00B56186">
              <w:rPr>
                <w:color w:val="000000"/>
              </w:rPr>
              <w:t>2</w:t>
            </w:r>
            <w:r w:rsidR="00351C6C">
              <w:rPr>
                <w:color w:val="000000"/>
              </w:rPr>
              <w:t>5</w:t>
            </w:r>
            <w:r>
              <w:rPr>
                <w:color w:val="000000"/>
              </w:rPr>
              <w:t>.</w:t>
            </w:r>
          </w:p>
        </w:tc>
      </w:tr>
    </w:tbl>
    <w:p w14:paraId="7ED0AD2F" w14:textId="77777777" w:rsidR="0019302D" w:rsidRDefault="0019302D">
      <w:pPr>
        <w:keepNext/>
        <w:keepLines/>
        <w:pBdr>
          <w:top w:val="nil"/>
          <w:left w:val="nil"/>
          <w:bottom w:val="nil"/>
          <w:right w:val="nil"/>
          <w:between w:val="nil"/>
        </w:pBdr>
        <w:ind w:right="0"/>
        <w:rPr>
          <w:color w:val="000000"/>
        </w:rPr>
      </w:pPr>
      <w:bookmarkStart w:id="1" w:name="_heading=h.130g3cfgy48" w:colFirst="0" w:colLast="0"/>
      <w:bookmarkEnd w:id="1"/>
    </w:p>
    <w:bookmarkStart w:id="2" w:name="_heading=h.wj6h7rg0ps9v" w:colFirst="0" w:colLast="0" w:displacedByCustomXml="next"/>
    <w:bookmarkEnd w:id="2" w:displacedByCustomXml="next"/>
    <w:sdt>
      <w:sdtPr>
        <w:tag w:val="goog_rdk_1"/>
        <w:id w:val="-1973581623"/>
      </w:sdtPr>
      <w:sdtEndPr/>
      <w:sdtContent>
        <w:p w14:paraId="2690E4CE" w14:textId="77777777" w:rsidR="0019302D" w:rsidRDefault="006E60C5">
          <w:pPr>
            <w:keepNext/>
            <w:keepLines/>
            <w:pBdr>
              <w:top w:val="nil"/>
              <w:left w:val="nil"/>
              <w:bottom w:val="nil"/>
              <w:right w:val="nil"/>
              <w:between w:val="nil"/>
            </w:pBdr>
            <w:spacing w:before="800" w:line="240" w:lineRule="auto"/>
            <w:ind w:left="567" w:right="0"/>
            <w:jc w:val="left"/>
            <w:rPr>
              <w:rFonts w:ascii="Helvetica Neue" w:eastAsia="Helvetica Neue" w:hAnsi="Helvetica Neue" w:cs="Helvetica Neue"/>
              <w:b/>
              <w:bCs/>
              <w:color w:val="000000"/>
            </w:rPr>
          </w:pPr>
          <w:r>
            <w:br w:type="page"/>
          </w:r>
        </w:p>
      </w:sdtContent>
    </w:sdt>
    <w:p w14:paraId="1FA668B6" w14:textId="77777777" w:rsidR="0019302D" w:rsidRDefault="0019302D">
      <w:pPr>
        <w:keepNext/>
        <w:keepLines/>
        <w:pBdr>
          <w:top w:val="nil"/>
          <w:left w:val="nil"/>
          <w:bottom w:val="nil"/>
          <w:right w:val="nil"/>
          <w:between w:val="nil"/>
        </w:pBdr>
        <w:ind w:right="0"/>
        <w:rPr>
          <w:color w:val="000000"/>
          <w:sz w:val="18"/>
          <w:szCs w:val="18"/>
        </w:rPr>
      </w:pPr>
      <w:bookmarkStart w:id="3" w:name="_heading=h.55ttu6a1w6x4" w:colFirst="0" w:colLast="0"/>
      <w:bookmarkEnd w:id="3"/>
    </w:p>
    <w:p w14:paraId="4E0BD898" w14:textId="77777777" w:rsidR="0019302D" w:rsidRDefault="0019302D">
      <w:pPr>
        <w:widowControl w:val="0"/>
        <w:spacing w:before="0" w:line="276" w:lineRule="auto"/>
        <w:ind w:right="0"/>
        <w:jc w:val="left"/>
        <w:rPr>
          <w:sz w:val="18"/>
          <w:szCs w:val="18"/>
        </w:rPr>
      </w:pPr>
    </w:p>
    <w:tbl>
      <w:tblPr>
        <w:tblStyle w:val="15"/>
        <w:tblpPr w:vertAnchor="text" w:tblpY="4535"/>
        <w:tblW w:w="623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6237"/>
      </w:tblGrid>
      <w:tr w:rsidR="0019302D" w14:paraId="71D5C1A6" w14:textId="77777777">
        <w:tc>
          <w:tcPr>
            <w:tcW w:w="6237" w:type="dxa"/>
            <w:tcMar>
              <w:top w:w="0" w:type="dxa"/>
              <w:left w:w="0" w:type="dxa"/>
              <w:bottom w:w="0" w:type="dxa"/>
              <w:right w:w="0" w:type="dxa"/>
            </w:tcMar>
          </w:tcPr>
          <w:p w14:paraId="37812E30" w14:textId="77777777" w:rsidR="0019302D" w:rsidRDefault="006E60C5">
            <w:pPr>
              <w:keepNext/>
              <w:keepLines/>
              <w:pBdr>
                <w:top w:val="nil"/>
                <w:left w:val="nil"/>
                <w:bottom w:val="nil"/>
                <w:right w:val="nil"/>
                <w:between w:val="nil"/>
              </w:pBdr>
              <w:spacing w:before="200" w:line="288" w:lineRule="auto"/>
              <w:ind w:right="0"/>
              <w:jc w:val="left"/>
              <w:rPr>
                <w:rFonts w:ascii="Helvetica Neue" w:eastAsia="Helvetica Neue" w:hAnsi="Helvetica Neue" w:cs="Helvetica Neue"/>
                <w:b/>
                <w:bCs/>
                <w:color w:val="000000"/>
                <w:sz w:val="18"/>
                <w:szCs w:val="18"/>
              </w:rPr>
            </w:pPr>
            <w:bookmarkStart w:id="4" w:name="_heading=h.vd62twwsv1ou" w:colFirst="0" w:colLast="0"/>
            <w:bookmarkEnd w:id="4"/>
            <w:r>
              <w:rPr>
                <w:rFonts w:ascii="Helvetica Neue" w:eastAsia="Helvetica Neue" w:hAnsi="Helvetica Neue" w:cs="Helvetica Neue"/>
                <w:b/>
                <w:bCs/>
                <w:color w:val="000000"/>
                <w:sz w:val="28"/>
                <w:szCs w:val="28"/>
              </w:rPr>
              <w:t>Direitos de autor e condições de utilização do trabalho por terceiros</w:t>
            </w:r>
          </w:p>
        </w:tc>
      </w:tr>
      <w:tr w:rsidR="0019302D" w14:paraId="0CBDA679" w14:textId="77777777">
        <w:tc>
          <w:tcPr>
            <w:tcW w:w="6237" w:type="dxa"/>
            <w:tcMar>
              <w:top w:w="0" w:type="dxa"/>
              <w:left w:w="0" w:type="dxa"/>
              <w:bottom w:w="0" w:type="dxa"/>
              <w:right w:w="0" w:type="dxa"/>
            </w:tcMar>
          </w:tcPr>
          <w:p w14:paraId="3072F1D2" w14:textId="77777777" w:rsidR="0019302D" w:rsidRDefault="006E60C5">
            <w:pPr>
              <w:keepNext/>
              <w:keepLines/>
              <w:pBdr>
                <w:top w:val="nil"/>
                <w:left w:val="nil"/>
                <w:bottom w:val="nil"/>
                <w:right w:val="nil"/>
                <w:between w:val="nil"/>
              </w:pBdr>
              <w:spacing w:before="200" w:line="288" w:lineRule="auto"/>
              <w:ind w:right="0"/>
              <w:rPr>
                <w:color w:val="000000"/>
              </w:rPr>
            </w:pPr>
            <w:bookmarkStart w:id="5" w:name="_heading=h.5wedet955tn3" w:colFirst="0" w:colLast="0"/>
            <w:bookmarkEnd w:id="5"/>
            <w:r>
              <w:rPr>
                <w:color w:val="000000"/>
              </w:rPr>
              <w:t>Este é um trabalho académico que pode ser utilizado por terceiros desde que respeitadas as regras e boas práticas internacionalmente aceites, no que concerne aos direitos de autor e direitos conexos.</w:t>
            </w:r>
          </w:p>
          <w:p w14:paraId="44B3CA26" w14:textId="77777777" w:rsidR="0019302D" w:rsidRDefault="006E60C5">
            <w:pPr>
              <w:keepNext/>
              <w:keepLines/>
              <w:pBdr>
                <w:top w:val="nil"/>
                <w:left w:val="nil"/>
                <w:bottom w:val="nil"/>
                <w:right w:val="nil"/>
                <w:between w:val="nil"/>
              </w:pBdr>
              <w:spacing w:before="100" w:line="288" w:lineRule="auto"/>
              <w:ind w:right="0"/>
              <w:rPr>
                <w:color w:val="000000"/>
              </w:rPr>
            </w:pPr>
            <w:bookmarkStart w:id="6" w:name="_heading=h.bxoblws0r063" w:colFirst="0" w:colLast="0"/>
            <w:bookmarkEnd w:id="6"/>
            <w:r>
              <w:rPr>
                <w:color w:val="000000"/>
              </w:rPr>
              <w:t>Assim, o presente trabalho pode ser utilizado nos termos previstos na licença abaixo indicada.</w:t>
            </w:r>
          </w:p>
          <w:p w14:paraId="405EEADF" w14:textId="77777777" w:rsidR="0019302D" w:rsidRDefault="006E60C5">
            <w:pPr>
              <w:keepNext/>
              <w:keepLines/>
              <w:pBdr>
                <w:top w:val="nil"/>
                <w:left w:val="nil"/>
                <w:bottom w:val="nil"/>
                <w:right w:val="nil"/>
                <w:between w:val="nil"/>
              </w:pBdr>
              <w:spacing w:before="400" w:line="288" w:lineRule="auto"/>
              <w:ind w:right="0"/>
              <w:rPr>
                <w:rFonts w:ascii="Helvetica Neue" w:eastAsia="Helvetica Neue" w:hAnsi="Helvetica Neue" w:cs="Helvetica Neue"/>
                <w:b/>
                <w:bCs/>
                <w:color w:val="000000"/>
                <w:sz w:val="28"/>
                <w:szCs w:val="28"/>
              </w:rPr>
            </w:pPr>
            <w:bookmarkStart w:id="7" w:name="_heading=h.8lrae0p63p53" w:colFirst="0" w:colLast="0"/>
            <w:bookmarkEnd w:id="7"/>
            <w:r>
              <w:rPr>
                <w:noProof/>
                <w:color w:val="000000"/>
                <w:sz w:val="20"/>
                <w:szCs w:val="20"/>
              </w:rPr>
              <w:drawing>
                <wp:inline distT="114300" distB="114300" distL="114300" distR="114300" wp14:anchorId="2DC1699A" wp14:editId="6FFD127B">
                  <wp:extent cx="849899" cy="296177"/>
                  <wp:effectExtent l="0" t="0" r="0" b="0"/>
                  <wp:docPr id="164650257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849899" cy="296177"/>
                          </a:xfrm>
                          <a:prstGeom prst="rect">
                            <a:avLst/>
                          </a:prstGeom>
                          <a:ln/>
                        </pic:spPr>
                      </pic:pic>
                    </a:graphicData>
                  </a:graphic>
                </wp:inline>
              </w:drawing>
            </w:r>
          </w:p>
          <w:p w14:paraId="14654967" w14:textId="77777777" w:rsidR="0019302D" w:rsidRDefault="006E60C5">
            <w:pPr>
              <w:shd w:val="clear" w:color="auto" w:fill="FFFFFF"/>
              <w:spacing w:line="288" w:lineRule="auto"/>
              <w:ind w:right="0"/>
              <w:jc w:val="left"/>
            </w:pPr>
            <w:r>
              <w:rPr>
                <w:rFonts w:ascii="Helvetica Neue" w:eastAsia="Helvetica Neue" w:hAnsi="Helvetica Neue" w:cs="Helvetica Neue"/>
                <w:b/>
                <w:bCs/>
                <w:sz w:val="16"/>
                <w:szCs w:val="16"/>
              </w:rPr>
              <w:t>Atribuição</w:t>
            </w:r>
            <w:r>
              <w:rPr>
                <w:rFonts w:ascii="Helvetica Neue" w:eastAsia="Helvetica Neue" w:hAnsi="Helvetica Neue" w:cs="Helvetica Neue"/>
                <w:b/>
                <w:bCs/>
                <w:sz w:val="16"/>
                <w:szCs w:val="16"/>
              </w:rPr>
              <w:br/>
              <w:t>CC BY</w:t>
            </w:r>
          </w:p>
        </w:tc>
      </w:tr>
      <w:tr w:rsidR="0019302D" w14:paraId="695294C0" w14:textId="77777777">
        <w:tc>
          <w:tcPr>
            <w:tcW w:w="6237" w:type="dxa"/>
            <w:tcMar>
              <w:top w:w="0" w:type="dxa"/>
              <w:left w:w="0" w:type="dxa"/>
              <w:bottom w:w="0" w:type="dxa"/>
              <w:right w:w="0" w:type="dxa"/>
            </w:tcMar>
          </w:tcPr>
          <w:p w14:paraId="62A83052" w14:textId="77777777" w:rsidR="0019302D" w:rsidRDefault="006E60C5">
            <w:pPr>
              <w:spacing w:before="200"/>
              <w:ind w:right="299"/>
              <w:jc w:val="left"/>
            </w:pPr>
            <w:r>
              <w:rPr>
                <w:rFonts w:ascii="Helvetica Neue" w:eastAsia="Helvetica Neue" w:hAnsi="Helvetica Neue" w:cs="Helvetica Neue"/>
                <w:b/>
                <w:bCs/>
                <w:sz w:val="28"/>
                <w:szCs w:val="28"/>
              </w:rPr>
              <w:t>Declaração de Honra</w:t>
            </w:r>
          </w:p>
        </w:tc>
      </w:tr>
      <w:tr w:rsidR="0019302D" w14:paraId="3EE787A5" w14:textId="77777777">
        <w:tc>
          <w:tcPr>
            <w:tcW w:w="6237" w:type="dxa"/>
            <w:tcMar>
              <w:top w:w="0" w:type="dxa"/>
              <w:left w:w="0" w:type="dxa"/>
              <w:bottom w:w="0" w:type="dxa"/>
              <w:right w:w="0" w:type="dxa"/>
            </w:tcMar>
          </w:tcPr>
          <w:p w14:paraId="20217739" w14:textId="77777777" w:rsidR="0019302D" w:rsidRDefault="006E60C5">
            <w:pPr>
              <w:spacing w:before="200" w:line="288" w:lineRule="auto"/>
              <w:ind w:right="0"/>
            </w:pPr>
            <w:r>
              <w:t>Declaro, por minha honra, que o presente trabalho académico foi elaborado por mim próprio(a) e confirmo que não recorri à prática de plágio, nem a qualquer forma de utilização indevida ou falsificação de informações ou resultados, em nenhuma das etapas conducentes à sua elaboração. Mais declaro que conheço e que respeito o Regulamento Pedagógico da Universidade Portucalense Infante D. Henrique.</w:t>
            </w:r>
          </w:p>
        </w:tc>
      </w:tr>
    </w:tbl>
    <w:bookmarkStart w:id="8" w:name="_heading=h.672h88cifpfu" w:colFirst="0" w:colLast="0" w:displacedByCustomXml="next"/>
    <w:bookmarkEnd w:id="8" w:displacedByCustomXml="next"/>
    <w:sdt>
      <w:sdtPr>
        <w:tag w:val="goog_rdk_2"/>
        <w:id w:val="-1197253879"/>
      </w:sdtPr>
      <w:sdtEndPr/>
      <w:sdtContent>
        <w:p w14:paraId="534B98C9" w14:textId="77777777" w:rsidR="0019302D" w:rsidRDefault="006E60C5">
          <w:pPr>
            <w:keepNext/>
            <w:keepLines/>
            <w:pBdr>
              <w:top w:val="nil"/>
              <w:left w:val="nil"/>
              <w:bottom w:val="nil"/>
              <w:right w:val="nil"/>
              <w:between w:val="nil"/>
            </w:pBdr>
            <w:spacing w:before="800" w:line="240" w:lineRule="auto"/>
            <w:ind w:right="0"/>
            <w:jc w:val="left"/>
            <w:rPr>
              <w:color w:val="000000"/>
              <w:sz w:val="18"/>
              <w:szCs w:val="18"/>
            </w:rPr>
          </w:pPr>
          <w:r>
            <w:br w:type="page"/>
          </w:r>
        </w:p>
      </w:sdtContent>
    </w:sdt>
    <w:p w14:paraId="16313AAD" w14:textId="77777777" w:rsidR="0019302D" w:rsidRDefault="0019302D">
      <w:pPr>
        <w:widowControl w:val="0"/>
        <w:spacing w:before="0" w:line="276" w:lineRule="auto"/>
        <w:ind w:right="0"/>
        <w:jc w:val="left"/>
        <w:rPr>
          <w:sz w:val="18"/>
          <w:szCs w:val="18"/>
        </w:rPr>
      </w:pPr>
    </w:p>
    <w:tbl>
      <w:tblPr>
        <w:tblStyle w:val="14"/>
        <w:tblpPr w:vertAnchor="text" w:tblpY="4535"/>
        <w:tblW w:w="623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6237"/>
      </w:tblGrid>
      <w:tr w:rsidR="0019302D" w14:paraId="41B28549" w14:textId="77777777">
        <w:tc>
          <w:tcPr>
            <w:tcW w:w="6237" w:type="dxa"/>
            <w:tcMar>
              <w:top w:w="0" w:type="dxa"/>
              <w:left w:w="0" w:type="dxa"/>
              <w:bottom w:w="0" w:type="dxa"/>
              <w:right w:w="0" w:type="dxa"/>
            </w:tcMar>
          </w:tcPr>
          <w:p w14:paraId="79A4C8A6" w14:textId="77777777" w:rsidR="0019302D" w:rsidRDefault="006E60C5">
            <w:pPr>
              <w:keepNext/>
              <w:keepLines/>
              <w:pBdr>
                <w:top w:val="nil"/>
                <w:left w:val="nil"/>
                <w:bottom w:val="nil"/>
                <w:right w:val="nil"/>
                <w:between w:val="nil"/>
              </w:pBdr>
              <w:spacing w:before="200" w:line="288" w:lineRule="auto"/>
              <w:ind w:right="0"/>
              <w:jc w:val="left"/>
              <w:rPr>
                <w:rFonts w:ascii="Helvetica Neue" w:eastAsia="Helvetica Neue" w:hAnsi="Helvetica Neue" w:cs="Helvetica Neue"/>
                <w:b/>
                <w:bCs/>
                <w:color w:val="000000"/>
                <w:sz w:val="24"/>
                <w:szCs w:val="24"/>
              </w:rPr>
            </w:pPr>
            <w:bookmarkStart w:id="9" w:name="_heading=h.4gcdjb356niz" w:colFirst="0" w:colLast="0"/>
            <w:bookmarkEnd w:id="9"/>
            <w:r>
              <w:rPr>
                <w:rFonts w:ascii="Helvetica Neue" w:eastAsia="Helvetica Neue" w:hAnsi="Helvetica Neue" w:cs="Helvetica Neue"/>
                <w:b/>
                <w:bCs/>
                <w:color w:val="000000"/>
                <w:sz w:val="28"/>
                <w:szCs w:val="28"/>
              </w:rPr>
              <w:t>Declaração de autorização de depósito no repositório institucional</w:t>
            </w:r>
          </w:p>
        </w:tc>
      </w:tr>
      <w:tr w:rsidR="0019302D" w14:paraId="67F8BB39" w14:textId="77777777">
        <w:tc>
          <w:tcPr>
            <w:tcW w:w="6237" w:type="dxa"/>
            <w:tcMar>
              <w:top w:w="0" w:type="dxa"/>
              <w:left w:w="0" w:type="dxa"/>
              <w:bottom w:w="0" w:type="dxa"/>
              <w:right w:w="0" w:type="dxa"/>
            </w:tcMar>
          </w:tcPr>
          <w:p w14:paraId="78B01A75" w14:textId="77777777" w:rsidR="0019302D" w:rsidRDefault="006E60C5">
            <w:pPr>
              <w:spacing w:before="200" w:line="288" w:lineRule="auto"/>
              <w:ind w:right="0"/>
            </w:pPr>
            <w:r>
              <w:t>Declaro, para os devidos efeitos, que concedo gratuitamente à Universidade Portucalense Infante D. Henrique, para além da livre utilização do título e do resumo por mim disponibilizados, autorização para arquivar e tornar acessível aos interessados, nomeadamente através do seu Repositório Institucional, o trabalho supra identificado, de acordo com o seguinte estatuto (assinalar apenas uma opção):</w:t>
            </w:r>
          </w:p>
          <w:p w14:paraId="16F3EBA6" w14:textId="5C85811F" w:rsidR="0019302D" w:rsidRDefault="00B56186">
            <w:pPr>
              <w:spacing w:before="200" w:line="288" w:lineRule="auto"/>
              <w:ind w:left="425" w:right="0" w:hanging="425"/>
            </w:pPr>
            <w:r>
              <w:t>X Disponibilização imediata do texto integral para acesso mundial.</w:t>
            </w:r>
          </w:p>
          <w:p w14:paraId="26A3FD92" w14:textId="77777777" w:rsidR="0019302D" w:rsidRDefault="006E60C5">
            <w:pPr>
              <w:spacing w:before="100" w:line="288" w:lineRule="auto"/>
              <w:ind w:left="284" w:right="0" w:hanging="284"/>
            </w:pPr>
            <w:r>
              <w:t>▢ Disponibilização do texto integral após um período de embargo de</w:t>
            </w:r>
          </w:p>
          <w:p w14:paraId="7C43A1B4" w14:textId="77777777" w:rsidR="0019302D" w:rsidRDefault="006E60C5">
            <w:pPr>
              <w:spacing w:line="288" w:lineRule="auto"/>
              <w:ind w:left="284" w:right="0"/>
            </w:pPr>
            <w:r>
              <w:t>▢   1 ano</w:t>
            </w:r>
          </w:p>
          <w:p w14:paraId="499F6429" w14:textId="77777777" w:rsidR="0019302D" w:rsidRDefault="006E60C5">
            <w:pPr>
              <w:spacing w:line="288" w:lineRule="auto"/>
              <w:ind w:left="284" w:right="0"/>
            </w:pPr>
            <w:r>
              <w:t>▢   2 anos</w:t>
            </w:r>
          </w:p>
          <w:p w14:paraId="02D256C9" w14:textId="77777777" w:rsidR="0019302D" w:rsidRDefault="006E60C5">
            <w:pPr>
              <w:spacing w:line="288" w:lineRule="auto"/>
              <w:ind w:left="284" w:right="0"/>
            </w:pPr>
            <w:r>
              <w:t>▢   3 anos, após o qual autorizo o seu acesso mundial.</w:t>
            </w:r>
          </w:p>
          <w:p w14:paraId="5A5800FC" w14:textId="77777777" w:rsidR="0019302D" w:rsidRDefault="006E60C5">
            <w:pPr>
              <w:spacing w:before="100" w:line="288" w:lineRule="auto"/>
              <w:ind w:left="284" w:right="0" w:hanging="284"/>
            </w:pPr>
            <w:r>
              <w:t>▢ Disponibilização apenas da informação bibliográfica do trabalho (autor, título e resumo).</w:t>
            </w:r>
          </w:p>
          <w:p w14:paraId="7D2AA494" w14:textId="77777777" w:rsidR="0019302D" w:rsidRDefault="006E60C5">
            <w:pPr>
              <w:spacing w:before="200" w:line="288" w:lineRule="auto"/>
              <w:ind w:right="0"/>
            </w:pPr>
            <w:r>
              <w:t>Mais declaro que a subscrição da presente declaração não implica a renúncia à titularidade dos direitos de autor, os quais são pertença do subscritor desta declaração, nem ao direito de usar a obra em trabalhos futuros.</w:t>
            </w:r>
          </w:p>
        </w:tc>
      </w:tr>
    </w:tbl>
    <w:p w14:paraId="4C33647B" w14:textId="77777777" w:rsidR="0019302D" w:rsidRDefault="006E60C5">
      <w:pPr>
        <w:spacing w:before="400"/>
        <w:ind w:right="299"/>
        <w:rPr>
          <w:sz w:val="18"/>
          <w:szCs w:val="18"/>
        </w:rPr>
      </w:pPr>
      <w:r>
        <w:br w:type="page"/>
      </w:r>
    </w:p>
    <w:p w14:paraId="6AA2964D" w14:textId="77777777" w:rsidR="0019302D" w:rsidRDefault="0019302D">
      <w:pPr>
        <w:widowControl w:val="0"/>
        <w:spacing w:before="0" w:line="276" w:lineRule="auto"/>
        <w:ind w:right="0"/>
        <w:jc w:val="left"/>
        <w:rPr>
          <w:sz w:val="18"/>
          <w:szCs w:val="18"/>
        </w:rPr>
      </w:pPr>
    </w:p>
    <w:tbl>
      <w:tblPr>
        <w:tblStyle w:val="13"/>
        <w:tblpPr w:vertAnchor="text" w:tblpY="4535"/>
        <w:tblW w:w="623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6237"/>
      </w:tblGrid>
      <w:tr w:rsidR="0019302D" w14:paraId="42360B29" w14:textId="77777777">
        <w:tc>
          <w:tcPr>
            <w:tcW w:w="6237" w:type="dxa"/>
            <w:tcMar>
              <w:top w:w="0" w:type="dxa"/>
              <w:left w:w="0" w:type="dxa"/>
              <w:bottom w:w="0" w:type="dxa"/>
              <w:right w:w="0" w:type="dxa"/>
            </w:tcMar>
          </w:tcPr>
          <w:p w14:paraId="7A6CFD15" w14:textId="77777777" w:rsidR="0019302D" w:rsidRDefault="006E60C5">
            <w:pPr>
              <w:spacing w:before="200"/>
              <w:ind w:right="299"/>
              <w:jc w:val="left"/>
              <w:rPr>
                <w:sz w:val="24"/>
                <w:szCs w:val="24"/>
              </w:rPr>
            </w:pPr>
            <w:r>
              <w:rPr>
                <w:rFonts w:ascii="Helvetica Neue" w:eastAsia="Helvetica Neue" w:hAnsi="Helvetica Neue" w:cs="Helvetica Neue"/>
                <w:b/>
                <w:bCs/>
                <w:sz w:val="28"/>
                <w:szCs w:val="28"/>
              </w:rPr>
              <w:t>Reconhecimento do uso de tecnologias e ferramentas de Inteligência Artificial (IA) generativa, softwares e outras ferramentas de apoio</w:t>
            </w:r>
          </w:p>
        </w:tc>
      </w:tr>
      <w:tr w:rsidR="0019302D" w14:paraId="01A4495F" w14:textId="77777777">
        <w:tc>
          <w:tcPr>
            <w:tcW w:w="6237" w:type="dxa"/>
            <w:tcMar>
              <w:top w:w="0" w:type="dxa"/>
              <w:left w:w="0" w:type="dxa"/>
              <w:bottom w:w="0" w:type="dxa"/>
              <w:right w:w="0" w:type="dxa"/>
            </w:tcMar>
          </w:tcPr>
          <w:p w14:paraId="09B8D3BE" w14:textId="77777777" w:rsidR="00B56186" w:rsidRDefault="00B56186">
            <w:pPr>
              <w:spacing w:line="288" w:lineRule="auto"/>
              <w:ind w:right="0"/>
            </w:pPr>
          </w:p>
          <w:p w14:paraId="4D52679B" w14:textId="3676E195" w:rsidR="0019302D" w:rsidRDefault="006E60C5">
            <w:pPr>
              <w:spacing w:line="288" w:lineRule="auto"/>
              <w:ind w:right="0"/>
            </w:pPr>
            <w:r>
              <w:t>Reconheço a utilização do ChatGPT 3.5 (Open AI, https://chat.openai.com) para resumir as notas iniciais e para rever o rascunho final, a utilização do Office365 (Microsoft, https://www.office.com) para a escrita do texto.</w:t>
            </w:r>
          </w:p>
          <w:p w14:paraId="37C0FC85" w14:textId="11384334" w:rsidR="0019302D" w:rsidRDefault="0019302D">
            <w:pPr>
              <w:spacing w:line="288" w:lineRule="auto"/>
              <w:ind w:right="0"/>
              <w:jc w:val="left"/>
              <w:rPr>
                <w:sz w:val="26"/>
                <w:szCs w:val="26"/>
              </w:rPr>
            </w:pPr>
          </w:p>
        </w:tc>
      </w:tr>
    </w:tbl>
    <w:p w14:paraId="169F66D4" w14:textId="77777777" w:rsidR="0019302D" w:rsidRDefault="0019302D">
      <w:pPr>
        <w:rPr>
          <w:sz w:val="18"/>
          <w:szCs w:val="18"/>
        </w:rPr>
      </w:pPr>
    </w:p>
    <w:p w14:paraId="7C389806" w14:textId="77777777" w:rsidR="0019302D" w:rsidRDefault="006E60C5">
      <w:pPr>
        <w:spacing w:line="240" w:lineRule="auto"/>
        <w:ind w:right="299"/>
        <w:jc w:val="left"/>
        <w:rPr>
          <w:rFonts w:ascii="Helvetica Neue" w:eastAsia="Helvetica Neue" w:hAnsi="Helvetica Neue" w:cs="Helvetica Neue"/>
          <w:b/>
          <w:bCs/>
        </w:rPr>
      </w:pPr>
      <w:r>
        <w:br w:type="page"/>
      </w:r>
    </w:p>
    <w:tbl>
      <w:tblPr>
        <w:tblStyle w:val="12"/>
        <w:tblpPr w:vertAnchor="text" w:horzAnchor="page" w:tblpX="4591" w:tblpY="-1113"/>
        <w:tblW w:w="623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6237"/>
      </w:tblGrid>
      <w:tr w:rsidR="00B56186" w14:paraId="32D7866F" w14:textId="77777777" w:rsidTr="00B56186">
        <w:tc>
          <w:tcPr>
            <w:tcW w:w="6237" w:type="dxa"/>
            <w:tcMar>
              <w:top w:w="0" w:type="dxa"/>
              <w:left w:w="0" w:type="dxa"/>
              <w:bottom w:w="0" w:type="dxa"/>
              <w:right w:w="0" w:type="dxa"/>
            </w:tcMar>
          </w:tcPr>
          <w:p w14:paraId="2095EDFB" w14:textId="77777777" w:rsidR="00B56186" w:rsidRDefault="00B56186" w:rsidP="00B56186">
            <w:pPr>
              <w:spacing w:before="200" w:line="288" w:lineRule="auto"/>
              <w:ind w:right="0"/>
              <w:rPr>
                <w:sz w:val="18"/>
                <w:szCs w:val="18"/>
              </w:rPr>
            </w:pPr>
            <w:r>
              <w:rPr>
                <w:rFonts w:ascii="Helvetica Neue" w:eastAsia="Helvetica Neue" w:hAnsi="Helvetica Neue" w:cs="Helvetica Neue"/>
                <w:b/>
                <w:bCs/>
                <w:sz w:val="28"/>
                <w:szCs w:val="28"/>
              </w:rPr>
              <w:t>Dedicatória</w:t>
            </w:r>
            <w:r>
              <w:t xml:space="preserve"> </w:t>
            </w:r>
          </w:p>
        </w:tc>
      </w:tr>
      <w:tr w:rsidR="00B56186" w14:paraId="437FF5B2" w14:textId="77777777" w:rsidTr="00B56186">
        <w:tc>
          <w:tcPr>
            <w:tcW w:w="6237" w:type="dxa"/>
            <w:tcMar>
              <w:top w:w="0" w:type="dxa"/>
              <w:left w:w="0" w:type="dxa"/>
              <w:bottom w:w="0" w:type="dxa"/>
              <w:right w:w="0" w:type="dxa"/>
            </w:tcMar>
          </w:tcPr>
          <w:p w14:paraId="55AE1D94" w14:textId="0255B934" w:rsidR="00B56186" w:rsidRDefault="00B56186" w:rsidP="00B56186">
            <w:pPr>
              <w:ind w:right="0"/>
            </w:pPr>
            <w:r>
              <w:t>Dedico esta dissertação aos meus pais,</w:t>
            </w:r>
            <w:r w:rsidR="003618C5">
              <w:t xml:space="preserve"> a</w:t>
            </w:r>
            <w:r>
              <w:t>os meus irmãos, ao meu cunhado e à minha linda sobrinha.</w:t>
            </w:r>
          </w:p>
          <w:p w14:paraId="13B1A1C4" w14:textId="27D29397" w:rsidR="00B56186" w:rsidRDefault="00B56186" w:rsidP="00B56186">
            <w:pPr>
              <w:ind w:right="0"/>
            </w:pPr>
            <w:r>
              <w:t>À minha orientadora, a Prof</w:t>
            </w:r>
            <w:r w:rsidR="002C5907">
              <w:t>.ª</w:t>
            </w:r>
            <w:r>
              <w:t xml:space="preserve"> Doutora Dora Alves, cuja sabedoria e apoio foi essencial para completar não só a minha licenciatura como o meu curso de mestrado.</w:t>
            </w:r>
          </w:p>
          <w:p w14:paraId="20979E5E" w14:textId="5C77A95C" w:rsidR="00B56186" w:rsidRDefault="007C68D6" w:rsidP="00B56186">
            <w:pPr>
              <w:ind w:right="0"/>
            </w:pPr>
            <w:r>
              <w:t>A</w:t>
            </w:r>
            <w:r w:rsidR="003618C5">
              <w:t>o curso de DIREITO, e a</w:t>
            </w:r>
            <w:r w:rsidR="00B56186">
              <w:t xml:space="preserve"> todos os meus estimados colegas de curso, em especial à Inês e à Filipa, que entre imensas e orgulhosas </w:t>
            </w:r>
            <w:r w:rsidR="00153C37">
              <w:t>memórias</w:t>
            </w:r>
            <w:r w:rsidR="00B56186">
              <w:t xml:space="preserve"> fizeram de mim um feliz estudante.</w:t>
            </w:r>
          </w:p>
          <w:p w14:paraId="73A33E88" w14:textId="25F76285" w:rsidR="00B56186" w:rsidRDefault="00B56186" w:rsidP="00B56186">
            <w:pPr>
              <w:ind w:right="0"/>
            </w:pPr>
            <w:r>
              <w:t>A todos os membros do escritório onde realizei o meu estágio para a Ordem dos Advogados</w:t>
            </w:r>
            <w:r w:rsidR="0004609A">
              <w:t>.</w:t>
            </w:r>
          </w:p>
          <w:p w14:paraId="1050A224" w14:textId="2465DF7D" w:rsidR="00153C37" w:rsidRDefault="00153C37" w:rsidP="00B56186">
            <w:pPr>
              <w:ind w:right="0"/>
            </w:pPr>
          </w:p>
          <w:p w14:paraId="41CF6C3C" w14:textId="736522CC" w:rsidR="00153C37" w:rsidRDefault="00153C37" w:rsidP="00B56186">
            <w:pPr>
              <w:ind w:right="0"/>
            </w:pPr>
          </w:p>
          <w:p w14:paraId="58A2E50F" w14:textId="760F2536" w:rsidR="00B56186" w:rsidRDefault="00B56186" w:rsidP="00B56186">
            <w:pPr>
              <w:ind w:right="0"/>
            </w:pPr>
          </w:p>
          <w:p w14:paraId="7C3A61D0" w14:textId="4D632FC0" w:rsidR="00B56186" w:rsidRPr="00153C37" w:rsidRDefault="00B56186" w:rsidP="00B56186">
            <w:pPr>
              <w:ind w:right="0"/>
              <w:rPr>
                <w:b/>
                <w:bCs/>
                <w:i/>
                <w:iCs/>
                <w:sz w:val="24"/>
                <w:szCs w:val="24"/>
              </w:rPr>
            </w:pPr>
            <w:r w:rsidRPr="00153C37">
              <w:rPr>
                <w:b/>
                <w:bCs/>
                <w:i/>
                <w:iCs/>
                <w:sz w:val="24"/>
                <w:szCs w:val="24"/>
              </w:rPr>
              <w:t>"Questa mattina mi sono alzato</w:t>
            </w:r>
          </w:p>
          <w:p w14:paraId="66C761F2" w14:textId="77777777" w:rsidR="00B56186" w:rsidRPr="00153C37" w:rsidRDefault="00B56186" w:rsidP="00B56186">
            <w:pPr>
              <w:ind w:right="0"/>
              <w:rPr>
                <w:b/>
                <w:bCs/>
                <w:i/>
                <w:iCs/>
                <w:sz w:val="24"/>
                <w:szCs w:val="24"/>
              </w:rPr>
            </w:pPr>
            <w:r w:rsidRPr="00153C37">
              <w:rPr>
                <w:b/>
                <w:bCs/>
                <w:i/>
                <w:iCs/>
                <w:sz w:val="24"/>
                <w:szCs w:val="24"/>
              </w:rPr>
              <w:t>O bella ciao, bella ciao</w:t>
            </w:r>
          </w:p>
          <w:p w14:paraId="0A0564A6" w14:textId="77777777" w:rsidR="00B56186" w:rsidRPr="00153C37" w:rsidRDefault="00B56186" w:rsidP="00B56186">
            <w:pPr>
              <w:ind w:right="0"/>
              <w:rPr>
                <w:b/>
                <w:bCs/>
                <w:i/>
                <w:iCs/>
                <w:sz w:val="24"/>
                <w:szCs w:val="24"/>
              </w:rPr>
            </w:pPr>
            <w:r w:rsidRPr="00153C37">
              <w:rPr>
                <w:b/>
                <w:bCs/>
                <w:i/>
                <w:iCs/>
                <w:sz w:val="24"/>
                <w:szCs w:val="24"/>
              </w:rPr>
              <w:t>Bella ciao ciao ciao</w:t>
            </w:r>
          </w:p>
          <w:p w14:paraId="0BF2DEB8" w14:textId="758FB3F3" w:rsidR="00B56186" w:rsidRPr="00153C37" w:rsidRDefault="00B56186" w:rsidP="00B56186">
            <w:pPr>
              <w:ind w:right="0"/>
              <w:rPr>
                <w:b/>
                <w:bCs/>
                <w:i/>
                <w:iCs/>
                <w:sz w:val="24"/>
                <w:szCs w:val="24"/>
              </w:rPr>
            </w:pPr>
            <w:r w:rsidRPr="00153C37">
              <w:rPr>
                <w:b/>
                <w:bCs/>
                <w:i/>
                <w:iCs/>
                <w:sz w:val="24"/>
                <w:szCs w:val="24"/>
              </w:rPr>
              <w:t>Questa mattina mi sono alzato</w:t>
            </w:r>
            <w:r w:rsidR="00153C37">
              <w:rPr>
                <w:noProof/>
              </w:rPr>
              <w:t xml:space="preserve"> </w:t>
            </w:r>
          </w:p>
          <w:p w14:paraId="7F56E4F9" w14:textId="77777777" w:rsidR="00B56186" w:rsidRPr="00153C37" w:rsidRDefault="00B56186" w:rsidP="00B56186">
            <w:pPr>
              <w:ind w:right="0"/>
              <w:rPr>
                <w:b/>
                <w:bCs/>
                <w:i/>
                <w:iCs/>
                <w:sz w:val="24"/>
                <w:szCs w:val="24"/>
              </w:rPr>
            </w:pPr>
            <w:r w:rsidRPr="00153C37">
              <w:rPr>
                <w:b/>
                <w:bCs/>
                <w:i/>
                <w:iCs/>
                <w:sz w:val="24"/>
                <w:szCs w:val="24"/>
              </w:rPr>
              <w:t>Ed ho trovato l'invasor</w:t>
            </w:r>
          </w:p>
          <w:p w14:paraId="439B2423" w14:textId="37D1E91C" w:rsidR="00B56186" w:rsidRPr="00153C37" w:rsidRDefault="00B56186" w:rsidP="00B56186">
            <w:pPr>
              <w:ind w:right="0"/>
              <w:rPr>
                <w:b/>
                <w:bCs/>
                <w:i/>
                <w:iCs/>
                <w:sz w:val="24"/>
                <w:szCs w:val="24"/>
              </w:rPr>
            </w:pPr>
            <w:r w:rsidRPr="00153C37">
              <w:rPr>
                <w:b/>
                <w:bCs/>
                <w:i/>
                <w:iCs/>
                <w:sz w:val="24"/>
                <w:szCs w:val="24"/>
              </w:rPr>
              <w:t>O partigiano portami via</w:t>
            </w:r>
          </w:p>
          <w:p w14:paraId="31C619F9" w14:textId="1D69CDE6" w:rsidR="00B56186" w:rsidRPr="00153C37" w:rsidRDefault="00B56186" w:rsidP="00B56186">
            <w:pPr>
              <w:ind w:right="0"/>
              <w:rPr>
                <w:b/>
                <w:bCs/>
                <w:i/>
                <w:iCs/>
                <w:sz w:val="24"/>
                <w:szCs w:val="24"/>
              </w:rPr>
            </w:pPr>
            <w:r w:rsidRPr="00153C37">
              <w:rPr>
                <w:b/>
                <w:bCs/>
                <w:i/>
                <w:iCs/>
                <w:sz w:val="24"/>
                <w:szCs w:val="24"/>
              </w:rPr>
              <w:t>O bella ciao, bella ciao</w:t>
            </w:r>
          </w:p>
          <w:p w14:paraId="17DF3555" w14:textId="3A917642" w:rsidR="00B56186" w:rsidRPr="00153C37" w:rsidRDefault="00B56186" w:rsidP="00B56186">
            <w:pPr>
              <w:ind w:right="0"/>
              <w:rPr>
                <w:b/>
                <w:bCs/>
                <w:i/>
                <w:iCs/>
                <w:sz w:val="24"/>
                <w:szCs w:val="24"/>
              </w:rPr>
            </w:pPr>
            <w:r w:rsidRPr="00153C37">
              <w:rPr>
                <w:b/>
                <w:bCs/>
                <w:i/>
                <w:iCs/>
                <w:sz w:val="24"/>
                <w:szCs w:val="24"/>
              </w:rPr>
              <w:t>Bella ciao ciao ciao</w:t>
            </w:r>
          </w:p>
          <w:p w14:paraId="690DC97B" w14:textId="0AE71567" w:rsidR="00B56186" w:rsidRPr="00153C37" w:rsidRDefault="00B56186" w:rsidP="00B56186">
            <w:pPr>
              <w:ind w:right="0"/>
              <w:rPr>
                <w:b/>
                <w:bCs/>
                <w:i/>
                <w:iCs/>
                <w:sz w:val="24"/>
                <w:szCs w:val="24"/>
              </w:rPr>
            </w:pPr>
            <w:r w:rsidRPr="00153C37">
              <w:rPr>
                <w:b/>
                <w:bCs/>
                <w:i/>
                <w:iCs/>
                <w:sz w:val="24"/>
                <w:szCs w:val="24"/>
              </w:rPr>
              <w:t>Bel partigiano portami via</w:t>
            </w:r>
          </w:p>
          <w:p w14:paraId="50F75816" w14:textId="067FFE5C" w:rsidR="00B56186" w:rsidRPr="00153C37" w:rsidRDefault="00B56186" w:rsidP="00B56186">
            <w:pPr>
              <w:ind w:right="0"/>
              <w:rPr>
                <w:b/>
                <w:bCs/>
                <w:i/>
                <w:iCs/>
                <w:sz w:val="24"/>
                <w:szCs w:val="24"/>
              </w:rPr>
            </w:pPr>
            <w:r w:rsidRPr="00153C37">
              <w:rPr>
                <w:b/>
                <w:bCs/>
                <w:i/>
                <w:iCs/>
                <w:sz w:val="24"/>
                <w:szCs w:val="24"/>
              </w:rPr>
              <w:t>Che mi sento di morir</w:t>
            </w:r>
          </w:p>
          <w:p w14:paraId="3BFB2D1E" w14:textId="4A8DCC5C" w:rsidR="00B56186" w:rsidRPr="00153C37" w:rsidRDefault="00B56186" w:rsidP="00B56186">
            <w:pPr>
              <w:ind w:right="0"/>
              <w:rPr>
                <w:b/>
                <w:bCs/>
                <w:i/>
                <w:iCs/>
                <w:sz w:val="24"/>
                <w:szCs w:val="24"/>
              </w:rPr>
            </w:pPr>
            <w:r w:rsidRPr="00153C37">
              <w:rPr>
                <w:b/>
                <w:bCs/>
                <w:i/>
                <w:iCs/>
                <w:sz w:val="24"/>
                <w:szCs w:val="24"/>
              </w:rPr>
              <w:t>E se io muoio da partigiano</w:t>
            </w:r>
          </w:p>
          <w:p w14:paraId="2DFEABAB" w14:textId="10F1BF93" w:rsidR="00B56186" w:rsidRPr="00153C37" w:rsidRDefault="00B56186" w:rsidP="00B56186">
            <w:pPr>
              <w:ind w:right="0"/>
              <w:rPr>
                <w:b/>
                <w:bCs/>
                <w:i/>
                <w:iCs/>
                <w:sz w:val="24"/>
                <w:szCs w:val="24"/>
              </w:rPr>
            </w:pPr>
            <w:r w:rsidRPr="00153C37">
              <w:rPr>
                <w:b/>
                <w:bCs/>
                <w:i/>
                <w:iCs/>
                <w:sz w:val="24"/>
                <w:szCs w:val="24"/>
              </w:rPr>
              <w:t>O bella ciao, bella ciao, bella ciao ciao ciao</w:t>
            </w:r>
          </w:p>
          <w:p w14:paraId="1E0C9BCF" w14:textId="2DFB6B5A" w:rsidR="00B56186" w:rsidRPr="00153C37" w:rsidRDefault="00B56186" w:rsidP="00B56186">
            <w:pPr>
              <w:ind w:right="0"/>
              <w:rPr>
                <w:b/>
                <w:bCs/>
                <w:i/>
                <w:iCs/>
                <w:sz w:val="24"/>
                <w:szCs w:val="24"/>
              </w:rPr>
            </w:pPr>
            <w:r w:rsidRPr="00153C37">
              <w:rPr>
                <w:b/>
                <w:bCs/>
                <w:i/>
                <w:iCs/>
                <w:sz w:val="24"/>
                <w:szCs w:val="24"/>
              </w:rPr>
              <w:t>E se io muoio da partigiano</w:t>
            </w:r>
          </w:p>
          <w:p w14:paraId="64C2221F" w14:textId="08433A49" w:rsidR="00B56186" w:rsidRPr="00153C37" w:rsidRDefault="00B56186" w:rsidP="00B56186">
            <w:pPr>
              <w:ind w:right="0"/>
              <w:rPr>
                <w:b/>
                <w:bCs/>
                <w:i/>
                <w:iCs/>
                <w:sz w:val="24"/>
                <w:szCs w:val="24"/>
              </w:rPr>
            </w:pPr>
            <w:r w:rsidRPr="00153C37">
              <w:rPr>
                <w:b/>
                <w:bCs/>
                <w:i/>
                <w:iCs/>
                <w:sz w:val="24"/>
                <w:szCs w:val="24"/>
              </w:rPr>
              <w:t>Tu mi devi seppellir</w:t>
            </w:r>
          </w:p>
          <w:p w14:paraId="06A3FBDF" w14:textId="250436FB" w:rsidR="00B56186" w:rsidRPr="00153C37" w:rsidRDefault="00B56186" w:rsidP="00B56186">
            <w:pPr>
              <w:ind w:right="0"/>
              <w:rPr>
                <w:b/>
                <w:bCs/>
                <w:i/>
                <w:iCs/>
                <w:sz w:val="24"/>
                <w:szCs w:val="24"/>
              </w:rPr>
            </w:pPr>
            <w:r w:rsidRPr="00153C37">
              <w:rPr>
                <w:b/>
                <w:bCs/>
                <w:i/>
                <w:iCs/>
                <w:sz w:val="24"/>
                <w:szCs w:val="24"/>
              </w:rPr>
              <w:t>E seppellire lassù in montagna</w:t>
            </w:r>
          </w:p>
          <w:p w14:paraId="5C02501C" w14:textId="59CEB2C3" w:rsidR="00B56186" w:rsidRPr="00153C37" w:rsidRDefault="00B56186" w:rsidP="00B56186">
            <w:pPr>
              <w:ind w:right="0"/>
              <w:rPr>
                <w:b/>
                <w:bCs/>
                <w:i/>
                <w:iCs/>
                <w:sz w:val="24"/>
                <w:szCs w:val="24"/>
              </w:rPr>
            </w:pPr>
            <w:r w:rsidRPr="00153C37">
              <w:rPr>
                <w:b/>
                <w:bCs/>
                <w:i/>
                <w:iCs/>
                <w:sz w:val="24"/>
                <w:szCs w:val="24"/>
              </w:rPr>
              <w:t>O bella ciao, bella ciao</w:t>
            </w:r>
          </w:p>
          <w:p w14:paraId="5FC8218E" w14:textId="7628D570" w:rsidR="00B56186" w:rsidRPr="00153C37" w:rsidRDefault="00B56186" w:rsidP="00B56186">
            <w:pPr>
              <w:ind w:right="0"/>
              <w:rPr>
                <w:b/>
                <w:bCs/>
                <w:i/>
                <w:iCs/>
                <w:sz w:val="24"/>
                <w:szCs w:val="24"/>
              </w:rPr>
            </w:pPr>
            <w:r w:rsidRPr="00153C37">
              <w:rPr>
                <w:b/>
                <w:bCs/>
                <w:i/>
                <w:iCs/>
                <w:sz w:val="24"/>
                <w:szCs w:val="24"/>
              </w:rPr>
              <w:t>Bella ciao ciao ciao</w:t>
            </w:r>
          </w:p>
          <w:p w14:paraId="1BBC2732" w14:textId="18DAC741" w:rsidR="00B56186" w:rsidRPr="00153C37" w:rsidRDefault="00B56186" w:rsidP="00B56186">
            <w:pPr>
              <w:ind w:right="0"/>
              <w:rPr>
                <w:b/>
                <w:bCs/>
                <w:i/>
                <w:iCs/>
                <w:sz w:val="24"/>
                <w:szCs w:val="24"/>
              </w:rPr>
            </w:pPr>
            <w:r w:rsidRPr="00153C37">
              <w:rPr>
                <w:b/>
                <w:bCs/>
                <w:i/>
                <w:iCs/>
                <w:sz w:val="24"/>
                <w:szCs w:val="24"/>
              </w:rPr>
              <w:t>E seppellire lassù in montagna</w:t>
            </w:r>
          </w:p>
          <w:p w14:paraId="1C385E24" w14:textId="2893A3E5" w:rsidR="00B56186" w:rsidRPr="00153C37" w:rsidRDefault="00B56186" w:rsidP="00B56186">
            <w:pPr>
              <w:ind w:right="0"/>
              <w:rPr>
                <w:b/>
                <w:bCs/>
                <w:i/>
                <w:iCs/>
                <w:sz w:val="24"/>
                <w:szCs w:val="24"/>
              </w:rPr>
            </w:pPr>
            <w:r w:rsidRPr="00153C37">
              <w:rPr>
                <w:b/>
                <w:bCs/>
                <w:i/>
                <w:iCs/>
                <w:sz w:val="24"/>
                <w:szCs w:val="24"/>
              </w:rPr>
              <w:t>Sotto l'ombra di un bel fiore</w:t>
            </w:r>
          </w:p>
          <w:p w14:paraId="39804EAA" w14:textId="2E94881F" w:rsidR="00B56186" w:rsidRPr="00153C37" w:rsidRDefault="00B56186" w:rsidP="00B56186">
            <w:pPr>
              <w:ind w:right="0"/>
              <w:rPr>
                <w:b/>
                <w:bCs/>
                <w:i/>
                <w:iCs/>
                <w:sz w:val="24"/>
                <w:szCs w:val="24"/>
              </w:rPr>
            </w:pPr>
            <w:r w:rsidRPr="00153C37">
              <w:rPr>
                <w:b/>
                <w:bCs/>
                <w:i/>
                <w:iCs/>
                <w:sz w:val="24"/>
                <w:szCs w:val="24"/>
              </w:rPr>
              <w:t>E le genti che passeranno</w:t>
            </w:r>
          </w:p>
          <w:p w14:paraId="0A56A375" w14:textId="5FB87FFA" w:rsidR="00B56186" w:rsidRPr="00153C37" w:rsidRDefault="00B56186" w:rsidP="00B56186">
            <w:pPr>
              <w:ind w:right="0"/>
              <w:rPr>
                <w:b/>
                <w:bCs/>
                <w:i/>
                <w:iCs/>
                <w:sz w:val="24"/>
                <w:szCs w:val="24"/>
              </w:rPr>
            </w:pPr>
            <w:r w:rsidRPr="00153C37">
              <w:rPr>
                <w:b/>
                <w:bCs/>
                <w:i/>
                <w:iCs/>
                <w:sz w:val="24"/>
                <w:szCs w:val="24"/>
              </w:rPr>
              <w:t>O bella ciao, bella ciao</w:t>
            </w:r>
          </w:p>
          <w:p w14:paraId="38C96EDC" w14:textId="3E3F1AAF" w:rsidR="00B56186" w:rsidRPr="00153C37" w:rsidRDefault="00B56186" w:rsidP="00B56186">
            <w:pPr>
              <w:ind w:right="0"/>
              <w:rPr>
                <w:b/>
                <w:bCs/>
                <w:i/>
                <w:iCs/>
                <w:sz w:val="24"/>
                <w:szCs w:val="24"/>
              </w:rPr>
            </w:pPr>
            <w:r w:rsidRPr="00153C37">
              <w:rPr>
                <w:b/>
                <w:bCs/>
                <w:i/>
                <w:iCs/>
                <w:sz w:val="24"/>
                <w:szCs w:val="24"/>
              </w:rPr>
              <w:t>Bella ciao ciao ciao</w:t>
            </w:r>
          </w:p>
          <w:p w14:paraId="22AEBFF8" w14:textId="36EBF7C0" w:rsidR="00B56186" w:rsidRPr="00153C37" w:rsidRDefault="00B56186" w:rsidP="00B56186">
            <w:pPr>
              <w:ind w:right="0"/>
              <w:rPr>
                <w:b/>
                <w:bCs/>
                <w:i/>
                <w:iCs/>
                <w:sz w:val="24"/>
                <w:szCs w:val="24"/>
              </w:rPr>
            </w:pPr>
            <w:r w:rsidRPr="00153C37">
              <w:rPr>
                <w:b/>
                <w:bCs/>
                <w:i/>
                <w:iCs/>
                <w:sz w:val="24"/>
                <w:szCs w:val="24"/>
              </w:rPr>
              <w:t>E le genti che passeranno</w:t>
            </w:r>
          </w:p>
          <w:p w14:paraId="250762F7" w14:textId="23221DA2" w:rsidR="00B56186" w:rsidRPr="00153C37" w:rsidRDefault="00B56186" w:rsidP="00B56186">
            <w:pPr>
              <w:ind w:right="0"/>
              <w:rPr>
                <w:b/>
                <w:bCs/>
                <w:i/>
                <w:iCs/>
                <w:sz w:val="24"/>
                <w:szCs w:val="24"/>
              </w:rPr>
            </w:pPr>
            <w:r w:rsidRPr="00153C37">
              <w:rPr>
                <w:b/>
                <w:bCs/>
                <w:i/>
                <w:iCs/>
                <w:sz w:val="24"/>
                <w:szCs w:val="24"/>
              </w:rPr>
              <w:t>Mi diranno: che bel fior</w:t>
            </w:r>
          </w:p>
          <w:p w14:paraId="276C575A" w14:textId="03ED2F73" w:rsidR="00B56186" w:rsidRPr="00153C37" w:rsidRDefault="00B56186" w:rsidP="00B56186">
            <w:pPr>
              <w:ind w:right="0"/>
              <w:rPr>
                <w:b/>
                <w:bCs/>
                <w:i/>
                <w:iCs/>
                <w:sz w:val="24"/>
                <w:szCs w:val="24"/>
              </w:rPr>
            </w:pPr>
            <w:r w:rsidRPr="00153C37">
              <w:rPr>
                <w:b/>
                <w:bCs/>
                <w:i/>
                <w:iCs/>
                <w:sz w:val="24"/>
                <w:szCs w:val="24"/>
              </w:rPr>
              <w:t>E questo il fiore del partigiano</w:t>
            </w:r>
          </w:p>
          <w:p w14:paraId="025FE553" w14:textId="7B31BD2B" w:rsidR="00B56186" w:rsidRPr="00153C37" w:rsidRDefault="00B56186" w:rsidP="00B56186">
            <w:pPr>
              <w:ind w:right="0"/>
              <w:rPr>
                <w:b/>
                <w:bCs/>
                <w:i/>
                <w:iCs/>
                <w:sz w:val="24"/>
                <w:szCs w:val="24"/>
              </w:rPr>
            </w:pPr>
            <w:r w:rsidRPr="00153C37">
              <w:rPr>
                <w:b/>
                <w:bCs/>
                <w:i/>
                <w:iCs/>
                <w:sz w:val="24"/>
                <w:szCs w:val="24"/>
              </w:rPr>
              <w:t>O bella ciao, bella ciao</w:t>
            </w:r>
          </w:p>
          <w:p w14:paraId="33ED5B86" w14:textId="0FE3653D" w:rsidR="00B56186" w:rsidRPr="00153C37" w:rsidRDefault="00B56186" w:rsidP="00B56186">
            <w:pPr>
              <w:ind w:right="0"/>
              <w:rPr>
                <w:b/>
                <w:bCs/>
                <w:i/>
                <w:iCs/>
                <w:sz w:val="24"/>
                <w:szCs w:val="24"/>
              </w:rPr>
            </w:pPr>
            <w:r w:rsidRPr="00153C37">
              <w:rPr>
                <w:b/>
                <w:bCs/>
                <w:i/>
                <w:iCs/>
                <w:sz w:val="24"/>
                <w:szCs w:val="24"/>
              </w:rPr>
              <w:t>Bella ciao ciao ciao</w:t>
            </w:r>
          </w:p>
          <w:p w14:paraId="33DCEA44" w14:textId="5E387C38" w:rsidR="00B56186" w:rsidRPr="00153C37" w:rsidRDefault="00B56186" w:rsidP="00B56186">
            <w:pPr>
              <w:ind w:right="0"/>
              <w:rPr>
                <w:b/>
                <w:bCs/>
                <w:i/>
                <w:iCs/>
                <w:sz w:val="24"/>
                <w:szCs w:val="24"/>
              </w:rPr>
            </w:pPr>
            <w:r w:rsidRPr="00153C37">
              <w:rPr>
                <w:b/>
                <w:bCs/>
                <w:i/>
                <w:iCs/>
                <w:sz w:val="24"/>
                <w:szCs w:val="24"/>
              </w:rPr>
              <w:t>E questo il fiore del partigiano</w:t>
            </w:r>
          </w:p>
          <w:p w14:paraId="3D14013A" w14:textId="4D4BD43F" w:rsidR="00B56186" w:rsidRDefault="00B56186" w:rsidP="00B56186">
            <w:pPr>
              <w:spacing w:before="200" w:line="288" w:lineRule="auto"/>
              <w:ind w:right="0"/>
              <w:rPr>
                <w:sz w:val="18"/>
                <w:szCs w:val="18"/>
              </w:rPr>
            </w:pPr>
            <w:r w:rsidRPr="00153C37">
              <w:rPr>
                <w:b/>
                <w:bCs/>
                <w:i/>
                <w:iCs/>
                <w:sz w:val="24"/>
                <w:szCs w:val="24"/>
              </w:rPr>
              <w:t>Morto per la libertà"</w:t>
            </w:r>
          </w:p>
        </w:tc>
      </w:tr>
    </w:tbl>
    <w:p w14:paraId="222D0EB0" w14:textId="2BDC84D1" w:rsidR="0019302D" w:rsidRDefault="0019302D">
      <w:pPr>
        <w:spacing w:line="240" w:lineRule="auto"/>
        <w:ind w:right="299"/>
        <w:jc w:val="left"/>
        <w:rPr>
          <w:sz w:val="18"/>
          <w:szCs w:val="18"/>
        </w:rPr>
      </w:pPr>
    </w:p>
    <w:p w14:paraId="0A59AE8F" w14:textId="6ED78652" w:rsidR="0019302D" w:rsidRPr="00B56186" w:rsidRDefault="007C68D6">
      <w:pPr>
        <w:rPr>
          <w:sz w:val="18"/>
          <w:szCs w:val="18"/>
        </w:rPr>
      </w:pPr>
      <w:bookmarkStart w:id="10" w:name="_heading=h.ubhyvbqxj1bf" w:colFirst="0" w:colLast="0"/>
      <w:bookmarkEnd w:id="10"/>
      <w:r>
        <w:rPr>
          <w:noProof/>
        </w:rPr>
        <mc:AlternateContent>
          <mc:Choice Requires="wps">
            <w:drawing>
              <wp:anchor distT="45720" distB="45720" distL="114300" distR="114300" simplePos="0" relativeHeight="251661312" behindDoc="0" locked="0" layoutInCell="1" allowOverlap="1" wp14:anchorId="1C7F6748" wp14:editId="33F4777F">
                <wp:simplePos x="0" y="0"/>
                <wp:positionH relativeFrom="page">
                  <wp:align>center</wp:align>
                </wp:positionH>
                <wp:positionV relativeFrom="paragraph">
                  <wp:posOffset>7802245</wp:posOffset>
                </wp:positionV>
                <wp:extent cx="1200150" cy="466725"/>
                <wp:effectExtent l="0" t="0" r="0" b="9525"/>
                <wp:wrapNone/>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150" cy="466725"/>
                        </a:xfrm>
                        <a:prstGeom prst="rect">
                          <a:avLst/>
                        </a:prstGeom>
                        <a:solidFill>
                          <a:srgbClr val="FFFFFF"/>
                        </a:solidFill>
                        <a:ln w="9525">
                          <a:noFill/>
                          <a:miter lim="800000"/>
                          <a:headEnd/>
                          <a:tailEnd/>
                        </a:ln>
                      </wps:spPr>
                      <wps:txbx>
                        <w:txbxContent>
                          <w:p w14:paraId="42A3B792" w14:textId="4EC34D77" w:rsidR="007C68D6" w:rsidRPr="007C68D6" w:rsidRDefault="007C68D6">
                            <w:pPr>
                              <w:rPr>
                                <w:b/>
                                <w:bCs/>
                                <w:color w:val="EE0000"/>
                                <w:sz w:val="30"/>
                                <w:szCs w:val="30"/>
                              </w:rPr>
                            </w:pPr>
                            <w:r w:rsidRPr="007C68D6">
                              <w:rPr>
                                <w:b/>
                                <w:bCs/>
                                <w:color w:val="EE0000"/>
                                <w:sz w:val="30"/>
                                <w:szCs w:val="30"/>
                              </w:rPr>
                              <w:t>R.R.P.D.M.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C7F6748" id="_x0000_t202" coordsize="21600,21600" o:spt="202" path="m,l,21600r21600,l21600,xe">
                <v:stroke joinstyle="miter"/>
                <v:path gradientshapeok="t" o:connecttype="rect"/>
              </v:shapetype>
              <v:shape id="Caixa de Texto 2" o:spid="_x0000_s1026" type="#_x0000_t202" style="position:absolute;left:0;text-align:left;margin-left:0;margin-top:614.35pt;width:94.5pt;height:36.75pt;z-index:251661312;visibility:visible;mso-wrap-style:square;mso-width-percent:0;mso-height-percent:0;mso-wrap-distance-left:9pt;mso-wrap-distance-top:3.6pt;mso-wrap-distance-right:9pt;mso-wrap-distance-bottom:3.6pt;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" stroked="f">
                <v:textbox>
                  <w:txbxContent>
                    <w:p w14:paraId="42A3B792" w14:textId="4EC34D77" w:rsidR="007C68D6" w:rsidRPr="007C68D6" w:rsidRDefault="007C68D6">
                      <w:pPr>
                        <w:rPr>
                          <w:b/>
                          <w:bCs/>
                          <w:color w:val="EE0000"/>
                          <w:sz w:val="30"/>
                          <w:szCs w:val="30"/>
                        </w:rPr>
                      </w:pPr>
                      <w:r w:rsidRPr="007C68D6">
                        <w:rPr>
                          <w:b/>
                          <w:bCs/>
                          <w:color w:val="EE0000"/>
                          <w:sz w:val="30"/>
                          <w:szCs w:val="30"/>
                        </w:rPr>
                        <w:t>R.R.P.D.M.</w:t>
                      </w:r>
                    </w:p>
                  </w:txbxContent>
                </v:textbox>
                <w10:wrap anchorx="page"/>
              </v:shape>
            </w:pict>
          </mc:Fallback>
        </mc:AlternateContent>
      </w:r>
      <w:r w:rsidR="00153C37" w:rsidRPr="00153C37">
        <w:rPr>
          <w:b/>
          <w:bCs/>
          <w:i/>
          <w:iCs/>
          <w:noProof/>
          <w:sz w:val="24"/>
          <w:szCs w:val="24"/>
        </w:rPr>
        <w:drawing>
          <wp:anchor distT="0" distB="0" distL="114300" distR="114300" simplePos="0" relativeHeight="251659264" behindDoc="0" locked="0" layoutInCell="1" allowOverlap="1" wp14:anchorId="258A8465" wp14:editId="402CB3D1">
            <wp:simplePos x="0" y="0"/>
            <wp:positionH relativeFrom="margin">
              <wp:posOffset>2238375</wp:posOffset>
            </wp:positionH>
            <wp:positionV relativeFrom="paragraph">
              <wp:posOffset>7414260</wp:posOffset>
            </wp:positionV>
            <wp:extent cx="2438400" cy="1331778"/>
            <wp:effectExtent l="0" t="0" r="0" b="1905"/>
            <wp:wrapNone/>
            <wp:docPr id="1350388576" name="Imagem 1" descr="Uma imagem com esboço, design, ilustração&#10;&#10;Os conteúdos gerados por IA podem estar incorre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388576" name="Imagem 1" descr="Uma imagem com esboço, design, ilustração&#10;&#10;Os conteúdos gerados por IA podem estar incorretos."/>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38400" cy="1331778"/>
                    </a:xfrm>
                    <a:prstGeom prst="rect">
                      <a:avLst/>
                    </a:prstGeom>
                  </pic:spPr>
                </pic:pic>
              </a:graphicData>
            </a:graphic>
            <wp14:sizeRelH relativeFrom="page">
              <wp14:pctWidth>0</wp14:pctWidth>
            </wp14:sizeRelH>
            <wp14:sizeRelV relativeFrom="page">
              <wp14:pctHeight>0</wp14:pctHeight>
            </wp14:sizeRelV>
          </wp:anchor>
        </w:drawing>
      </w:r>
      <w:r w:rsidR="00153C37">
        <w:br w:type="page"/>
      </w:r>
    </w:p>
    <w:tbl>
      <w:tblPr>
        <w:tblStyle w:val="9"/>
        <w:tblpPr w:leftFromText="142" w:rightFromText="142" w:vertAnchor="text" w:tblpY="4537"/>
        <w:tblW w:w="623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6237"/>
      </w:tblGrid>
      <w:tr w:rsidR="0019302D" w14:paraId="2F1DA436" w14:textId="77777777">
        <w:tc>
          <w:tcPr>
            <w:tcW w:w="6237" w:type="dxa"/>
          </w:tcPr>
          <w:p w14:paraId="2D8A564D" w14:textId="77777777" w:rsidR="0019302D" w:rsidRDefault="006E60C5">
            <w:pPr>
              <w:spacing w:before="200" w:line="288" w:lineRule="auto"/>
              <w:ind w:right="0"/>
              <w:rPr>
                <w:sz w:val="18"/>
                <w:szCs w:val="18"/>
              </w:rPr>
            </w:pPr>
            <w:r>
              <w:rPr>
                <w:rFonts w:ascii="Helvetica Neue" w:eastAsia="Helvetica Neue" w:hAnsi="Helvetica Neue" w:cs="Helvetica Neue"/>
                <w:b/>
                <w:bCs/>
                <w:sz w:val="28"/>
                <w:szCs w:val="28"/>
              </w:rPr>
              <w:t>Resumo</w:t>
            </w:r>
            <w:r>
              <w:t xml:space="preserve"> </w:t>
            </w:r>
          </w:p>
        </w:tc>
      </w:tr>
      <w:tr w:rsidR="0019302D" w14:paraId="6D008E05" w14:textId="77777777">
        <w:tc>
          <w:tcPr>
            <w:tcW w:w="6237" w:type="dxa"/>
          </w:tcPr>
          <w:p w14:paraId="3EF041BD" w14:textId="25B05270" w:rsidR="000125D8" w:rsidRDefault="000125D8" w:rsidP="000125D8">
            <w:pPr>
              <w:widowControl w:val="0"/>
              <w:spacing w:before="100"/>
              <w:ind w:right="0"/>
            </w:pPr>
            <w:r>
              <w:t xml:space="preserve">Este trabalho pretende analisar a evolução da União Europeia, desde os seus primórdios, até à sua estrutura actual e os seus elementos federalistas, bem como as vantagens que um sistema federal traria à </w:t>
            </w:r>
            <w:r w:rsidR="00351C6C">
              <w:t>União</w:t>
            </w:r>
            <w:r>
              <w:t xml:space="preserve">, bem como os desafios que existiriam caso tal fosse o modelo a adoptar, de forma a tentar perceber se tal estrutura seria possível ou se, analisando a gradual evolução institucional da UE, se não se trata antes de uma inevitabilidade. </w:t>
            </w:r>
          </w:p>
          <w:p w14:paraId="4BF7954A" w14:textId="351B39A0" w:rsidR="000125D8" w:rsidRDefault="000125D8" w:rsidP="000125D8">
            <w:pPr>
              <w:widowControl w:val="0"/>
              <w:spacing w:before="100"/>
              <w:ind w:right="0"/>
            </w:pPr>
            <w:r>
              <w:t xml:space="preserve">Assim, torna-se </w:t>
            </w:r>
            <w:r w:rsidR="00B47A2F">
              <w:t>possível</w:t>
            </w:r>
            <w:r>
              <w:t xml:space="preserve"> estudar o</w:t>
            </w:r>
            <w:r w:rsidRPr="000125D8">
              <w:t xml:space="preserve"> impacto da federalização da União Europeia n</w:t>
            </w:r>
            <w:r>
              <w:t>aquele que é provavelmente o</w:t>
            </w:r>
            <w:r w:rsidR="00B47A2F">
              <w:t xml:space="preserve"> aspecto mais importante da vida dos Estados-</w:t>
            </w:r>
            <w:r w:rsidR="005747EA">
              <w:t>M</w:t>
            </w:r>
            <w:r w:rsidR="00B47A2F">
              <w:t>embros, a sua</w:t>
            </w:r>
            <w:r w:rsidRPr="000125D8">
              <w:t xml:space="preserve"> soberania</w:t>
            </w:r>
            <w:r w:rsidR="00B47A2F">
              <w:t xml:space="preserve">, e entender as </w:t>
            </w:r>
            <w:r w:rsidRPr="000125D8">
              <w:t>vantagens</w:t>
            </w:r>
            <w:r w:rsidR="00B47A2F">
              <w:t xml:space="preserve"> que esta atribuição da mesma aos órgãos europeus traz aos Estados, bem como os</w:t>
            </w:r>
            <w:r w:rsidRPr="000125D8">
              <w:t xml:space="preserve"> desafios</w:t>
            </w:r>
            <w:r w:rsidR="00B47A2F">
              <w:t xml:space="preserve"> que se colocam a uma maior integração.</w:t>
            </w:r>
          </w:p>
          <w:p w14:paraId="01CEA146" w14:textId="5269D97D" w:rsidR="000125D8" w:rsidRDefault="000125D8" w:rsidP="000125D8">
            <w:pPr>
              <w:widowControl w:val="0"/>
              <w:spacing w:before="100"/>
              <w:ind w:right="0"/>
            </w:pPr>
            <w:r>
              <w:t>Para tal foi necessário analisar os elementos federalistas que a União adoptou de forma a fazer face às necessidades da mesma, bem como os principais obstáculos a uma maior integração, sendo possível observar que esta teve um gradual, mas significativo aumento ao longo das décadas.</w:t>
            </w:r>
          </w:p>
          <w:p w14:paraId="7EB47BDB" w14:textId="6939F12F" w:rsidR="0019302D" w:rsidRDefault="000125D8" w:rsidP="000125D8">
            <w:pPr>
              <w:widowControl w:val="0"/>
              <w:spacing w:before="100"/>
              <w:ind w:right="0"/>
            </w:pPr>
            <w:r>
              <w:t>Entendo que o principal contributo desta dissertação é a visão clara do rumo que a União Europeia escolheu tomar ao longo da sua existência, permitindo-nos prever o futuro da mesma.</w:t>
            </w:r>
          </w:p>
        </w:tc>
      </w:tr>
      <w:tr w:rsidR="0019302D" w14:paraId="6975D3B3" w14:textId="77777777">
        <w:tc>
          <w:tcPr>
            <w:tcW w:w="6237" w:type="dxa"/>
          </w:tcPr>
          <w:sdt>
            <w:sdtPr>
              <w:tag w:val="goog_rdk_3"/>
              <w:id w:val="-2065030539"/>
            </w:sdtPr>
            <w:sdtEndPr/>
            <w:sdtContent>
              <w:p w14:paraId="4955539F" w14:textId="77777777" w:rsidR="0019302D" w:rsidRDefault="006E60C5">
                <w:pPr>
                  <w:keepLines/>
                  <w:widowControl w:val="0"/>
                  <w:pBdr>
                    <w:top w:val="nil"/>
                    <w:left w:val="nil"/>
                    <w:bottom w:val="nil"/>
                    <w:right w:val="nil"/>
                    <w:between w:val="nil"/>
                  </w:pBdr>
                  <w:spacing w:before="200" w:line="288" w:lineRule="auto"/>
                  <w:ind w:right="0"/>
                  <w:jc w:val="left"/>
                  <w:rPr>
                    <w:rFonts w:ascii="Helvetica Neue" w:eastAsia="Helvetica Neue" w:hAnsi="Helvetica Neue" w:cs="Helvetica Neue"/>
                    <w:b/>
                    <w:bCs/>
                    <w:color w:val="000000"/>
                    <w:sz w:val="28"/>
                    <w:szCs w:val="28"/>
                  </w:rPr>
                </w:pPr>
                <w:r>
                  <w:rPr>
                    <w:rFonts w:ascii="Helvetica Neue" w:eastAsia="Helvetica Neue" w:hAnsi="Helvetica Neue" w:cs="Helvetica Neue"/>
                    <w:b/>
                    <w:bCs/>
                    <w:color w:val="000000"/>
                    <w:sz w:val="28"/>
                    <w:szCs w:val="28"/>
                  </w:rPr>
                  <w:t>Palavras-chave</w:t>
                </w:r>
              </w:p>
            </w:sdtContent>
          </w:sdt>
        </w:tc>
      </w:tr>
      <w:tr w:rsidR="0019302D" w14:paraId="16E7351A" w14:textId="77777777">
        <w:tc>
          <w:tcPr>
            <w:tcW w:w="6237" w:type="dxa"/>
          </w:tcPr>
          <w:p w14:paraId="4236613C" w14:textId="56E738D0" w:rsidR="00051403" w:rsidRDefault="00051403">
            <w:pPr>
              <w:spacing w:before="100" w:line="288" w:lineRule="auto"/>
              <w:ind w:right="0"/>
            </w:pPr>
            <w:r>
              <w:t>União</w:t>
            </w:r>
            <w:r w:rsidR="00351C6C">
              <w:t xml:space="preserve"> </w:t>
            </w:r>
            <w:r>
              <w:t>Europeia;</w:t>
            </w:r>
            <w:r w:rsidR="00B47A2F">
              <w:t xml:space="preserve"> </w:t>
            </w:r>
            <w:r>
              <w:t>Federalismo;</w:t>
            </w:r>
            <w:r w:rsidR="00B47A2F">
              <w:t xml:space="preserve"> </w:t>
            </w:r>
            <w:r>
              <w:t>Supranacionalidade;</w:t>
            </w:r>
            <w:r w:rsidR="00B47A2F">
              <w:t xml:space="preserve"> </w:t>
            </w:r>
            <w:r>
              <w:t xml:space="preserve">Constitucionalismo; Primazia </w:t>
            </w:r>
            <w:r w:rsidR="00351C6C">
              <w:t xml:space="preserve">do direito </w:t>
            </w:r>
            <w:r>
              <w:t>d</w:t>
            </w:r>
            <w:r w:rsidR="00351C6C">
              <w:t>a União;</w:t>
            </w:r>
          </w:p>
          <w:p w14:paraId="68476B2B" w14:textId="0E33B484" w:rsidR="0019302D" w:rsidRDefault="0019302D">
            <w:pPr>
              <w:spacing w:before="100" w:line="288" w:lineRule="auto"/>
              <w:ind w:right="0"/>
            </w:pPr>
          </w:p>
        </w:tc>
      </w:tr>
    </w:tbl>
    <w:p w14:paraId="3EECF02D" w14:textId="77777777" w:rsidR="0019302D" w:rsidRDefault="006E60C5">
      <w:r>
        <w:br w:type="page"/>
      </w:r>
    </w:p>
    <w:tbl>
      <w:tblPr>
        <w:tblStyle w:val="8"/>
        <w:tblpPr w:leftFromText="142" w:rightFromText="142" w:vertAnchor="text" w:tblpY="4537"/>
        <w:tblW w:w="623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6237"/>
      </w:tblGrid>
      <w:tr w:rsidR="0019302D" w14:paraId="3D73BCB3" w14:textId="77777777">
        <w:tc>
          <w:tcPr>
            <w:tcW w:w="6237" w:type="dxa"/>
          </w:tcPr>
          <w:p w14:paraId="22C6BE00" w14:textId="77777777" w:rsidR="0019302D" w:rsidRDefault="006E60C5">
            <w:pPr>
              <w:spacing w:before="200" w:line="288" w:lineRule="auto"/>
              <w:ind w:right="0"/>
              <w:jc w:val="left"/>
              <w:rPr>
                <w:rFonts w:ascii="Helvetica Neue" w:eastAsia="Helvetica Neue" w:hAnsi="Helvetica Neue" w:cs="Helvetica Neue"/>
                <w:b/>
                <w:bCs/>
                <w:sz w:val="28"/>
                <w:szCs w:val="28"/>
              </w:rPr>
            </w:pPr>
            <w:r>
              <w:rPr>
                <w:rFonts w:ascii="Helvetica Neue" w:eastAsia="Helvetica Neue" w:hAnsi="Helvetica Neue" w:cs="Helvetica Neue"/>
                <w:b/>
                <w:bCs/>
                <w:sz w:val="28"/>
                <w:szCs w:val="28"/>
              </w:rPr>
              <w:t xml:space="preserve">Abstract  </w:t>
            </w:r>
          </w:p>
        </w:tc>
      </w:tr>
      <w:tr w:rsidR="0019302D" w:rsidRPr="00662635" w14:paraId="296C8DA3" w14:textId="77777777">
        <w:tc>
          <w:tcPr>
            <w:tcW w:w="6237" w:type="dxa"/>
          </w:tcPr>
          <w:p w14:paraId="7A857278" w14:textId="7922AA4E" w:rsidR="00B47A2F" w:rsidRPr="00662635" w:rsidRDefault="00B47A2F" w:rsidP="00B47A2F">
            <w:pPr>
              <w:widowControl w:val="0"/>
              <w:spacing w:before="100"/>
              <w:ind w:right="0"/>
              <w:rPr>
                <w:lang w:val="en-US"/>
              </w:rPr>
            </w:pPr>
            <w:r w:rsidRPr="00662635">
              <w:rPr>
                <w:lang w:val="en-US"/>
              </w:rPr>
              <w:t xml:space="preserve">This work aims to analyze the evolution of the European Union, from its beginnings to its current structure and federalist elements, as well as the advantages that a federal system would bring to the </w:t>
            </w:r>
            <w:r w:rsidR="00351C6C" w:rsidRPr="00662635">
              <w:rPr>
                <w:lang w:val="en-US"/>
              </w:rPr>
              <w:t>Union</w:t>
            </w:r>
            <w:r w:rsidRPr="00662635">
              <w:rPr>
                <w:lang w:val="en-US"/>
              </w:rPr>
              <w:t>, and the challenges that would exist if such a model were adopted, in order to try to understand whether such a structure would be possible or whether, analyzing the gradual institutional evolution of the EU, it is not rather an inevitability.</w:t>
            </w:r>
          </w:p>
          <w:p w14:paraId="520CD28C" w14:textId="2BAFE10B" w:rsidR="00B47A2F" w:rsidRPr="00662635" w:rsidRDefault="00B47A2F" w:rsidP="00B47A2F">
            <w:pPr>
              <w:widowControl w:val="0"/>
              <w:spacing w:before="100"/>
              <w:ind w:right="0"/>
              <w:rPr>
                <w:lang w:val="en-US"/>
              </w:rPr>
            </w:pPr>
            <w:r w:rsidRPr="00662635">
              <w:rPr>
                <w:lang w:val="en-US"/>
              </w:rPr>
              <w:t>Thus, it becomes possible to study the impact of the federalization of the European Union on what is probably the most important aspect of the lives of the member states, their sovereignty, and to understand the advantages that this attribution of sovereignty to European bodies brings to the states, as well as the challenges that arise for greater integration.</w:t>
            </w:r>
          </w:p>
          <w:p w14:paraId="19DA7406" w14:textId="77777777" w:rsidR="00B47A2F" w:rsidRPr="00662635" w:rsidRDefault="00B47A2F" w:rsidP="00B47A2F">
            <w:pPr>
              <w:widowControl w:val="0"/>
              <w:spacing w:before="100"/>
              <w:ind w:right="0"/>
              <w:rPr>
                <w:lang w:val="en-US"/>
              </w:rPr>
            </w:pPr>
            <w:r w:rsidRPr="00662635">
              <w:rPr>
                <w:lang w:val="en-US"/>
              </w:rPr>
              <w:t>To this end, it was necessary to analyze the federalist elements that the Union adopted in order to meet its needs, as well as the main obstacles to greater integration, and it is possible to observe that this has had a gradual, but significant increase over the decades.</w:t>
            </w:r>
          </w:p>
          <w:p w14:paraId="1155F389" w14:textId="16D58EF8" w:rsidR="0019302D" w:rsidRPr="00662635" w:rsidRDefault="00B47A2F" w:rsidP="00B47A2F">
            <w:pPr>
              <w:widowControl w:val="0"/>
              <w:spacing w:before="100"/>
              <w:ind w:right="0"/>
              <w:rPr>
                <w:lang w:val="en-US"/>
              </w:rPr>
            </w:pPr>
            <w:r w:rsidRPr="00662635">
              <w:rPr>
                <w:lang w:val="en-US"/>
              </w:rPr>
              <w:t>I believe that the main contribution of this dissertation is the clear vision of the paths that the European Union has chosen to take throughout its existence, allowing us to predict its future.</w:t>
            </w:r>
          </w:p>
        </w:tc>
      </w:tr>
      <w:tr w:rsidR="0019302D" w14:paraId="59FF32B8" w14:textId="77777777">
        <w:tc>
          <w:tcPr>
            <w:tcW w:w="6237" w:type="dxa"/>
          </w:tcPr>
          <w:sdt>
            <w:sdtPr>
              <w:tag w:val="goog_rdk_4"/>
              <w:id w:val="1828250873"/>
            </w:sdtPr>
            <w:sdtEndPr/>
            <w:sdtContent>
              <w:p w14:paraId="448268E7" w14:textId="77777777" w:rsidR="0019302D" w:rsidRDefault="006E60C5">
                <w:pPr>
                  <w:keepLines/>
                  <w:widowControl w:val="0"/>
                  <w:pBdr>
                    <w:top w:val="nil"/>
                    <w:left w:val="nil"/>
                    <w:bottom w:val="nil"/>
                    <w:right w:val="nil"/>
                    <w:between w:val="nil"/>
                  </w:pBdr>
                  <w:spacing w:before="200" w:line="288" w:lineRule="auto"/>
                  <w:ind w:right="0"/>
                  <w:jc w:val="left"/>
                  <w:rPr>
                    <w:rFonts w:ascii="Helvetica Neue" w:eastAsia="Helvetica Neue" w:hAnsi="Helvetica Neue" w:cs="Helvetica Neue"/>
                    <w:b/>
                    <w:bCs/>
                    <w:color w:val="000000"/>
                    <w:sz w:val="28"/>
                    <w:szCs w:val="28"/>
                  </w:rPr>
                </w:pPr>
                <w:r>
                  <w:rPr>
                    <w:rFonts w:ascii="Helvetica Neue" w:eastAsia="Helvetica Neue" w:hAnsi="Helvetica Neue" w:cs="Helvetica Neue"/>
                    <w:b/>
                    <w:bCs/>
                    <w:color w:val="000000"/>
                    <w:sz w:val="28"/>
                    <w:szCs w:val="28"/>
                  </w:rPr>
                  <w:t>Keywords</w:t>
                </w:r>
              </w:p>
            </w:sdtContent>
          </w:sdt>
        </w:tc>
      </w:tr>
      <w:tr w:rsidR="0019302D" w:rsidRPr="00662635" w14:paraId="5931DD38" w14:textId="77777777">
        <w:tc>
          <w:tcPr>
            <w:tcW w:w="6237" w:type="dxa"/>
          </w:tcPr>
          <w:p w14:paraId="2E499DA7" w14:textId="782F64B0" w:rsidR="0019302D" w:rsidRPr="00662635" w:rsidRDefault="00051403">
            <w:pPr>
              <w:spacing w:before="100" w:line="288" w:lineRule="auto"/>
              <w:ind w:right="0"/>
              <w:rPr>
                <w:lang w:val="en-US"/>
              </w:rPr>
            </w:pPr>
            <w:r w:rsidRPr="00662635">
              <w:rPr>
                <w:lang w:val="en-US"/>
              </w:rPr>
              <w:t>European</w:t>
            </w:r>
            <w:r w:rsidR="00351C6C" w:rsidRPr="00662635">
              <w:rPr>
                <w:lang w:val="en-US"/>
              </w:rPr>
              <w:t xml:space="preserve"> </w:t>
            </w:r>
            <w:r w:rsidRPr="00662635">
              <w:rPr>
                <w:lang w:val="en-US"/>
              </w:rPr>
              <w:t>Union; Federalism; Supranationality; Constitutionalism; Primacy of</w:t>
            </w:r>
            <w:r w:rsidR="00351C6C" w:rsidRPr="00662635">
              <w:rPr>
                <w:lang w:val="en-US"/>
              </w:rPr>
              <w:t xml:space="preserve"> Union’s Law</w:t>
            </w:r>
          </w:p>
        </w:tc>
      </w:tr>
    </w:tbl>
    <w:p w14:paraId="6900871B" w14:textId="77777777" w:rsidR="0019302D" w:rsidRPr="00662635" w:rsidRDefault="006E60C5">
      <w:pPr>
        <w:spacing w:before="0"/>
        <w:ind w:right="3"/>
        <w:rPr>
          <w:lang w:val="en-US"/>
        </w:rPr>
      </w:pPr>
      <w:r w:rsidRPr="00662635">
        <w:rPr>
          <w:lang w:val="en-US"/>
        </w:rPr>
        <w:br w:type="page"/>
      </w:r>
    </w:p>
    <w:p w14:paraId="544C07E0" w14:textId="77777777" w:rsidR="0019302D" w:rsidRPr="00662635" w:rsidRDefault="0019302D" w:rsidP="0088384A">
      <w:pPr>
        <w:spacing w:before="4000"/>
        <w:ind w:right="6"/>
        <w:rPr>
          <w:lang w:val="en-US"/>
        </w:rPr>
      </w:pPr>
    </w:p>
    <w:sdt>
      <w:sdtPr>
        <w:rPr>
          <w:rFonts w:ascii="Helvetica Neue Light" w:eastAsia="Helvetica Neue Light" w:hAnsi="Helvetica Neue Light" w:cstheme="majorHAnsi"/>
          <w:b w:val="0"/>
          <w:bCs w:val="0"/>
          <w:caps/>
          <w:noProof/>
          <w:sz w:val="18"/>
          <w:szCs w:val="18"/>
        </w:rPr>
        <w:id w:val="755106625"/>
        <w:docPartObj>
          <w:docPartGallery w:val="Table of Contents"/>
          <w:docPartUnique/>
        </w:docPartObj>
      </w:sdtPr>
      <w:sdtEndPr>
        <w:rPr>
          <w:b/>
          <w:bCs/>
        </w:rPr>
      </w:sdtEndPr>
      <w:sdtContent>
        <w:p w14:paraId="7C490575" w14:textId="34C57761" w:rsidR="00A017C8" w:rsidRPr="00A66FD2" w:rsidRDefault="00A017C8" w:rsidP="00A66FD2">
          <w:pPr>
            <w:pStyle w:val="Cabealhodondice"/>
          </w:pPr>
          <w:r w:rsidRPr="00A66FD2">
            <w:t>Índice</w:t>
          </w:r>
        </w:p>
        <w:p w14:paraId="16434D30" w14:textId="3CAB5D72" w:rsidR="00E3272D" w:rsidRPr="0025493C" w:rsidRDefault="00A017C8">
          <w:pPr>
            <w:pStyle w:val="ndice1"/>
            <w:rPr>
              <w:rFonts w:asciiTheme="minorHAnsi" w:eastAsiaTheme="minorEastAsia" w:hAnsiTheme="minorHAnsi" w:cstheme="minorBidi"/>
              <w:b w:val="0"/>
              <w:bCs w:val="0"/>
              <w:caps w:val="0"/>
              <w:kern w:val="2"/>
              <w:sz w:val="24"/>
              <w:szCs w:val="24"/>
              <w14:ligatures w14:val="standardContextual"/>
            </w:rPr>
          </w:pPr>
          <w:r w:rsidRPr="0025493C">
            <w:rPr>
              <w:b w:val="0"/>
              <w:bCs w:val="0"/>
            </w:rPr>
            <w:fldChar w:fldCharType="begin"/>
          </w:r>
          <w:r w:rsidRPr="0025493C">
            <w:rPr>
              <w:b w:val="0"/>
              <w:bCs w:val="0"/>
            </w:rPr>
            <w:instrText xml:space="preserve"> TOC \o "1-3" \h \z \u </w:instrText>
          </w:r>
          <w:r w:rsidRPr="0025493C">
            <w:rPr>
              <w:b w:val="0"/>
              <w:bCs w:val="0"/>
            </w:rPr>
            <w:fldChar w:fldCharType="separate"/>
          </w:r>
          <w:hyperlink w:anchor="_Toc221648062" w:history="1">
            <w:r w:rsidR="00E3272D" w:rsidRPr="0025493C">
              <w:rPr>
                <w:rStyle w:val="Hiperligao"/>
                <w:b w:val="0"/>
                <w:bCs w:val="0"/>
              </w:rPr>
              <w:t>Introdução</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_Toc221648062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1</w:t>
            </w:r>
            <w:r w:rsidR="00E3272D" w:rsidRPr="0025493C">
              <w:rPr>
                <w:b w:val="0"/>
                <w:bCs w:val="0"/>
                <w:webHidden/>
              </w:rPr>
              <w:fldChar w:fldCharType="end"/>
            </w:r>
          </w:hyperlink>
        </w:p>
        <w:p w14:paraId="2EF4DF30" w14:textId="712695F4" w:rsidR="00E3272D" w:rsidRPr="0025493C" w:rsidRDefault="000C7F58">
          <w:pPr>
            <w:pStyle w:val="ndice1"/>
            <w:rPr>
              <w:rFonts w:asciiTheme="minorHAnsi" w:eastAsiaTheme="minorEastAsia" w:hAnsiTheme="minorHAnsi" w:cstheme="minorBidi"/>
              <w:b w:val="0"/>
              <w:bCs w:val="0"/>
              <w:caps w:val="0"/>
              <w:kern w:val="2"/>
              <w:sz w:val="24"/>
              <w:szCs w:val="24"/>
              <w14:ligatures w14:val="standardContextual"/>
            </w:rPr>
          </w:pPr>
          <w:hyperlink w:anchor="_Toc221648063" w:history="1">
            <w:r w:rsidR="00E3272D" w:rsidRPr="0025493C">
              <w:rPr>
                <w:rStyle w:val="Hiperligao"/>
                <w:b w:val="0"/>
                <w:bCs w:val="0"/>
              </w:rPr>
              <w:t>1.</w:t>
            </w:r>
            <w:r w:rsidR="00E3272D" w:rsidRPr="0025493C">
              <w:rPr>
                <w:rFonts w:asciiTheme="minorHAnsi" w:eastAsiaTheme="minorEastAsia" w:hAnsiTheme="minorHAnsi" w:cstheme="minorBidi"/>
                <w:b w:val="0"/>
                <w:bCs w:val="0"/>
                <w:caps w:val="0"/>
                <w:kern w:val="2"/>
                <w:sz w:val="24"/>
                <w:szCs w:val="24"/>
                <w14:ligatures w14:val="standardContextual"/>
              </w:rPr>
              <w:tab/>
            </w:r>
            <w:r w:rsidR="00E3272D" w:rsidRPr="0025493C">
              <w:rPr>
                <w:rStyle w:val="Hiperligao"/>
                <w:b w:val="0"/>
                <w:bCs w:val="0"/>
              </w:rPr>
              <w:t>Enquadramento Teórico: Federalismo e Soberania</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_Toc221648063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2</w:t>
            </w:r>
            <w:r w:rsidR="00E3272D" w:rsidRPr="0025493C">
              <w:rPr>
                <w:b w:val="0"/>
                <w:bCs w:val="0"/>
                <w:webHidden/>
              </w:rPr>
              <w:fldChar w:fldCharType="end"/>
            </w:r>
          </w:hyperlink>
        </w:p>
        <w:p w14:paraId="0323097C" w14:textId="5384981D" w:rsidR="00E3272D" w:rsidRPr="0025493C" w:rsidRDefault="000C7F58">
          <w:pPr>
            <w:pStyle w:val="ndice2"/>
            <w:tabs>
              <w:tab w:val="left" w:pos="880"/>
            </w:tabs>
            <w:rPr>
              <w:rFonts w:asciiTheme="minorHAnsi" w:eastAsiaTheme="minorEastAsia" w:hAnsiTheme="minorHAnsi" w:cstheme="minorBidi"/>
              <w:b w:val="0"/>
              <w:bCs w:val="0"/>
              <w:caps w:val="0"/>
              <w:kern w:val="2"/>
              <w:sz w:val="24"/>
              <w:szCs w:val="24"/>
              <w14:ligatures w14:val="standardContextual"/>
            </w:rPr>
          </w:pPr>
          <w:hyperlink w:anchor="_Toc221648064" w:history="1">
            <w:r w:rsidR="00E3272D" w:rsidRPr="0025493C">
              <w:rPr>
                <w:rStyle w:val="Hiperligao"/>
                <w:b w:val="0"/>
                <w:bCs w:val="0"/>
              </w:rPr>
              <w:t>1.1.</w:t>
            </w:r>
            <w:r w:rsidR="00E3272D" w:rsidRPr="0025493C">
              <w:rPr>
                <w:rFonts w:asciiTheme="minorHAnsi" w:eastAsiaTheme="minorEastAsia" w:hAnsiTheme="minorHAnsi" w:cstheme="minorBidi"/>
                <w:b w:val="0"/>
                <w:bCs w:val="0"/>
                <w:caps w:val="0"/>
                <w:kern w:val="2"/>
                <w:sz w:val="24"/>
                <w:szCs w:val="24"/>
                <w14:ligatures w14:val="standardContextual"/>
              </w:rPr>
              <w:tab/>
            </w:r>
            <w:r w:rsidR="00E3272D" w:rsidRPr="0025493C">
              <w:rPr>
                <w:rStyle w:val="Hiperligao"/>
                <w:b w:val="0"/>
                <w:bCs w:val="0"/>
              </w:rPr>
              <w:t>Conceito de federalismo: origens, modelos e evolução histórica</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_Toc221648064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2</w:t>
            </w:r>
            <w:r w:rsidR="00E3272D" w:rsidRPr="0025493C">
              <w:rPr>
                <w:b w:val="0"/>
                <w:bCs w:val="0"/>
                <w:webHidden/>
              </w:rPr>
              <w:fldChar w:fldCharType="end"/>
            </w:r>
          </w:hyperlink>
        </w:p>
        <w:p w14:paraId="722F93BD" w14:textId="60109467" w:rsidR="00E3272D" w:rsidRPr="0025493C" w:rsidRDefault="000C7F58">
          <w:pPr>
            <w:pStyle w:val="ndice1"/>
            <w:rPr>
              <w:rFonts w:asciiTheme="minorHAnsi" w:eastAsiaTheme="minorEastAsia" w:hAnsiTheme="minorHAnsi" w:cstheme="minorBidi"/>
              <w:b w:val="0"/>
              <w:bCs w:val="0"/>
              <w:caps w:val="0"/>
              <w:kern w:val="2"/>
              <w:sz w:val="24"/>
              <w:szCs w:val="24"/>
              <w14:ligatures w14:val="standardContextual"/>
            </w:rPr>
          </w:pPr>
          <w:hyperlink w:anchor="_Toc221648065" w:history="1">
            <w:r w:rsidR="00E3272D" w:rsidRPr="0025493C">
              <w:rPr>
                <w:rStyle w:val="Hiperligao"/>
                <w:b w:val="0"/>
                <w:bCs w:val="0"/>
              </w:rPr>
              <w:t>2.</w:t>
            </w:r>
            <w:r w:rsidR="00E3272D" w:rsidRPr="0025493C">
              <w:rPr>
                <w:rFonts w:asciiTheme="minorHAnsi" w:eastAsiaTheme="minorEastAsia" w:hAnsiTheme="minorHAnsi" w:cstheme="minorBidi"/>
                <w:b w:val="0"/>
                <w:bCs w:val="0"/>
                <w:caps w:val="0"/>
                <w:kern w:val="2"/>
                <w:sz w:val="24"/>
                <w:szCs w:val="24"/>
                <w14:ligatures w14:val="standardContextual"/>
              </w:rPr>
              <w:tab/>
            </w:r>
            <w:r w:rsidR="00E3272D" w:rsidRPr="0025493C">
              <w:rPr>
                <w:rStyle w:val="Hiperligao"/>
                <w:b w:val="0"/>
                <w:bCs w:val="0"/>
              </w:rPr>
              <w:t>A União Europeia: Estrutura Actual e Tendências Federalistas</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_Toc221648065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8</w:t>
            </w:r>
            <w:r w:rsidR="00E3272D" w:rsidRPr="0025493C">
              <w:rPr>
                <w:b w:val="0"/>
                <w:bCs w:val="0"/>
                <w:webHidden/>
              </w:rPr>
              <w:fldChar w:fldCharType="end"/>
            </w:r>
          </w:hyperlink>
        </w:p>
        <w:p w14:paraId="2643B49F" w14:textId="41190501" w:rsidR="00E3272D" w:rsidRPr="0025493C" w:rsidRDefault="000C7F58">
          <w:pPr>
            <w:pStyle w:val="ndice2"/>
            <w:tabs>
              <w:tab w:val="left" w:pos="880"/>
            </w:tabs>
            <w:rPr>
              <w:rFonts w:asciiTheme="minorHAnsi" w:eastAsiaTheme="minorEastAsia" w:hAnsiTheme="minorHAnsi" w:cstheme="minorBidi"/>
              <w:b w:val="0"/>
              <w:bCs w:val="0"/>
              <w:caps w:val="0"/>
              <w:kern w:val="2"/>
              <w:sz w:val="24"/>
              <w:szCs w:val="24"/>
              <w14:ligatures w14:val="standardContextual"/>
            </w:rPr>
          </w:pPr>
          <w:hyperlink w:anchor="_Toc221648066" w:history="1">
            <w:r w:rsidR="00E3272D" w:rsidRPr="0025493C">
              <w:rPr>
                <w:rStyle w:val="Hiperligao"/>
                <w:b w:val="0"/>
                <w:bCs w:val="0"/>
              </w:rPr>
              <w:t>2.1.</w:t>
            </w:r>
            <w:r w:rsidR="00E3272D" w:rsidRPr="0025493C">
              <w:rPr>
                <w:rFonts w:asciiTheme="minorHAnsi" w:eastAsiaTheme="minorEastAsia" w:hAnsiTheme="minorHAnsi" w:cstheme="minorBidi"/>
                <w:b w:val="0"/>
                <w:bCs w:val="0"/>
                <w:caps w:val="0"/>
                <w:kern w:val="2"/>
                <w:sz w:val="24"/>
                <w:szCs w:val="24"/>
                <w14:ligatures w14:val="standardContextual"/>
              </w:rPr>
              <w:tab/>
            </w:r>
            <w:r w:rsidR="00E3272D" w:rsidRPr="0025493C">
              <w:rPr>
                <w:rStyle w:val="Hiperligao"/>
                <w:b w:val="0"/>
                <w:bCs w:val="0"/>
              </w:rPr>
              <w:t>Evolução institucional da União Europeia: dos tratados fundadores ao Tratado de Lisboa</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_Toc221648066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8</w:t>
            </w:r>
            <w:r w:rsidR="00E3272D" w:rsidRPr="0025493C">
              <w:rPr>
                <w:b w:val="0"/>
                <w:bCs w:val="0"/>
                <w:webHidden/>
              </w:rPr>
              <w:fldChar w:fldCharType="end"/>
            </w:r>
          </w:hyperlink>
        </w:p>
        <w:p w14:paraId="0E750504" w14:textId="2F6DEF2E" w:rsidR="00E3272D" w:rsidRPr="0025493C" w:rsidRDefault="000C7F58">
          <w:pPr>
            <w:pStyle w:val="ndice2"/>
            <w:tabs>
              <w:tab w:val="left" w:pos="880"/>
            </w:tabs>
            <w:rPr>
              <w:rFonts w:asciiTheme="minorHAnsi" w:eastAsiaTheme="minorEastAsia" w:hAnsiTheme="minorHAnsi" w:cstheme="minorBidi"/>
              <w:b w:val="0"/>
              <w:bCs w:val="0"/>
              <w:caps w:val="0"/>
              <w:kern w:val="2"/>
              <w:sz w:val="24"/>
              <w:szCs w:val="24"/>
              <w14:ligatures w14:val="standardContextual"/>
            </w:rPr>
          </w:pPr>
          <w:hyperlink w:anchor="_Toc221648067" w:history="1">
            <w:r w:rsidR="00E3272D" w:rsidRPr="0025493C">
              <w:rPr>
                <w:rStyle w:val="Hiperligao"/>
                <w:b w:val="0"/>
                <w:bCs w:val="0"/>
              </w:rPr>
              <w:t>2.2.</w:t>
            </w:r>
            <w:r w:rsidR="00E3272D" w:rsidRPr="0025493C">
              <w:rPr>
                <w:rFonts w:asciiTheme="minorHAnsi" w:eastAsiaTheme="minorEastAsia" w:hAnsiTheme="minorHAnsi" w:cstheme="minorBidi"/>
                <w:b w:val="0"/>
                <w:bCs w:val="0"/>
                <w:caps w:val="0"/>
                <w:kern w:val="2"/>
                <w:sz w:val="24"/>
                <w:szCs w:val="24"/>
                <w14:ligatures w14:val="standardContextual"/>
              </w:rPr>
              <w:tab/>
            </w:r>
            <w:r w:rsidR="00E3272D" w:rsidRPr="0025493C">
              <w:rPr>
                <w:rStyle w:val="Hiperligao"/>
                <w:b w:val="0"/>
                <w:bCs w:val="0"/>
              </w:rPr>
              <w:t>Características federais e confederadas da UE</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_Toc221648067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13</w:t>
            </w:r>
            <w:r w:rsidR="00E3272D" w:rsidRPr="0025493C">
              <w:rPr>
                <w:b w:val="0"/>
                <w:bCs w:val="0"/>
                <w:webHidden/>
              </w:rPr>
              <w:fldChar w:fldCharType="end"/>
            </w:r>
          </w:hyperlink>
        </w:p>
        <w:p w14:paraId="3A4E2858" w14:textId="17B89AB9" w:rsidR="00E3272D" w:rsidRPr="0025493C" w:rsidRDefault="000C7F58">
          <w:pPr>
            <w:pStyle w:val="ndice3"/>
            <w:tabs>
              <w:tab w:val="left" w:pos="1100"/>
              <w:tab w:val="right" w:pos="6228"/>
            </w:tabs>
            <w:rPr>
              <w:rFonts w:eastAsiaTheme="minorEastAsia" w:cstheme="minorBidi"/>
              <w:noProof/>
              <w:kern w:val="2"/>
              <w:sz w:val="24"/>
              <w:szCs w:val="24"/>
              <w14:ligatures w14:val="standardContextual"/>
            </w:rPr>
          </w:pPr>
          <w:hyperlink w:anchor="_Toc221648068" w:history="1">
            <w:r w:rsidR="00E3272D" w:rsidRPr="0025493C">
              <w:rPr>
                <w:rStyle w:val="Hiperligao"/>
                <w:noProof/>
              </w:rPr>
              <w:t>2.2.1.</w:t>
            </w:r>
            <w:r w:rsidR="00E3272D" w:rsidRPr="0025493C">
              <w:rPr>
                <w:rFonts w:eastAsiaTheme="minorEastAsia" w:cstheme="minorBidi"/>
                <w:noProof/>
                <w:kern w:val="2"/>
                <w:sz w:val="24"/>
                <w:szCs w:val="24"/>
                <w14:ligatures w14:val="standardContextual"/>
              </w:rPr>
              <w:tab/>
            </w:r>
            <w:r w:rsidR="00E3272D" w:rsidRPr="0025493C">
              <w:rPr>
                <w:rStyle w:val="Hiperligao"/>
                <w:noProof/>
              </w:rPr>
              <w:t>Características federais</w:t>
            </w:r>
            <w:r w:rsidR="00E3272D" w:rsidRPr="0025493C">
              <w:rPr>
                <w:noProof/>
                <w:webHidden/>
              </w:rPr>
              <w:tab/>
            </w:r>
            <w:r w:rsidR="00E3272D" w:rsidRPr="0025493C">
              <w:rPr>
                <w:noProof/>
                <w:webHidden/>
              </w:rPr>
              <w:fldChar w:fldCharType="begin"/>
            </w:r>
            <w:r w:rsidR="00E3272D" w:rsidRPr="0025493C">
              <w:rPr>
                <w:noProof/>
                <w:webHidden/>
              </w:rPr>
              <w:instrText xml:space="preserve"> PAGEREF _Toc221648068 \h </w:instrText>
            </w:r>
            <w:r w:rsidR="00E3272D" w:rsidRPr="0025493C">
              <w:rPr>
                <w:noProof/>
                <w:webHidden/>
              </w:rPr>
            </w:r>
            <w:r w:rsidR="00E3272D" w:rsidRPr="0025493C">
              <w:rPr>
                <w:noProof/>
                <w:webHidden/>
              </w:rPr>
              <w:fldChar w:fldCharType="separate"/>
            </w:r>
            <w:r w:rsidR="00E3272D" w:rsidRPr="0025493C">
              <w:rPr>
                <w:noProof/>
                <w:webHidden/>
              </w:rPr>
              <w:t>14</w:t>
            </w:r>
            <w:r w:rsidR="00E3272D" w:rsidRPr="0025493C">
              <w:rPr>
                <w:noProof/>
                <w:webHidden/>
              </w:rPr>
              <w:fldChar w:fldCharType="end"/>
            </w:r>
          </w:hyperlink>
        </w:p>
        <w:p w14:paraId="636E9328" w14:textId="4C7AC377" w:rsidR="00E3272D" w:rsidRPr="0025493C" w:rsidRDefault="000C7F58">
          <w:pPr>
            <w:pStyle w:val="ndice3"/>
            <w:tabs>
              <w:tab w:val="left" w:pos="1100"/>
              <w:tab w:val="right" w:pos="6228"/>
            </w:tabs>
            <w:rPr>
              <w:rFonts w:eastAsiaTheme="minorEastAsia" w:cstheme="minorBidi"/>
              <w:noProof/>
              <w:kern w:val="2"/>
              <w:sz w:val="24"/>
              <w:szCs w:val="24"/>
              <w14:ligatures w14:val="standardContextual"/>
            </w:rPr>
          </w:pPr>
          <w:hyperlink w:anchor="_Toc221648069" w:history="1">
            <w:r w:rsidR="00E3272D" w:rsidRPr="0025493C">
              <w:rPr>
                <w:rStyle w:val="Hiperligao"/>
                <w:noProof/>
              </w:rPr>
              <w:t>2.2.2.</w:t>
            </w:r>
            <w:r w:rsidR="00E3272D" w:rsidRPr="0025493C">
              <w:rPr>
                <w:rFonts w:eastAsiaTheme="minorEastAsia" w:cstheme="minorBidi"/>
                <w:noProof/>
                <w:kern w:val="2"/>
                <w:sz w:val="24"/>
                <w:szCs w:val="24"/>
                <w14:ligatures w14:val="standardContextual"/>
              </w:rPr>
              <w:tab/>
            </w:r>
            <w:r w:rsidR="00E3272D" w:rsidRPr="0025493C">
              <w:rPr>
                <w:rStyle w:val="Hiperligao"/>
                <w:noProof/>
              </w:rPr>
              <w:t>Características confederadas</w:t>
            </w:r>
            <w:r w:rsidR="00E3272D" w:rsidRPr="0025493C">
              <w:rPr>
                <w:noProof/>
                <w:webHidden/>
              </w:rPr>
              <w:tab/>
            </w:r>
            <w:r w:rsidR="00E3272D" w:rsidRPr="0025493C">
              <w:rPr>
                <w:noProof/>
                <w:webHidden/>
              </w:rPr>
              <w:fldChar w:fldCharType="begin"/>
            </w:r>
            <w:r w:rsidR="00E3272D" w:rsidRPr="0025493C">
              <w:rPr>
                <w:noProof/>
                <w:webHidden/>
              </w:rPr>
              <w:instrText xml:space="preserve"> PAGEREF _Toc221648069 \h </w:instrText>
            </w:r>
            <w:r w:rsidR="00E3272D" w:rsidRPr="0025493C">
              <w:rPr>
                <w:noProof/>
                <w:webHidden/>
              </w:rPr>
            </w:r>
            <w:r w:rsidR="00E3272D" w:rsidRPr="0025493C">
              <w:rPr>
                <w:noProof/>
                <w:webHidden/>
              </w:rPr>
              <w:fldChar w:fldCharType="separate"/>
            </w:r>
            <w:r w:rsidR="00E3272D" w:rsidRPr="0025493C">
              <w:rPr>
                <w:noProof/>
                <w:webHidden/>
              </w:rPr>
              <w:t>21</w:t>
            </w:r>
            <w:r w:rsidR="00E3272D" w:rsidRPr="0025493C">
              <w:rPr>
                <w:noProof/>
                <w:webHidden/>
              </w:rPr>
              <w:fldChar w:fldCharType="end"/>
            </w:r>
          </w:hyperlink>
        </w:p>
        <w:p w14:paraId="2410418C" w14:textId="2E4FB4CC" w:rsidR="00E3272D" w:rsidRPr="0025493C" w:rsidRDefault="000C7F58">
          <w:pPr>
            <w:pStyle w:val="ndice1"/>
            <w:rPr>
              <w:rFonts w:asciiTheme="minorHAnsi" w:eastAsiaTheme="minorEastAsia" w:hAnsiTheme="minorHAnsi" w:cstheme="minorBidi"/>
              <w:b w:val="0"/>
              <w:bCs w:val="0"/>
              <w:caps w:val="0"/>
              <w:kern w:val="2"/>
              <w:sz w:val="24"/>
              <w:szCs w:val="24"/>
              <w14:ligatures w14:val="standardContextual"/>
            </w:rPr>
          </w:pPr>
          <w:hyperlink w:anchor="_Toc221648070" w:history="1">
            <w:r w:rsidR="00E3272D" w:rsidRPr="0025493C">
              <w:rPr>
                <w:rStyle w:val="Hiperligao"/>
                <w:b w:val="0"/>
                <w:bCs w:val="0"/>
              </w:rPr>
              <w:t>3.</w:t>
            </w:r>
            <w:r w:rsidR="00E3272D" w:rsidRPr="0025493C">
              <w:rPr>
                <w:rFonts w:asciiTheme="minorHAnsi" w:eastAsiaTheme="minorEastAsia" w:hAnsiTheme="minorHAnsi" w:cstheme="minorBidi"/>
                <w:b w:val="0"/>
                <w:bCs w:val="0"/>
                <w:caps w:val="0"/>
                <w:kern w:val="2"/>
                <w:sz w:val="24"/>
                <w:szCs w:val="24"/>
                <w14:ligatures w14:val="standardContextual"/>
              </w:rPr>
              <w:tab/>
            </w:r>
            <w:r w:rsidR="00E3272D" w:rsidRPr="0025493C">
              <w:rPr>
                <w:rStyle w:val="Hiperligao"/>
                <w:b w:val="0"/>
                <w:bCs w:val="0"/>
              </w:rPr>
              <w:t>O processo de federalização</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_Toc221648070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25</w:t>
            </w:r>
            <w:r w:rsidR="00E3272D" w:rsidRPr="0025493C">
              <w:rPr>
                <w:b w:val="0"/>
                <w:bCs w:val="0"/>
                <w:webHidden/>
              </w:rPr>
              <w:fldChar w:fldCharType="end"/>
            </w:r>
          </w:hyperlink>
        </w:p>
        <w:p w14:paraId="1EAF4D6F" w14:textId="6D1AA5E5" w:rsidR="00E3272D" w:rsidRPr="0025493C" w:rsidRDefault="000C7F58">
          <w:pPr>
            <w:pStyle w:val="ndice2"/>
            <w:rPr>
              <w:rFonts w:asciiTheme="minorHAnsi" w:eastAsiaTheme="minorEastAsia" w:hAnsiTheme="minorHAnsi" w:cstheme="minorBidi"/>
              <w:b w:val="0"/>
              <w:bCs w:val="0"/>
              <w:caps w:val="0"/>
              <w:kern w:val="2"/>
              <w:sz w:val="24"/>
              <w:szCs w:val="24"/>
              <w14:ligatures w14:val="standardContextual"/>
            </w:rPr>
          </w:pPr>
          <w:hyperlink w:anchor="_Toc221648071" w:history="1">
            <w:r w:rsidR="00E3272D" w:rsidRPr="0025493C">
              <w:rPr>
                <w:rStyle w:val="Hiperligao"/>
                <w:b w:val="0"/>
                <w:bCs w:val="0"/>
              </w:rPr>
              <w:t>3.1. Análise de propostas e debates de carácter federalista na UE</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_Toc221648071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25</w:t>
            </w:r>
            <w:r w:rsidR="00E3272D" w:rsidRPr="0025493C">
              <w:rPr>
                <w:b w:val="0"/>
                <w:bCs w:val="0"/>
                <w:webHidden/>
              </w:rPr>
              <w:fldChar w:fldCharType="end"/>
            </w:r>
          </w:hyperlink>
        </w:p>
        <w:p w14:paraId="463A704B" w14:textId="6F01119D" w:rsidR="00E3272D" w:rsidRPr="0025493C" w:rsidRDefault="000C7F58">
          <w:pPr>
            <w:pStyle w:val="ndice2"/>
            <w:rPr>
              <w:rFonts w:asciiTheme="minorHAnsi" w:eastAsiaTheme="minorEastAsia" w:hAnsiTheme="minorHAnsi" w:cstheme="minorBidi"/>
              <w:b w:val="0"/>
              <w:bCs w:val="0"/>
              <w:caps w:val="0"/>
              <w:kern w:val="2"/>
              <w:sz w:val="24"/>
              <w:szCs w:val="24"/>
              <w14:ligatures w14:val="standardContextual"/>
            </w:rPr>
          </w:pPr>
          <w:hyperlink w:anchor="_Toc221648072" w:history="1">
            <w:r w:rsidR="00E3272D" w:rsidRPr="0025493C">
              <w:rPr>
                <w:rStyle w:val="Hiperligao"/>
                <w:b w:val="0"/>
                <w:bCs w:val="0"/>
              </w:rPr>
              <w:t>3.2. O papel das identidades constitucionais nacionais</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_Toc221648072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28</w:t>
            </w:r>
            <w:r w:rsidR="00E3272D" w:rsidRPr="0025493C">
              <w:rPr>
                <w:b w:val="0"/>
                <w:bCs w:val="0"/>
                <w:webHidden/>
              </w:rPr>
              <w:fldChar w:fldCharType="end"/>
            </w:r>
          </w:hyperlink>
        </w:p>
        <w:p w14:paraId="4AF2C656" w14:textId="0044A277" w:rsidR="00E3272D" w:rsidRPr="0025493C" w:rsidRDefault="000C7F58">
          <w:pPr>
            <w:pStyle w:val="ndice1"/>
            <w:rPr>
              <w:rFonts w:asciiTheme="minorHAnsi" w:eastAsiaTheme="minorEastAsia" w:hAnsiTheme="minorHAnsi" w:cstheme="minorBidi"/>
              <w:b w:val="0"/>
              <w:bCs w:val="0"/>
              <w:caps w:val="0"/>
              <w:kern w:val="2"/>
              <w:sz w:val="24"/>
              <w:szCs w:val="24"/>
              <w14:ligatures w14:val="standardContextual"/>
            </w:rPr>
          </w:pPr>
          <w:hyperlink w:anchor="_Toc221648073" w:history="1">
            <w:r w:rsidR="00E3272D" w:rsidRPr="0025493C">
              <w:rPr>
                <w:rStyle w:val="Hiperligao"/>
                <w:b w:val="0"/>
                <w:bCs w:val="0"/>
              </w:rPr>
              <w:t>4. Vantagens da Federalização para os Estados-membros e para a União Europeia: Potencial para maior eficácia política e económica</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_Toc221648073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41</w:t>
            </w:r>
            <w:r w:rsidR="00E3272D" w:rsidRPr="0025493C">
              <w:rPr>
                <w:b w:val="0"/>
                <w:bCs w:val="0"/>
                <w:webHidden/>
              </w:rPr>
              <w:fldChar w:fldCharType="end"/>
            </w:r>
          </w:hyperlink>
        </w:p>
        <w:p w14:paraId="5EAFA9F5" w14:textId="3CC72D1C" w:rsidR="00E3272D" w:rsidRPr="0025493C" w:rsidRDefault="000C7F58">
          <w:pPr>
            <w:pStyle w:val="ndice1"/>
            <w:rPr>
              <w:rFonts w:asciiTheme="minorHAnsi" w:eastAsiaTheme="minorEastAsia" w:hAnsiTheme="minorHAnsi" w:cstheme="minorBidi"/>
              <w:b w:val="0"/>
              <w:bCs w:val="0"/>
              <w:caps w:val="0"/>
              <w:kern w:val="2"/>
              <w:sz w:val="24"/>
              <w:szCs w:val="24"/>
              <w14:ligatures w14:val="standardContextual"/>
            </w:rPr>
          </w:pPr>
          <w:hyperlink w:anchor="_Toc221648074" w:history="1">
            <w:r w:rsidR="00E3272D" w:rsidRPr="0025493C">
              <w:rPr>
                <w:rStyle w:val="Hiperligao"/>
                <w:b w:val="0"/>
                <w:bCs w:val="0"/>
              </w:rPr>
              <w:t>5. Obstáculos jurídicos, políticos e sociais à federalização</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_Toc221648074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48</w:t>
            </w:r>
            <w:r w:rsidR="00E3272D" w:rsidRPr="0025493C">
              <w:rPr>
                <w:b w:val="0"/>
                <w:bCs w:val="0"/>
                <w:webHidden/>
              </w:rPr>
              <w:fldChar w:fldCharType="end"/>
            </w:r>
          </w:hyperlink>
        </w:p>
        <w:p w14:paraId="1417F83E" w14:textId="4E4065AB" w:rsidR="00E3272D" w:rsidRPr="0025493C" w:rsidRDefault="000C7F58">
          <w:pPr>
            <w:pStyle w:val="ndice1"/>
            <w:rPr>
              <w:rFonts w:asciiTheme="minorHAnsi" w:eastAsiaTheme="minorEastAsia" w:hAnsiTheme="minorHAnsi" w:cstheme="minorBidi"/>
              <w:b w:val="0"/>
              <w:bCs w:val="0"/>
              <w:caps w:val="0"/>
              <w:kern w:val="2"/>
              <w:sz w:val="24"/>
              <w:szCs w:val="24"/>
              <w14:ligatures w14:val="standardContextual"/>
            </w:rPr>
          </w:pPr>
          <w:hyperlink w:anchor="_Toc221648075" w:history="1">
            <w:r w:rsidR="00E3272D" w:rsidRPr="0025493C">
              <w:rPr>
                <w:rStyle w:val="Hiperligao"/>
                <w:b w:val="0"/>
                <w:bCs w:val="0"/>
              </w:rPr>
              <w:t>Conclusão</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_Toc221648075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60</w:t>
            </w:r>
            <w:r w:rsidR="00E3272D" w:rsidRPr="0025493C">
              <w:rPr>
                <w:b w:val="0"/>
                <w:bCs w:val="0"/>
                <w:webHidden/>
              </w:rPr>
              <w:fldChar w:fldCharType="end"/>
            </w:r>
          </w:hyperlink>
        </w:p>
        <w:p w14:paraId="769B2D00" w14:textId="056A03B9" w:rsidR="00E3272D" w:rsidRPr="0025493C" w:rsidRDefault="000C7F58">
          <w:pPr>
            <w:pStyle w:val="ndice1"/>
            <w:rPr>
              <w:rFonts w:asciiTheme="minorHAnsi" w:eastAsiaTheme="minorEastAsia" w:hAnsiTheme="minorHAnsi" w:cstheme="minorBidi"/>
              <w:b w:val="0"/>
              <w:bCs w:val="0"/>
              <w:caps w:val="0"/>
              <w:kern w:val="2"/>
              <w:sz w:val="24"/>
              <w:szCs w:val="24"/>
              <w14:ligatures w14:val="standardContextual"/>
            </w:rPr>
          </w:pPr>
          <w:hyperlink w:anchor="_Toc221648076" w:history="1">
            <w:r w:rsidR="00E3272D" w:rsidRPr="0025493C">
              <w:rPr>
                <w:rStyle w:val="Hiperligao"/>
                <w:b w:val="0"/>
                <w:bCs w:val="0"/>
              </w:rPr>
              <w:t>Referências Bibliográficas</w:t>
            </w:r>
            <w:r w:rsidR="00E3272D" w:rsidRPr="0025493C">
              <w:rPr>
                <w:b w:val="0"/>
                <w:bCs w:val="0"/>
                <w:webHidden/>
              </w:rPr>
              <w:tab/>
            </w:r>
            <w:r w:rsidR="00E3272D" w:rsidRPr="0025493C">
              <w:rPr>
                <w:b w:val="0"/>
                <w:bCs w:val="0"/>
                <w:webHidden/>
              </w:rPr>
              <w:fldChar w:fldCharType="begin"/>
            </w:r>
            <w:r w:rsidR="00E3272D" w:rsidRPr="0025493C">
              <w:rPr>
                <w:b w:val="0"/>
                <w:bCs w:val="0"/>
                <w:webHidden/>
              </w:rPr>
              <w:instrText xml:space="preserve"> PAGEREF _Toc221648076 \h </w:instrText>
            </w:r>
            <w:r w:rsidR="00E3272D" w:rsidRPr="0025493C">
              <w:rPr>
                <w:b w:val="0"/>
                <w:bCs w:val="0"/>
                <w:webHidden/>
              </w:rPr>
            </w:r>
            <w:r w:rsidR="00E3272D" w:rsidRPr="0025493C">
              <w:rPr>
                <w:b w:val="0"/>
                <w:bCs w:val="0"/>
                <w:webHidden/>
              </w:rPr>
              <w:fldChar w:fldCharType="separate"/>
            </w:r>
            <w:r w:rsidR="00E3272D" w:rsidRPr="0025493C">
              <w:rPr>
                <w:b w:val="0"/>
                <w:bCs w:val="0"/>
                <w:webHidden/>
              </w:rPr>
              <w:t>61</w:t>
            </w:r>
            <w:r w:rsidR="00E3272D" w:rsidRPr="0025493C">
              <w:rPr>
                <w:b w:val="0"/>
                <w:bCs w:val="0"/>
                <w:webHidden/>
              </w:rPr>
              <w:fldChar w:fldCharType="end"/>
            </w:r>
          </w:hyperlink>
        </w:p>
        <w:p w14:paraId="1FF242F5" w14:textId="3A1A47F8" w:rsidR="00A017C8" w:rsidRPr="00A017C8" w:rsidRDefault="00A017C8" w:rsidP="00FB2631">
          <w:pPr>
            <w:pStyle w:val="ndice1"/>
          </w:pPr>
          <w:r w:rsidRPr="0025493C">
            <w:rPr>
              <w:b w:val="0"/>
              <w:bCs w:val="0"/>
            </w:rPr>
            <w:fldChar w:fldCharType="end"/>
          </w:r>
        </w:p>
      </w:sdtContent>
    </w:sdt>
    <w:p w14:paraId="22312F80" w14:textId="01CC9163" w:rsidR="0019302D" w:rsidRPr="00A017C8" w:rsidRDefault="006E60C5">
      <w:pPr>
        <w:rPr>
          <w:sz w:val="18"/>
          <w:szCs w:val="18"/>
        </w:rPr>
      </w:pPr>
      <w:r w:rsidRPr="00A017C8">
        <w:rPr>
          <w:sz w:val="18"/>
          <w:szCs w:val="18"/>
        </w:rPr>
        <w:br w:type="page"/>
      </w:r>
    </w:p>
    <w:tbl>
      <w:tblPr>
        <w:tblStyle w:val="6"/>
        <w:tblpPr w:vertAnchor="page" w:horzAnchor="margin" w:tblpY="4537"/>
        <w:tblW w:w="9639" w:type="dxa"/>
        <w:tblInd w:w="0" w:type="dxa"/>
        <w:tblLayout w:type="fixed"/>
        <w:tblLook w:val="0600" w:firstRow="0" w:lastRow="0" w:firstColumn="0" w:lastColumn="0" w:noHBand="1" w:noVBand="1"/>
      </w:tblPr>
      <w:tblGrid>
        <w:gridCol w:w="4536"/>
        <w:gridCol w:w="5096"/>
        <w:gridCol w:w="7"/>
      </w:tblGrid>
      <w:tr w:rsidR="0019302D" w14:paraId="6C2A3938" w14:textId="77777777" w:rsidTr="005E232A">
        <w:trPr>
          <w:gridAfter w:val="1"/>
          <w:wAfter w:w="7" w:type="dxa"/>
          <w:cantSplit/>
          <w:tblHeader/>
        </w:trPr>
        <w:tc>
          <w:tcPr>
            <w:tcW w:w="9632" w:type="dxa"/>
            <w:gridSpan w:val="2"/>
            <w:tcBorders>
              <w:top w:val="nil"/>
              <w:left w:val="nil"/>
              <w:bottom w:val="nil"/>
              <w:right w:val="nil"/>
            </w:tcBorders>
            <w:tcMar>
              <w:top w:w="0" w:type="dxa"/>
              <w:left w:w="0" w:type="dxa"/>
              <w:bottom w:w="0" w:type="dxa"/>
              <w:right w:w="0" w:type="dxa"/>
            </w:tcMar>
          </w:tcPr>
          <w:p w14:paraId="53F80024" w14:textId="2548B3AE" w:rsidR="0019302D" w:rsidRDefault="006E60C5" w:rsidP="00FF72DC">
            <w:pPr>
              <w:pStyle w:val="Ttulo"/>
              <w:rPr>
                <w:rFonts w:ascii="Helvetica Neue Light" w:eastAsia="Helvetica Neue Light" w:hAnsi="Helvetica Neue Light" w:cs="Helvetica Neue Light"/>
                <w:sz w:val="16"/>
                <w:szCs w:val="16"/>
              </w:rPr>
            </w:pPr>
            <w:bookmarkStart w:id="11" w:name="_heading=h.9n5nyxa78d6e" w:colFirst="0" w:colLast="0"/>
            <w:bookmarkStart w:id="12" w:name="_Toc216780190"/>
            <w:bookmarkEnd w:id="11"/>
            <w:r>
              <w:t>Listas de siglas</w:t>
            </w:r>
            <w:bookmarkEnd w:id="12"/>
            <w:r w:rsidR="00E3272D">
              <w:t xml:space="preserve"> ou abreviaturas</w:t>
            </w:r>
          </w:p>
        </w:tc>
      </w:tr>
      <w:tr w:rsidR="0019302D" w14:paraId="5936FE85" w14:textId="77777777" w:rsidTr="005E232A">
        <w:trPr>
          <w:cantSplit/>
          <w:trHeight w:val="566"/>
        </w:trPr>
        <w:tc>
          <w:tcPr>
            <w:tcW w:w="4536" w:type="dxa"/>
            <w:tcBorders>
              <w:top w:val="nil"/>
              <w:left w:val="nil"/>
              <w:bottom w:val="nil"/>
              <w:right w:val="nil"/>
            </w:tcBorders>
            <w:tcMar>
              <w:top w:w="0" w:type="dxa"/>
              <w:left w:w="0" w:type="dxa"/>
              <w:bottom w:w="0" w:type="dxa"/>
              <w:right w:w="0" w:type="dxa"/>
            </w:tcMar>
          </w:tcPr>
          <w:p w14:paraId="1253E990" w14:textId="41714CCD" w:rsidR="0019302D" w:rsidRDefault="00A25201" w:rsidP="005E232A">
            <w:pPr>
              <w:widowControl w:val="0"/>
              <w:spacing w:before="200" w:line="360" w:lineRule="auto"/>
              <w:ind w:right="-4956"/>
              <w:jc w:val="left"/>
              <w:rPr>
                <w:rFonts w:eastAsia="Helvetica Neue" w:cs="Helvetica Neue"/>
                <w:sz w:val="16"/>
                <w:szCs w:val="16"/>
              </w:rPr>
            </w:pPr>
            <w:r w:rsidRPr="005E232A">
              <w:rPr>
                <w:rFonts w:ascii="Helvetica Neue" w:eastAsia="Helvetica Neue" w:hAnsi="Helvetica Neue" w:cs="Helvetica Neue"/>
                <w:b/>
                <w:bCs/>
                <w:sz w:val="16"/>
                <w:szCs w:val="16"/>
              </w:rPr>
              <w:t>UE</w:t>
            </w:r>
            <w:r w:rsidR="005E232A">
              <w:rPr>
                <w:rFonts w:ascii="Helvetica Neue" w:eastAsia="Helvetica Neue" w:hAnsi="Helvetica Neue" w:cs="Helvetica Neue"/>
                <w:b/>
                <w:bCs/>
                <w:sz w:val="16"/>
                <w:szCs w:val="16"/>
              </w:rPr>
              <w:t xml:space="preserve"> </w:t>
            </w:r>
            <w:r w:rsidR="00E3272D">
              <w:rPr>
                <w:rFonts w:ascii="Helvetica Neue" w:eastAsia="Helvetica Neue" w:hAnsi="Helvetica Neue" w:cs="Helvetica Neue"/>
                <w:b/>
                <w:bCs/>
                <w:sz w:val="16"/>
                <w:szCs w:val="16"/>
              </w:rPr>
              <w:t>–</w:t>
            </w:r>
            <w:r w:rsidR="005E232A">
              <w:rPr>
                <w:rFonts w:ascii="Helvetica Neue" w:eastAsia="Helvetica Neue" w:hAnsi="Helvetica Neue" w:cs="Helvetica Neue"/>
                <w:b/>
                <w:bCs/>
                <w:sz w:val="16"/>
                <w:szCs w:val="16"/>
              </w:rPr>
              <w:t xml:space="preserve"> </w:t>
            </w:r>
            <w:r w:rsidR="005E232A" w:rsidRPr="00D56A43">
              <w:rPr>
                <w:rFonts w:eastAsia="Helvetica Neue" w:cs="Helvetica Neue"/>
                <w:sz w:val="16"/>
                <w:szCs w:val="16"/>
              </w:rPr>
              <w:t>União</w:t>
            </w:r>
            <w:r w:rsidR="00E3272D">
              <w:rPr>
                <w:rFonts w:eastAsia="Helvetica Neue" w:cs="Helvetica Neue"/>
                <w:sz w:val="16"/>
                <w:szCs w:val="16"/>
              </w:rPr>
              <w:t xml:space="preserve"> </w:t>
            </w:r>
            <w:r w:rsidR="005E232A" w:rsidRPr="00D56A43">
              <w:rPr>
                <w:rFonts w:eastAsia="Helvetica Neue" w:cs="Helvetica Neue"/>
                <w:sz w:val="16"/>
                <w:szCs w:val="16"/>
              </w:rPr>
              <w:t>Europeia</w:t>
            </w:r>
          </w:p>
          <w:p w14:paraId="723B7111" w14:textId="70069328" w:rsidR="00621505" w:rsidRPr="00D56A43" w:rsidRDefault="00621505" w:rsidP="005E232A">
            <w:pPr>
              <w:widowControl w:val="0"/>
              <w:spacing w:before="200" w:line="360" w:lineRule="auto"/>
              <w:ind w:right="-4956"/>
              <w:jc w:val="left"/>
              <w:rPr>
                <w:rFonts w:ascii="Helvetica Neue" w:eastAsia="Helvetica Neue" w:hAnsi="Helvetica Neue" w:cs="Helvetica Neue"/>
                <w:sz w:val="16"/>
                <w:szCs w:val="16"/>
              </w:rPr>
            </w:pPr>
            <w:r w:rsidRPr="00621505">
              <w:rPr>
                <w:rFonts w:eastAsia="Helvetica Neue" w:cs="Helvetica Neue"/>
                <w:b/>
                <w:bCs/>
                <w:sz w:val="16"/>
                <w:szCs w:val="16"/>
              </w:rPr>
              <w:t>CE</w:t>
            </w:r>
            <w:r>
              <w:rPr>
                <w:rFonts w:eastAsia="Helvetica Neue" w:cs="Helvetica Neue"/>
                <w:sz w:val="16"/>
                <w:szCs w:val="16"/>
              </w:rPr>
              <w:t xml:space="preserve"> – Comunidade Europeia</w:t>
            </w:r>
          </w:p>
          <w:p w14:paraId="36B5B456" w14:textId="42135442" w:rsidR="00A25201" w:rsidRPr="005E232A" w:rsidRDefault="00A25201" w:rsidP="005E232A">
            <w:pPr>
              <w:widowControl w:val="0"/>
              <w:spacing w:before="200" w:line="360" w:lineRule="auto"/>
              <w:ind w:right="0"/>
              <w:jc w:val="left"/>
              <w:rPr>
                <w:b/>
                <w:bCs/>
                <w:sz w:val="16"/>
                <w:szCs w:val="16"/>
              </w:rPr>
            </w:pPr>
            <w:r w:rsidRPr="005E232A">
              <w:rPr>
                <w:b/>
                <w:bCs/>
                <w:sz w:val="16"/>
                <w:szCs w:val="16"/>
              </w:rPr>
              <w:t>CECA</w:t>
            </w:r>
            <w:r w:rsidR="00D56A43">
              <w:rPr>
                <w:b/>
                <w:bCs/>
                <w:sz w:val="16"/>
                <w:szCs w:val="16"/>
              </w:rPr>
              <w:t xml:space="preserve"> - </w:t>
            </w:r>
            <w:r w:rsidR="00D56A43" w:rsidRPr="00D56A43">
              <w:rPr>
                <w:sz w:val="16"/>
                <w:szCs w:val="16"/>
              </w:rPr>
              <w:t>Comunidade Europeia do Carvão e do Aço</w:t>
            </w:r>
          </w:p>
          <w:p w14:paraId="270B7F75" w14:textId="500707D3" w:rsidR="00A25201" w:rsidRPr="005E232A" w:rsidRDefault="00A25201" w:rsidP="005E232A">
            <w:pPr>
              <w:widowControl w:val="0"/>
              <w:spacing w:before="200" w:line="360" w:lineRule="auto"/>
              <w:ind w:right="0"/>
              <w:jc w:val="left"/>
              <w:rPr>
                <w:b/>
                <w:bCs/>
                <w:sz w:val="16"/>
                <w:szCs w:val="16"/>
              </w:rPr>
            </w:pPr>
            <w:r w:rsidRPr="005E232A">
              <w:rPr>
                <w:b/>
                <w:bCs/>
                <w:sz w:val="16"/>
                <w:szCs w:val="16"/>
              </w:rPr>
              <w:t>EURATOM</w:t>
            </w:r>
            <w:r w:rsidR="00D56A43">
              <w:rPr>
                <w:b/>
                <w:bCs/>
                <w:sz w:val="16"/>
                <w:szCs w:val="16"/>
              </w:rPr>
              <w:t xml:space="preserve"> - </w:t>
            </w:r>
            <w:r w:rsidR="00D56A43" w:rsidRPr="00D56A43">
              <w:rPr>
                <w:sz w:val="16"/>
                <w:szCs w:val="16"/>
              </w:rPr>
              <w:t>Comunidade Europeia da Energia Atómica</w:t>
            </w:r>
          </w:p>
          <w:p w14:paraId="5D4038F8" w14:textId="68822629" w:rsidR="00A25201" w:rsidRPr="005E232A" w:rsidRDefault="00A25201" w:rsidP="005E232A">
            <w:pPr>
              <w:widowControl w:val="0"/>
              <w:spacing w:before="200" w:line="360" w:lineRule="auto"/>
              <w:ind w:right="0"/>
              <w:jc w:val="left"/>
              <w:rPr>
                <w:b/>
                <w:bCs/>
                <w:sz w:val="16"/>
                <w:szCs w:val="16"/>
              </w:rPr>
            </w:pPr>
            <w:r w:rsidRPr="005E232A">
              <w:rPr>
                <w:b/>
                <w:bCs/>
                <w:sz w:val="16"/>
                <w:szCs w:val="16"/>
              </w:rPr>
              <w:t>BEI</w:t>
            </w:r>
            <w:r w:rsidR="00D56A43">
              <w:rPr>
                <w:b/>
                <w:bCs/>
                <w:sz w:val="16"/>
                <w:szCs w:val="16"/>
              </w:rPr>
              <w:t xml:space="preserve"> - </w:t>
            </w:r>
            <w:r w:rsidR="00D56A43" w:rsidRPr="00D56A43">
              <w:rPr>
                <w:sz w:val="16"/>
                <w:szCs w:val="16"/>
              </w:rPr>
              <w:t>Banco Europeu de Investimento</w:t>
            </w:r>
          </w:p>
          <w:p w14:paraId="69378050" w14:textId="31016095" w:rsidR="00A25201" w:rsidRPr="005E232A" w:rsidRDefault="00A25201" w:rsidP="005E232A">
            <w:pPr>
              <w:widowControl w:val="0"/>
              <w:spacing w:before="200" w:line="360" w:lineRule="auto"/>
              <w:ind w:right="0"/>
              <w:jc w:val="left"/>
              <w:rPr>
                <w:b/>
                <w:bCs/>
                <w:sz w:val="16"/>
                <w:szCs w:val="16"/>
              </w:rPr>
            </w:pPr>
            <w:r w:rsidRPr="005E232A">
              <w:rPr>
                <w:b/>
                <w:bCs/>
                <w:sz w:val="16"/>
                <w:szCs w:val="16"/>
              </w:rPr>
              <w:t>TFUE</w:t>
            </w:r>
            <w:r w:rsidR="00D56A43">
              <w:rPr>
                <w:b/>
                <w:bCs/>
                <w:sz w:val="16"/>
                <w:szCs w:val="16"/>
              </w:rPr>
              <w:t xml:space="preserve"> - </w:t>
            </w:r>
            <w:r w:rsidR="00D56A43" w:rsidRPr="00D56A43">
              <w:rPr>
                <w:sz w:val="16"/>
                <w:szCs w:val="16"/>
              </w:rPr>
              <w:t>Tratado sobre o Funcionamento da União Europeia</w:t>
            </w:r>
          </w:p>
          <w:p w14:paraId="217D6364" w14:textId="1090DD3A" w:rsidR="00A25201" w:rsidRPr="005E232A" w:rsidRDefault="00A25201" w:rsidP="005E232A">
            <w:pPr>
              <w:widowControl w:val="0"/>
              <w:spacing w:before="200" w:line="360" w:lineRule="auto"/>
              <w:ind w:right="0"/>
              <w:jc w:val="left"/>
              <w:rPr>
                <w:b/>
                <w:bCs/>
                <w:sz w:val="16"/>
                <w:szCs w:val="16"/>
              </w:rPr>
            </w:pPr>
            <w:r w:rsidRPr="005E232A">
              <w:rPr>
                <w:b/>
                <w:bCs/>
                <w:sz w:val="16"/>
                <w:szCs w:val="16"/>
              </w:rPr>
              <w:t>EUA</w:t>
            </w:r>
            <w:r w:rsidR="00D56A43">
              <w:rPr>
                <w:b/>
                <w:bCs/>
                <w:sz w:val="16"/>
                <w:szCs w:val="16"/>
              </w:rPr>
              <w:t xml:space="preserve"> - </w:t>
            </w:r>
            <w:r w:rsidR="00D56A43" w:rsidRPr="00D56A43">
              <w:rPr>
                <w:sz w:val="16"/>
                <w:szCs w:val="16"/>
              </w:rPr>
              <w:t>Estados Unidos da América</w:t>
            </w:r>
          </w:p>
          <w:p w14:paraId="06FB68D5" w14:textId="04659630" w:rsidR="00A25201" w:rsidRPr="005E232A" w:rsidRDefault="00A25201" w:rsidP="005E232A">
            <w:pPr>
              <w:widowControl w:val="0"/>
              <w:spacing w:before="200" w:line="360" w:lineRule="auto"/>
              <w:ind w:right="0"/>
              <w:jc w:val="left"/>
              <w:rPr>
                <w:b/>
                <w:bCs/>
                <w:sz w:val="16"/>
                <w:szCs w:val="16"/>
              </w:rPr>
            </w:pPr>
            <w:r w:rsidRPr="005E232A">
              <w:rPr>
                <w:b/>
                <w:bCs/>
                <w:sz w:val="16"/>
                <w:szCs w:val="16"/>
              </w:rPr>
              <w:t>TUE</w:t>
            </w:r>
            <w:r w:rsidR="00D56A43">
              <w:rPr>
                <w:b/>
                <w:bCs/>
                <w:sz w:val="16"/>
                <w:szCs w:val="16"/>
              </w:rPr>
              <w:t xml:space="preserve"> - </w:t>
            </w:r>
            <w:r w:rsidR="00D56A43" w:rsidRPr="00D56A43">
              <w:rPr>
                <w:sz w:val="16"/>
                <w:szCs w:val="16"/>
              </w:rPr>
              <w:t>Tratado da União Europeia</w:t>
            </w:r>
          </w:p>
          <w:p w14:paraId="0E86A9A4" w14:textId="50A6A6A3" w:rsidR="00A25201" w:rsidRPr="005E232A" w:rsidRDefault="00A25201" w:rsidP="005E232A">
            <w:pPr>
              <w:widowControl w:val="0"/>
              <w:spacing w:before="200" w:line="360" w:lineRule="auto"/>
              <w:ind w:right="0"/>
              <w:jc w:val="left"/>
              <w:rPr>
                <w:b/>
                <w:bCs/>
                <w:sz w:val="16"/>
                <w:szCs w:val="16"/>
              </w:rPr>
            </w:pPr>
            <w:r w:rsidRPr="005E232A">
              <w:rPr>
                <w:b/>
                <w:bCs/>
                <w:sz w:val="16"/>
                <w:szCs w:val="16"/>
              </w:rPr>
              <w:t>PE</w:t>
            </w:r>
            <w:r w:rsidR="00D56A43">
              <w:rPr>
                <w:b/>
                <w:bCs/>
                <w:sz w:val="16"/>
                <w:szCs w:val="16"/>
              </w:rPr>
              <w:t xml:space="preserve"> - </w:t>
            </w:r>
            <w:r w:rsidR="00D56A43" w:rsidRPr="00D56A43">
              <w:rPr>
                <w:sz w:val="16"/>
                <w:szCs w:val="16"/>
              </w:rPr>
              <w:t>Parlamento Europeu</w:t>
            </w:r>
          </w:p>
          <w:p w14:paraId="715C6D22" w14:textId="763DBA21" w:rsidR="00A25201" w:rsidRPr="005E232A" w:rsidRDefault="00A25201" w:rsidP="005E232A">
            <w:pPr>
              <w:widowControl w:val="0"/>
              <w:spacing w:before="200" w:line="360" w:lineRule="auto"/>
              <w:ind w:right="0"/>
              <w:jc w:val="left"/>
              <w:rPr>
                <w:b/>
                <w:bCs/>
                <w:sz w:val="16"/>
                <w:szCs w:val="16"/>
              </w:rPr>
            </w:pPr>
            <w:r w:rsidRPr="005E232A">
              <w:rPr>
                <w:b/>
                <w:bCs/>
                <w:sz w:val="16"/>
                <w:szCs w:val="16"/>
              </w:rPr>
              <w:t>CRP</w:t>
            </w:r>
            <w:r w:rsidR="00D56A43">
              <w:rPr>
                <w:b/>
                <w:bCs/>
                <w:sz w:val="16"/>
                <w:szCs w:val="16"/>
              </w:rPr>
              <w:t xml:space="preserve"> - </w:t>
            </w:r>
            <w:r w:rsidR="00D56A43" w:rsidRPr="00D56A43">
              <w:rPr>
                <w:sz w:val="16"/>
                <w:szCs w:val="16"/>
              </w:rPr>
              <w:t>Constituição da República Portuguesa</w:t>
            </w:r>
          </w:p>
          <w:p w14:paraId="54B934A0" w14:textId="40AF624E" w:rsidR="00A25201" w:rsidRPr="005E232A" w:rsidRDefault="00A25201" w:rsidP="005E232A">
            <w:pPr>
              <w:widowControl w:val="0"/>
              <w:spacing w:before="200" w:line="360" w:lineRule="auto"/>
              <w:ind w:right="0"/>
              <w:jc w:val="left"/>
              <w:rPr>
                <w:b/>
                <w:bCs/>
                <w:sz w:val="16"/>
                <w:szCs w:val="16"/>
              </w:rPr>
            </w:pPr>
            <w:r w:rsidRPr="005E232A">
              <w:rPr>
                <w:b/>
                <w:bCs/>
                <w:sz w:val="16"/>
                <w:szCs w:val="16"/>
              </w:rPr>
              <w:t>DUE</w:t>
            </w:r>
            <w:r w:rsidR="00D56A43">
              <w:rPr>
                <w:b/>
                <w:bCs/>
                <w:sz w:val="16"/>
                <w:szCs w:val="16"/>
              </w:rPr>
              <w:t xml:space="preserve"> - </w:t>
            </w:r>
            <w:r w:rsidR="00D56A43" w:rsidRPr="00D56A43">
              <w:rPr>
                <w:sz w:val="16"/>
                <w:szCs w:val="16"/>
              </w:rPr>
              <w:t>Direito da União Europeia</w:t>
            </w:r>
          </w:p>
          <w:p w14:paraId="70887164" w14:textId="66C7168C" w:rsidR="00A25201" w:rsidRPr="005E232A" w:rsidRDefault="00A25201" w:rsidP="005E232A">
            <w:pPr>
              <w:widowControl w:val="0"/>
              <w:spacing w:before="200" w:line="360" w:lineRule="auto"/>
              <w:ind w:right="0"/>
              <w:jc w:val="left"/>
              <w:rPr>
                <w:b/>
                <w:bCs/>
                <w:sz w:val="16"/>
                <w:szCs w:val="16"/>
              </w:rPr>
            </w:pPr>
            <w:r w:rsidRPr="005E232A">
              <w:rPr>
                <w:b/>
                <w:bCs/>
                <w:sz w:val="16"/>
                <w:szCs w:val="16"/>
              </w:rPr>
              <w:t>TJUE</w:t>
            </w:r>
            <w:r w:rsidR="00D56A43">
              <w:rPr>
                <w:b/>
                <w:bCs/>
                <w:sz w:val="16"/>
                <w:szCs w:val="16"/>
              </w:rPr>
              <w:t xml:space="preserve"> - </w:t>
            </w:r>
            <w:r w:rsidR="00D56A43" w:rsidRPr="00D56A43">
              <w:rPr>
                <w:sz w:val="16"/>
                <w:szCs w:val="16"/>
              </w:rPr>
              <w:t>Tribunal de Justiça da União Europeia</w:t>
            </w:r>
          </w:p>
          <w:p w14:paraId="6799FEE7" w14:textId="5EAABF24" w:rsidR="00A25201" w:rsidRPr="00D56A43" w:rsidRDefault="00A25201" w:rsidP="005E232A">
            <w:pPr>
              <w:widowControl w:val="0"/>
              <w:spacing w:before="200" w:line="360" w:lineRule="auto"/>
              <w:ind w:right="0"/>
              <w:jc w:val="left"/>
              <w:rPr>
                <w:sz w:val="16"/>
                <w:szCs w:val="16"/>
              </w:rPr>
            </w:pPr>
            <w:r w:rsidRPr="005E232A">
              <w:rPr>
                <w:b/>
                <w:bCs/>
                <w:sz w:val="16"/>
                <w:szCs w:val="16"/>
              </w:rPr>
              <w:t>TCA</w:t>
            </w:r>
            <w:r w:rsidR="00D56A43">
              <w:rPr>
                <w:b/>
                <w:bCs/>
                <w:sz w:val="16"/>
                <w:szCs w:val="16"/>
              </w:rPr>
              <w:t xml:space="preserve"> - </w:t>
            </w:r>
            <w:r w:rsidR="00D56A43" w:rsidRPr="00D56A43">
              <w:rPr>
                <w:sz w:val="16"/>
                <w:szCs w:val="16"/>
              </w:rPr>
              <w:t>Tratado que estabelece a Constituição para a Europa</w:t>
            </w:r>
          </w:p>
          <w:p w14:paraId="595BE5EA" w14:textId="771997E6" w:rsidR="00A25201" w:rsidRPr="005E232A" w:rsidRDefault="00A25201" w:rsidP="005E232A">
            <w:pPr>
              <w:widowControl w:val="0"/>
              <w:spacing w:before="200" w:line="360" w:lineRule="auto"/>
              <w:ind w:right="0"/>
              <w:jc w:val="left"/>
              <w:rPr>
                <w:b/>
                <w:bCs/>
                <w:sz w:val="16"/>
                <w:szCs w:val="16"/>
              </w:rPr>
            </w:pPr>
            <w:r w:rsidRPr="005E232A">
              <w:rPr>
                <w:b/>
                <w:bCs/>
                <w:sz w:val="16"/>
                <w:szCs w:val="16"/>
              </w:rPr>
              <w:t>BRICS</w:t>
            </w:r>
            <w:r w:rsidR="00D56A43">
              <w:rPr>
                <w:b/>
                <w:bCs/>
                <w:sz w:val="16"/>
                <w:szCs w:val="16"/>
              </w:rPr>
              <w:t xml:space="preserve"> - </w:t>
            </w:r>
            <w:r w:rsidR="00D56A43" w:rsidRPr="00D56A43">
              <w:rPr>
                <w:sz w:val="16"/>
                <w:szCs w:val="16"/>
              </w:rPr>
              <w:t>Brasil, Rússia, Índia, China, South-África</w:t>
            </w:r>
          </w:p>
          <w:p w14:paraId="5C831AF6" w14:textId="1C5E6A46" w:rsidR="00A25201" w:rsidRPr="005E232A" w:rsidRDefault="00A25201" w:rsidP="005E232A">
            <w:pPr>
              <w:widowControl w:val="0"/>
              <w:spacing w:before="200" w:line="360" w:lineRule="auto"/>
              <w:ind w:right="0"/>
              <w:jc w:val="left"/>
              <w:rPr>
                <w:b/>
                <w:bCs/>
                <w:sz w:val="16"/>
                <w:szCs w:val="16"/>
              </w:rPr>
            </w:pPr>
            <w:r w:rsidRPr="005E232A">
              <w:rPr>
                <w:b/>
                <w:bCs/>
                <w:sz w:val="16"/>
                <w:szCs w:val="16"/>
              </w:rPr>
              <w:t>NATO</w:t>
            </w:r>
            <w:r w:rsidR="00D56A43">
              <w:rPr>
                <w:b/>
                <w:bCs/>
                <w:sz w:val="16"/>
                <w:szCs w:val="16"/>
              </w:rPr>
              <w:t xml:space="preserve"> - </w:t>
            </w:r>
            <w:r w:rsidR="00D56A43" w:rsidRPr="00D56A43">
              <w:rPr>
                <w:sz w:val="16"/>
                <w:szCs w:val="16"/>
              </w:rPr>
              <w:t>Organização do Tratado do Atlântico Norte</w:t>
            </w:r>
          </w:p>
          <w:p w14:paraId="440998F5" w14:textId="166CEAD8" w:rsidR="00A25201" w:rsidRPr="005E232A" w:rsidRDefault="00A25201" w:rsidP="005E232A">
            <w:pPr>
              <w:widowControl w:val="0"/>
              <w:spacing w:before="200" w:line="360" w:lineRule="auto"/>
              <w:ind w:right="0"/>
              <w:jc w:val="left"/>
              <w:rPr>
                <w:b/>
                <w:bCs/>
                <w:sz w:val="16"/>
                <w:szCs w:val="16"/>
              </w:rPr>
            </w:pPr>
            <w:r w:rsidRPr="005E232A">
              <w:rPr>
                <w:b/>
                <w:bCs/>
                <w:sz w:val="16"/>
                <w:szCs w:val="16"/>
              </w:rPr>
              <w:t>OMC</w:t>
            </w:r>
            <w:r w:rsidR="00D56A43">
              <w:rPr>
                <w:b/>
                <w:bCs/>
                <w:sz w:val="16"/>
                <w:szCs w:val="16"/>
              </w:rPr>
              <w:t xml:space="preserve"> - </w:t>
            </w:r>
            <w:r w:rsidR="00D56A43" w:rsidRPr="00D56A43">
              <w:rPr>
                <w:sz w:val="16"/>
                <w:szCs w:val="16"/>
              </w:rPr>
              <w:t>Organização Mundial do Comércio</w:t>
            </w:r>
          </w:p>
          <w:p w14:paraId="5F929042" w14:textId="5162B872" w:rsidR="00A25201" w:rsidRPr="005E232A" w:rsidRDefault="00A25201" w:rsidP="005E232A">
            <w:pPr>
              <w:widowControl w:val="0"/>
              <w:spacing w:before="200" w:line="360" w:lineRule="auto"/>
              <w:ind w:right="0"/>
              <w:jc w:val="left"/>
              <w:rPr>
                <w:b/>
                <w:bCs/>
                <w:sz w:val="16"/>
                <w:szCs w:val="16"/>
              </w:rPr>
            </w:pPr>
            <w:r w:rsidRPr="005E232A">
              <w:rPr>
                <w:b/>
                <w:bCs/>
                <w:sz w:val="16"/>
                <w:szCs w:val="16"/>
              </w:rPr>
              <w:t>NHS</w:t>
            </w:r>
            <w:r w:rsidR="00D56A43">
              <w:rPr>
                <w:b/>
                <w:bCs/>
                <w:sz w:val="16"/>
                <w:szCs w:val="16"/>
              </w:rPr>
              <w:t xml:space="preserve"> - </w:t>
            </w:r>
            <w:r w:rsidR="00D56A43" w:rsidRPr="00D56A43">
              <w:rPr>
                <w:sz w:val="16"/>
                <w:szCs w:val="16"/>
              </w:rPr>
              <w:t>National Health Service</w:t>
            </w:r>
          </w:p>
          <w:p w14:paraId="2AE218E0" w14:textId="3F214373" w:rsidR="00A25201" w:rsidRPr="00A25201" w:rsidRDefault="00A25201" w:rsidP="005E232A">
            <w:pPr>
              <w:widowControl w:val="0"/>
              <w:spacing w:before="200" w:line="360" w:lineRule="auto"/>
              <w:ind w:right="0"/>
              <w:jc w:val="left"/>
              <w:rPr>
                <w:b/>
                <w:bCs/>
                <w:sz w:val="16"/>
                <w:szCs w:val="16"/>
              </w:rPr>
            </w:pPr>
            <w:r w:rsidRPr="005E232A">
              <w:rPr>
                <w:b/>
                <w:bCs/>
                <w:sz w:val="16"/>
                <w:szCs w:val="16"/>
              </w:rPr>
              <w:t>FMI</w:t>
            </w:r>
            <w:r w:rsidR="00D56A43">
              <w:rPr>
                <w:b/>
                <w:bCs/>
                <w:sz w:val="16"/>
                <w:szCs w:val="16"/>
              </w:rPr>
              <w:t xml:space="preserve"> - </w:t>
            </w:r>
            <w:r w:rsidR="00D56A43" w:rsidRPr="00D56A43">
              <w:rPr>
                <w:sz w:val="16"/>
                <w:szCs w:val="16"/>
              </w:rPr>
              <w:t>Fundo Monetário Internacional</w:t>
            </w:r>
          </w:p>
        </w:tc>
        <w:tc>
          <w:tcPr>
            <w:tcW w:w="5103" w:type="dxa"/>
            <w:gridSpan w:val="2"/>
            <w:tcBorders>
              <w:top w:val="nil"/>
              <w:left w:val="nil"/>
              <w:bottom w:val="nil"/>
              <w:right w:val="nil"/>
            </w:tcBorders>
            <w:tcMar>
              <w:top w:w="0" w:type="dxa"/>
              <w:left w:w="0" w:type="dxa"/>
              <w:bottom w:w="0" w:type="dxa"/>
              <w:right w:w="0" w:type="dxa"/>
            </w:tcMar>
          </w:tcPr>
          <w:p w14:paraId="3EE102D8" w14:textId="0D97E70E" w:rsidR="005E232A" w:rsidRPr="005E232A" w:rsidRDefault="005E232A" w:rsidP="005E232A">
            <w:pPr>
              <w:widowControl w:val="0"/>
              <w:spacing w:before="200" w:line="276" w:lineRule="auto"/>
              <w:ind w:right="0"/>
              <w:jc w:val="left"/>
              <w:rPr>
                <w:sz w:val="16"/>
                <w:szCs w:val="16"/>
              </w:rPr>
            </w:pPr>
          </w:p>
        </w:tc>
      </w:tr>
      <w:tr w:rsidR="0019302D" w14:paraId="0641C033" w14:textId="77777777" w:rsidTr="005E232A">
        <w:trPr>
          <w:cantSplit/>
          <w:trHeight w:val="468"/>
        </w:trPr>
        <w:tc>
          <w:tcPr>
            <w:tcW w:w="4536" w:type="dxa"/>
            <w:tcBorders>
              <w:top w:val="nil"/>
              <w:left w:val="nil"/>
              <w:bottom w:val="nil"/>
              <w:right w:val="nil"/>
            </w:tcBorders>
            <w:tcMar>
              <w:top w:w="0" w:type="dxa"/>
              <w:left w:w="0" w:type="dxa"/>
              <w:bottom w:w="0" w:type="dxa"/>
              <w:right w:w="0" w:type="dxa"/>
            </w:tcMar>
          </w:tcPr>
          <w:p w14:paraId="2DCF1D4B" w14:textId="3C9DCE22" w:rsidR="0019302D" w:rsidRDefault="006E60C5">
            <w:pPr>
              <w:widowControl w:val="0"/>
              <w:spacing w:before="200" w:line="288" w:lineRule="auto"/>
              <w:ind w:right="0"/>
              <w:jc w:val="left"/>
              <w:rPr>
                <w:rFonts w:ascii="Helvetica Neue" w:eastAsia="Helvetica Neue" w:hAnsi="Helvetica Neue" w:cs="Helvetica Neue"/>
                <w:b/>
                <w:bCs/>
                <w:sz w:val="16"/>
                <w:szCs w:val="16"/>
              </w:rPr>
            </w:pPr>
            <w:r>
              <w:rPr>
                <w:sz w:val="16"/>
                <w:szCs w:val="16"/>
              </w:rPr>
              <w:t xml:space="preserve"> </w:t>
            </w:r>
          </w:p>
        </w:tc>
        <w:tc>
          <w:tcPr>
            <w:tcW w:w="5103" w:type="dxa"/>
            <w:gridSpan w:val="2"/>
            <w:tcBorders>
              <w:top w:val="nil"/>
              <w:left w:val="nil"/>
              <w:bottom w:val="nil"/>
              <w:right w:val="nil"/>
            </w:tcBorders>
            <w:tcMar>
              <w:top w:w="0" w:type="dxa"/>
              <w:left w:w="0" w:type="dxa"/>
              <w:bottom w:w="0" w:type="dxa"/>
              <w:right w:w="0" w:type="dxa"/>
            </w:tcMar>
          </w:tcPr>
          <w:p w14:paraId="7DA38C13" w14:textId="52CCFA38" w:rsidR="0019302D" w:rsidRDefault="0019302D">
            <w:pPr>
              <w:widowControl w:val="0"/>
              <w:spacing w:before="200" w:line="288" w:lineRule="auto"/>
              <w:ind w:right="0"/>
              <w:jc w:val="left"/>
              <w:rPr>
                <w:sz w:val="18"/>
                <w:szCs w:val="18"/>
              </w:rPr>
            </w:pPr>
          </w:p>
        </w:tc>
      </w:tr>
    </w:tbl>
    <w:p w14:paraId="23770B6B" w14:textId="77777777" w:rsidR="0019302D" w:rsidRDefault="0019302D"/>
    <w:p w14:paraId="28FDC5C3" w14:textId="77777777" w:rsidR="0019302D" w:rsidRDefault="006E60C5">
      <w:r>
        <w:br w:type="page"/>
      </w:r>
    </w:p>
    <w:p w14:paraId="3293E705" w14:textId="77777777" w:rsidR="0019302D" w:rsidRDefault="0019302D">
      <w:pPr>
        <w:sectPr w:rsidR="0019302D" w:rsidSect="0058140E">
          <w:headerReference w:type="default" r:id="rId17"/>
          <w:pgSz w:w="11906" w:h="16838"/>
          <w:pgMar w:top="1700" w:right="1700" w:bottom="1133" w:left="3968" w:header="566" w:footer="566" w:gutter="0"/>
          <w:pgNumType w:fmt="upperRoman"/>
          <w:cols w:space="720"/>
        </w:sectPr>
      </w:pPr>
      <w:bookmarkStart w:id="13" w:name="_heading=h.ywg1ct7karmg" w:colFirst="0" w:colLast="0"/>
      <w:bookmarkEnd w:id="13"/>
    </w:p>
    <w:p w14:paraId="62FF0538" w14:textId="77777777" w:rsidR="0092398D" w:rsidRDefault="0092398D" w:rsidP="0092398D">
      <w:pPr>
        <w:pStyle w:val="Ttulo1"/>
      </w:pPr>
      <w:bookmarkStart w:id="14" w:name="_heading=h.jgzhlh4b5cut" w:colFirst="0" w:colLast="0"/>
      <w:bookmarkStart w:id="15" w:name="_Toc221648062"/>
      <w:bookmarkEnd w:id="14"/>
      <w:r>
        <w:t>Introdução</w:t>
      </w:r>
      <w:bookmarkEnd w:id="15"/>
    </w:p>
    <w:p w14:paraId="33154594" w14:textId="77777777" w:rsidR="004E05F7" w:rsidRDefault="004E05F7" w:rsidP="004E05F7">
      <w:r>
        <w:t>A União Europeia pode ser hoje caracterizada como uma das experiência políticas mais relevantes e interessantes da história.</w:t>
      </w:r>
    </w:p>
    <w:p w14:paraId="521B14B5" w14:textId="77777777" w:rsidR="004E05F7" w:rsidRDefault="004E05F7" w:rsidP="004E05F7">
      <w:r>
        <w:t>Em nenhum momento na longa e conflituosa história europeia, houve tamanha aproximação e promoção da cooperação e da paz entre os Estados europeus.</w:t>
      </w:r>
    </w:p>
    <w:p w14:paraId="73F64AB4" w14:textId="77777777" w:rsidR="004E05F7" w:rsidRDefault="004E05F7" w:rsidP="004E05F7">
      <w:r>
        <w:t>Países como a França, Alemanha, Itália e Polónia, outrora rivais ferrenhos, são hoje além de aliados, membros de uma união que promove a integração dos mesmos à escala não só europeia, como internacional.</w:t>
      </w:r>
    </w:p>
    <w:p w14:paraId="4A9CCB42" w14:textId="77777777" w:rsidR="004E05F7" w:rsidRDefault="004E05F7" w:rsidP="004E05F7">
      <w:r>
        <w:t>Essa aproximação e integração não foi, porém, estabelecida da noite para o dia, e durante décadas esta ideia de integração política, económica e social dos Estados-Membros, não era nada mais do que uma pequena semente a crescer timidamente no projecto europeu.</w:t>
      </w:r>
    </w:p>
    <w:p w14:paraId="7C2E8428" w14:textId="77777777" w:rsidR="004E05F7" w:rsidRDefault="004E05F7" w:rsidP="004E05F7">
      <w:r>
        <w:t>Segundo o website da Comissão Europeia:</w:t>
      </w:r>
    </w:p>
    <w:p w14:paraId="1F90E2ED" w14:textId="77777777" w:rsidR="004E05F7" w:rsidRDefault="004E05F7" w:rsidP="004E05F7"/>
    <w:p w14:paraId="145E6342" w14:textId="361846CC" w:rsidR="004E05F7" w:rsidRPr="004E05F7" w:rsidRDefault="004E05F7" w:rsidP="004E05F7">
      <w:pPr>
        <w:spacing w:line="240" w:lineRule="auto"/>
        <w:ind w:left="567" w:right="0"/>
        <w:rPr>
          <w:color w:val="000000" w:themeColor="text1"/>
          <w:sz w:val="20"/>
          <w:szCs w:val="20"/>
        </w:rPr>
      </w:pPr>
      <w:r w:rsidRPr="004E05F7">
        <w:rPr>
          <w:color w:val="000000" w:themeColor="text1"/>
          <w:sz w:val="20"/>
          <w:szCs w:val="20"/>
        </w:rPr>
        <w:t>A UE é, há mais de meio século, um fator de paz, de estabilidade e de prosperidade, tendo contribuído para melhorar o nível de vida dos europeus e dado origem a uma moeda única, o euro. O que começou por ser uma união meramente económica evoluiu para uma organização com uma vasta gama de domínios de intervenção, desde o clima, o ambiente e a saúde até às relações externas e a segurança, passando pela justiça e a migração</w:t>
      </w:r>
      <w:r>
        <w:rPr>
          <w:rStyle w:val="Refdenotaderodap"/>
          <w:color w:val="000000" w:themeColor="text1"/>
          <w:sz w:val="20"/>
          <w:szCs w:val="20"/>
        </w:rPr>
        <w:footnoteReference w:id="1"/>
      </w:r>
      <w:r w:rsidRPr="004E05F7">
        <w:rPr>
          <w:color w:val="000000" w:themeColor="text1"/>
          <w:sz w:val="20"/>
          <w:szCs w:val="20"/>
        </w:rPr>
        <w:t xml:space="preserve"> .</w:t>
      </w:r>
    </w:p>
    <w:p w14:paraId="0412A78F" w14:textId="77777777" w:rsidR="004E05F7" w:rsidRDefault="004E05F7" w:rsidP="004E05F7"/>
    <w:p w14:paraId="5AB2BE7D" w14:textId="77777777" w:rsidR="004E05F7" w:rsidRDefault="004E05F7" w:rsidP="004E05F7">
      <w:r>
        <w:t>Ou seja, a própria União reconhece e orgulha-se desta evolução, enquanto projecto que promoveu a melhoria da qualidade de vida dos cidadãos europeus, bem como a sua segurança, estabilidade económica, cooperação política, etc.</w:t>
      </w:r>
    </w:p>
    <w:p w14:paraId="16429B54" w14:textId="77777777" w:rsidR="004E05F7" w:rsidRDefault="004E05F7" w:rsidP="004E05F7">
      <w:r>
        <w:t>Esta evolução foi uma necessidade dos tempos, que viram o surgimento de duas potências mundiais, na forma dos EUA e da União Soviética, que eclipsavam as nações europeias no pós 2.ª grande guerra.</w:t>
      </w:r>
    </w:p>
    <w:p w14:paraId="791CB9D8" w14:textId="77777777" w:rsidR="009530CA" w:rsidRDefault="004E05F7" w:rsidP="004E05F7">
      <w:r>
        <w:t>Os Estados europeus viram então uma necessidade de colaborarem para garantir não só a reconstrução das suas infra-estruturas, como também das suas economias</w:t>
      </w:r>
      <w:r w:rsidR="009530CA">
        <w:t>, de forma a manterem a sua relevância no plano internacional.</w:t>
      </w:r>
    </w:p>
    <w:p w14:paraId="12CA33B4" w14:textId="77777777" w:rsidR="009530CA" w:rsidRDefault="009530CA" w:rsidP="004E05F7">
      <w:r>
        <w:t xml:space="preserve">Esta </w:t>
      </w:r>
      <w:r w:rsidRPr="009530CA">
        <w:t>evol</w:t>
      </w:r>
      <w:r>
        <w:t xml:space="preserve">ução </w:t>
      </w:r>
      <w:r w:rsidRPr="009530CA">
        <w:t xml:space="preserve">gradual para uma entidade </w:t>
      </w:r>
      <w:r>
        <w:t>à qual foram atribuídas</w:t>
      </w:r>
      <w:r w:rsidRPr="009530CA">
        <w:t xml:space="preserve"> </w:t>
      </w:r>
      <w:r>
        <w:t>competências</w:t>
      </w:r>
      <w:r w:rsidRPr="009530CA">
        <w:t xml:space="preserve"> de natureza política, jurídica e instituciona</w:t>
      </w:r>
      <w:r>
        <w:t>l,</w:t>
      </w:r>
      <w:r w:rsidRPr="009530CA">
        <w:t xml:space="preserve"> desafia as categorias clássicas do Estado soberano e das organizações internacionais tradicionais. </w:t>
      </w:r>
    </w:p>
    <w:p w14:paraId="228E163A" w14:textId="0EBA2703" w:rsidR="009530CA" w:rsidRDefault="009530CA" w:rsidP="004E05F7">
      <w:r w:rsidRPr="009530CA">
        <w:t xml:space="preserve">A </w:t>
      </w:r>
      <w:r>
        <w:t xml:space="preserve">própria </w:t>
      </w:r>
      <w:r w:rsidRPr="009530CA">
        <w:t xml:space="preserve">natureza </w:t>
      </w:r>
      <w:r>
        <w:t xml:space="preserve">da União, </w:t>
      </w:r>
      <w:r w:rsidRPr="009530CA">
        <w:t>suscita desde há décadas, o debate sobre a possibilidade de se encontrar num processo de federalização progressiva, ainda que incompleto</w:t>
      </w:r>
      <w:r>
        <w:t>, levando a que este processo de construção de uma Europa mais integrada sob a bandeira da União, revele</w:t>
      </w:r>
      <w:r w:rsidRPr="009530CA">
        <w:t xml:space="preserve"> uma tensão constante entre duas dinâmicas antagónicas</w:t>
      </w:r>
      <w:r>
        <w:t>, tendo por um lado, uma afirmação</w:t>
      </w:r>
      <w:r w:rsidR="006216F4">
        <w:t xml:space="preserve"> cada vez maior de uma autoridade central, </w:t>
      </w:r>
      <w:r w:rsidR="006216F4" w:rsidRPr="009530CA">
        <w:t>dotada de competências normativas e executivas com efeitos directos sobre os cidadãos e os Estados</w:t>
      </w:r>
      <w:r w:rsidR="006216F4" w:rsidRPr="009530CA">
        <w:rPr>
          <w:rFonts w:ascii="Cambria Math" w:hAnsi="Cambria Math" w:cs="Cambria Math"/>
        </w:rPr>
        <w:t>‑</w:t>
      </w:r>
      <w:r w:rsidR="006216F4" w:rsidRPr="009530CA">
        <w:t>Membros</w:t>
      </w:r>
      <w:r w:rsidR="006216F4">
        <w:t xml:space="preserve">, e por outro lado, </w:t>
      </w:r>
      <w:r w:rsidR="006216F4" w:rsidRPr="009530CA">
        <w:t>a preserva</w:t>
      </w:r>
      <w:r w:rsidR="006216F4" w:rsidRPr="009530CA">
        <w:rPr>
          <w:rFonts w:ascii="Arial Nova Light" w:hAnsi="Arial Nova Light" w:cs="Arial Nova Light"/>
        </w:rPr>
        <w:t>çã</w:t>
      </w:r>
      <w:r w:rsidR="006216F4" w:rsidRPr="009530CA">
        <w:t>o da soberania estatal e a resist</w:t>
      </w:r>
      <w:r w:rsidR="006216F4" w:rsidRPr="009530CA">
        <w:rPr>
          <w:rFonts w:ascii="Arial Nova Light" w:hAnsi="Arial Nova Light" w:cs="Arial Nova Light"/>
        </w:rPr>
        <w:t>ê</w:t>
      </w:r>
      <w:r w:rsidR="006216F4" w:rsidRPr="009530CA">
        <w:t>ncia pol</w:t>
      </w:r>
      <w:r w:rsidR="006216F4" w:rsidRPr="009530CA">
        <w:rPr>
          <w:rFonts w:ascii="Arial Nova Light" w:hAnsi="Arial Nova Light" w:cs="Arial Nova Light"/>
        </w:rPr>
        <w:t>í</w:t>
      </w:r>
      <w:r w:rsidR="006216F4" w:rsidRPr="009530CA">
        <w:t>tica a qualquer forma de centraliza</w:t>
      </w:r>
      <w:r w:rsidR="006216F4" w:rsidRPr="009530CA">
        <w:rPr>
          <w:rFonts w:ascii="Arial Nova Light" w:hAnsi="Arial Nova Light" w:cs="Arial Nova Light"/>
        </w:rPr>
        <w:t>çã</w:t>
      </w:r>
      <w:r w:rsidR="006216F4" w:rsidRPr="009530CA">
        <w:t>o pol</w:t>
      </w:r>
      <w:r w:rsidR="006216F4" w:rsidRPr="009530CA">
        <w:rPr>
          <w:rFonts w:ascii="Arial Nova Light" w:hAnsi="Arial Nova Light" w:cs="Arial Nova Light"/>
        </w:rPr>
        <w:t>í</w:t>
      </w:r>
      <w:r w:rsidR="006216F4" w:rsidRPr="009530CA">
        <w:t>tica excessiva.</w:t>
      </w:r>
    </w:p>
    <w:p w14:paraId="4D1A55C3" w14:textId="54DF5E8C" w:rsidR="009530CA" w:rsidRDefault="006216F4" w:rsidP="004E05F7">
      <w:r>
        <w:t>Esta discussão tem levado a receios e a oposição por parte de diversos grupos eurocépticos, que vêem o projecto europeu como um ataque à soberania dos Estados, a favor de uma organização de génese europeia, cuja identidade não é a primária da dos cidadãos.</w:t>
      </w:r>
    </w:p>
    <w:p w14:paraId="15721A55" w14:textId="79CD7D7E" w:rsidR="006216F4" w:rsidRDefault="009530CA" w:rsidP="004E05F7">
      <w:r w:rsidRPr="009530CA">
        <w:rPr>
          <w:rFonts w:ascii="Arial Nova Light" w:hAnsi="Arial Nova Light" w:cs="Arial Nova Light"/>
        </w:rPr>
        <w:t>É</w:t>
      </w:r>
      <w:r w:rsidRPr="009530CA">
        <w:t xml:space="preserve"> </w:t>
      </w:r>
      <w:r w:rsidR="006216F4">
        <w:t xml:space="preserve">dentro </w:t>
      </w:r>
      <w:r w:rsidRPr="009530CA">
        <w:t xml:space="preserve">desta </w:t>
      </w:r>
      <w:r w:rsidR="006216F4" w:rsidRPr="009530CA">
        <w:t>dial</w:t>
      </w:r>
      <w:r w:rsidR="006216F4" w:rsidRPr="009530CA">
        <w:rPr>
          <w:rFonts w:ascii="Arial Nova Light" w:hAnsi="Arial Nova Light" w:cs="Arial Nova Light"/>
        </w:rPr>
        <w:t>é</w:t>
      </w:r>
      <w:r w:rsidR="006216F4" w:rsidRPr="009530CA">
        <w:t>ctica</w:t>
      </w:r>
      <w:r w:rsidRPr="009530CA">
        <w:t xml:space="preserve"> entre </w:t>
      </w:r>
      <w:r w:rsidR="006216F4">
        <w:t xml:space="preserve">a </w:t>
      </w:r>
      <w:r w:rsidRPr="009530CA">
        <w:t>integra</w:t>
      </w:r>
      <w:r w:rsidRPr="009530CA">
        <w:rPr>
          <w:rFonts w:ascii="Arial Nova Light" w:hAnsi="Arial Nova Light" w:cs="Arial Nova Light"/>
        </w:rPr>
        <w:t>çã</w:t>
      </w:r>
      <w:r w:rsidRPr="009530CA">
        <w:t xml:space="preserve">o e </w:t>
      </w:r>
      <w:r w:rsidR="006216F4">
        <w:t xml:space="preserve">a </w:t>
      </w:r>
      <w:r w:rsidRPr="009530CA">
        <w:t xml:space="preserve">autonomia, entre </w:t>
      </w:r>
      <w:r w:rsidR="006216F4">
        <w:t xml:space="preserve">a </w:t>
      </w:r>
      <w:r w:rsidRPr="009530CA">
        <w:t>coopera</w:t>
      </w:r>
      <w:r w:rsidRPr="009530CA">
        <w:rPr>
          <w:rFonts w:ascii="Arial Nova Light" w:hAnsi="Arial Nova Light" w:cs="Arial Nova Light"/>
        </w:rPr>
        <w:t>çã</w:t>
      </w:r>
      <w:r w:rsidRPr="009530CA">
        <w:t xml:space="preserve">o e </w:t>
      </w:r>
      <w:r w:rsidR="006216F4">
        <w:t xml:space="preserve">a </w:t>
      </w:r>
      <w:r w:rsidRPr="009530CA">
        <w:t xml:space="preserve">soberania, que </w:t>
      </w:r>
      <w:r w:rsidR="006216F4">
        <w:t>surge</w:t>
      </w:r>
      <w:r w:rsidRPr="009530CA">
        <w:t xml:space="preserve"> o conceito de federaliza</w:t>
      </w:r>
      <w:r w:rsidRPr="009530CA">
        <w:rPr>
          <w:rFonts w:ascii="Arial Nova Light" w:hAnsi="Arial Nova Light" w:cs="Arial Nova Light"/>
        </w:rPr>
        <w:t>çã</w:t>
      </w:r>
      <w:r w:rsidRPr="009530CA">
        <w:t>o da União Europeia</w:t>
      </w:r>
      <w:r w:rsidR="006216F4">
        <w:t>.</w:t>
      </w:r>
    </w:p>
    <w:p w14:paraId="2A43F145" w14:textId="2407C0BD" w:rsidR="0019302D" w:rsidRDefault="006216F4" w:rsidP="004E05F7">
      <w:r>
        <w:t>E</w:t>
      </w:r>
      <w:r w:rsidR="009530CA" w:rsidRPr="009530CA">
        <w:t>ntendido não como um estado final necessariamente inscrito no Tratado, mas como um processo evolutivo, marcado por avanços graduais</w:t>
      </w:r>
      <w:r>
        <w:t xml:space="preserve"> ao longo dos anos, como podem ser evidenciados pelo conteúdo dos Tratados</w:t>
      </w:r>
      <w:r w:rsidR="009530CA" w:rsidRPr="009530CA">
        <w:t>,</w:t>
      </w:r>
      <w:r>
        <w:t xml:space="preserve"> bem como por</w:t>
      </w:r>
      <w:r w:rsidR="009530CA" w:rsidRPr="009530CA">
        <w:t xml:space="preserve"> mutações de natureza jurídica e institucional.</w:t>
      </w:r>
    </w:p>
    <w:p w14:paraId="70DCEF21" w14:textId="7063A516" w:rsidR="009530CA" w:rsidRDefault="006216F4" w:rsidP="004E05F7">
      <w:r w:rsidRPr="006216F4">
        <w:t>O tema da presente dissertação</w:t>
      </w:r>
      <w:r>
        <w:t xml:space="preserve"> - “</w:t>
      </w:r>
      <w:r w:rsidRPr="006216F4">
        <w:t>O impacto da federalização da União Europeia na soberania dos Estados-Membros: vantagens e desafios</w:t>
      </w:r>
      <w:r>
        <w:t xml:space="preserve">” - </w:t>
      </w:r>
      <w:r w:rsidRPr="006216F4">
        <w:t>propõe analisar</w:t>
      </w:r>
      <w:r>
        <w:t xml:space="preserve"> não só as características actuais da União, como o</w:t>
      </w:r>
      <w:r w:rsidRPr="006216F4">
        <w:t xml:space="preserve"> desenvolvimento histórico, jurídico e político desta tendência de federalização</w:t>
      </w:r>
      <w:r>
        <w:t>, de forma a conseguir perceber se o trajecto da evolução do projecto europeu terá de cair necessariamente numa federalização, enquanto tendência inevitável.</w:t>
      </w:r>
    </w:p>
    <w:p w14:paraId="6E5DF389" w14:textId="77777777" w:rsidR="00F90FDC" w:rsidRDefault="00F90FDC" w:rsidP="004E05F7">
      <w:r w:rsidRPr="00F90FDC">
        <w:t xml:space="preserve">O estudo da federalização da União Europeia assume, na actualidade, uma importância </w:t>
      </w:r>
      <w:r>
        <w:t>acrescida</w:t>
      </w:r>
      <w:r w:rsidRPr="00F90FDC">
        <w:t xml:space="preserve">. </w:t>
      </w:r>
    </w:p>
    <w:p w14:paraId="4D095C57" w14:textId="46FDDF2E" w:rsidR="006216F4" w:rsidRDefault="00F90FDC" w:rsidP="004E05F7">
      <w:r w:rsidRPr="00F90FDC">
        <w:t>A crise financeira de 2008, o Brexit, a pandemia de COVID</w:t>
      </w:r>
      <w:r w:rsidRPr="00F90FDC">
        <w:rPr>
          <w:rFonts w:ascii="Cambria Math" w:hAnsi="Cambria Math" w:cs="Cambria Math"/>
        </w:rPr>
        <w:t>‑</w:t>
      </w:r>
      <w:r w:rsidRPr="00F90FDC">
        <w:t>19 e as transforma</w:t>
      </w:r>
      <w:r w:rsidRPr="00F90FDC">
        <w:rPr>
          <w:rFonts w:ascii="Arial Nova Light" w:hAnsi="Arial Nova Light" w:cs="Arial Nova Light"/>
        </w:rPr>
        <w:t>çõ</w:t>
      </w:r>
      <w:r w:rsidRPr="00F90FDC">
        <w:t>es geopol</w:t>
      </w:r>
      <w:r w:rsidRPr="00F90FDC">
        <w:rPr>
          <w:rFonts w:ascii="Arial Nova Light" w:hAnsi="Arial Nova Light" w:cs="Arial Nova Light"/>
        </w:rPr>
        <w:t>í</w:t>
      </w:r>
      <w:r w:rsidRPr="00F90FDC">
        <w:t>ticas recentes</w:t>
      </w:r>
      <w:r>
        <w:rPr>
          <w:rFonts w:ascii="Arial Nova Light" w:hAnsi="Arial Nova Light" w:cs="Arial Nova Light"/>
        </w:rPr>
        <w:t xml:space="preserve">, </w:t>
      </w:r>
      <w:r w:rsidRPr="00F90FDC">
        <w:t>em particular a guerra na Ucr</w:t>
      </w:r>
      <w:r w:rsidRPr="00F90FDC">
        <w:rPr>
          <w:rFonts w:ascii="Arial Nova Light" w:hAnsi="Arial Nova Light" w:cs="Arial Nova Light"/>
        </w:rPr>
        <w:t>â</w:t>
      </w:r>
      <w:r w:rsidRPr="00F90FDC">
        <w:t xml:space="preserve">nia e </w:t>
      </w:r>
      <w:r>
        <w:t>o governo de Donald Trump nos EUA, mostraram que existe um</w:t>
      </w:r>
      <w:r w:rsidRPr="00F90FDC">
        <w:t xml:space="preserve"> limite </w:t>
      </w:r>
      <w:r>
        <w:t>para o</w:t>
      </w:r>
      <w:r w:rsidRPr="00F90FDC">
        <w:t xml:space="preserve"> modelo intergovernamental tradicional</w:t>
      </w:r>
      <w:r>
        <w:t xml:space="preserve">, bem como a </w:t>
      </w:r>
      <w:r w:rsidRPr="00F90FDC">
        <w:t>necessidade de uma governa</w:t>
      </w:r>
      <w:r w:rsidRPr="00F90FDC">
        <w:rPr>
          <w:rFonts w:ascii="Arial Nova Light" w:hAnsi="Arial Nova Light" w:cs="Arial Nova Light"/>
        </w:rPr>
        <w:t>çã</w:t>
      </w:r>
      <w:r w:rsidRPr="00F90FDC">
        <w:t>o europeia mais coesa e eficaz.</w:t>
      </w:r>
    </w:p>
    <w:p w14:paraId="4BEBDF4C" w14:textId="67DB2C16" w:rsidR="00F90FDC" w:rsidRDefault="00F90FDC" w:rsidP="004E05F7">
      <w:r>
        <w:t xml:space="preserve">Assim que, </w:t>
      </w:r>
      <w:r w:rsidRPr="00F90FDC">
        <w:t xml:space="preserve">compreender se a UE </w:t>
      </w:r>
      <w:r>
        <w:t xml:space="preserve"> está a caminhar rumo a uma</w:t>
      </w:r>
      <w:r w:rsidRPr="00F90FDC">
        <w:t xml:space="preserve"> federalização</w:t>
      </w:r>
      <w:r>
        <w:t>,</w:t>
      </w:r>
      <w:r w:rsidRPr="00F90FDC">
        <w:t xml:space="preserve"> e quais os contornos</w:t>
      </w:r>
      <w:r>
        <w:t xml:space="preserve"> desta evolução,</w:t>
      </w:r>
      <w:r w:rsidRPr="00F90FDC">
        <w:t xml:space="preserve"> não é apenas uma questão teórica, mas uma realidade prática com implicações diretas </w:t>
      </w:r>
      <w:r>
        <w:t>n</w:t>
      </w:r>
      <w:r w:rsidRPr="00F90FDC">
        <w:t>o futuro da integração europeia</w:t>
      </w:r>
      <w:r>
        <w:t xml:space="preserve"> e da vida dos cidadãos dos Estados-Membros.</w:t>
      </w:r>
    </w:p>
    <w:p w14:paraId="5684E2AD" w14:textId="55C0171D" w:rsidR="006216F4" w:rsidRDefault="00F90FDC" w:rsidP="004E05F7">
      <w:r>
        <w:t>Este</w:t>
      </w:r>
      <w:r w:rsidRPr="00F90FDC">
        <w:t xml:space="preserve"> tema contribui</w:t>
      </w:r>
      <w:r>
        <w:t xml:space="preserve"> ainda,</w:t>
      </w:r>
      <w:r w:rsidRPr="00F90FDC">
        <w:t xml:space="preserve"> para </w:t>
      </w:r>
      <w:r>
        <w:t>um</w:t>
      </w:r>
      <w:r w:rsidRPr="00F90FDC">
        <w:t xml:space="preserve"> debate sobre a natureza jurídica da União, colocando em causa os conceitos clássicos de soberania</w:t>
      </w:r>
      <w:r>
        <w:t xml:space="preserve"> e</w:t>
      </w:r>
      <w:r w:rsidRPr="00F90FDC">
        <w:t xml:space="preserve"> constitucionalismo</w:t>
      </w:r>
      <w:r>
        <w:t>.</w:t>
      </w:r>
    </w:p>
    <w:p w14:paraId="3DD56E6C" w14:textId="0ADADDAD" w:rsidR="00F90FDC" w:rsidRDefault="00F90FDC" w:rsidP="004E05F7">
      <w:r>
        <w:t xml:space="preserve">Além do mais, </w:t>
      </w:r>
      <w:r w:rsidRPr="00F90FDC">
        <w:t>a relevância deste tema decorre da necessidade de compreender a especificidade do processo europeu face a modelos federais</w:t>
      </w:r>
      <w:r>
        <w:t>,</w:t>
      </w:r>
      <w:r w:rsidRPr="00F90FDC">
        <w:t xml:space="preserve"> analisando se a </w:t>
      </w:r>
      <w:r>
        <w:t>União apresenta-se como</w:t>
      </w:r>
      <w:r w:rsidRPr="00F90FDC">
        <w:t xml:space="preserve"> um modelo federal sui generis,</w:t>
      </w:r>
      <w:r>
        <w:t xml:space="preserve"> ou seja,</w:t>
      </w:r>
      <w:r w:rsidRPr="00F90FDC">
        <w:t xml:space="preserve"> uma forma de “federalismo funcional” ou </w:t>
      </w:r>
      <w:r>
        <w:t xml:space="preserve">se não será antes </w:t>
      </w:r>
      <w:r w:rsidRPr="00F90FDC">
        <w:t>uma estrutura política ainda predominantemente confederal.</w:t>
      </w:r>
    </w:p>
    <w:p w14:paraId="4CEC5E07" w14:textId="77777777" w:rsidR="00F90FDC" w:rsidRDefault="00F90FDC" w:rsidP="004E05F7"/>
    <w:p w14:paraId="08D796D0" w14:textId="6BFBE683" w:rsidR="00F90FDC" w:rsidRDefault="00F90FDC" w:rsidP="004E05F7">
      <w:r w:rsidRPr="00F90FDC">
        <w:t>Esta reflexão é indispensável para avaliar os rumos possíveis da integração europeia e para sustentar juridicamente eventuais reformas futuras, incluindo uma eventual revisão dos Tratados com vistas à criação de instituições federais formais.</w:t>
      </w:r>
    </w:p>
    <w:p w14:paraId="68D5BDD5" w14:textId="536DCE5D" w:rsidR="00F90FDC" w:rsidRDefault="00F90FDC" w:rsidP="004E05F7">
      <w:r w:rsidRPr="00F90FDC">
        <w:t>A presente dissertação tem como objectivo geral analisar o processo de evolução da federalização da União Europeia,</w:t>
      </w:r>
      <w:r w:rsidR="007A6DA4">
        <w:t xml:space="preserve"> através de uma e</w:t>
      </w:r>
      <w:r w:rsidR="007A6DA4" w:rsidRPr="007A6DA4">
        <w:t>xamina</w:t>
      </w:r>
      <w:r w:rsidR="007A6DA4">
        <w:t>ção</w:t>
      </w:r>
      <w:r w:rsidR="007A6DA4" w:rsidRPr="007A6DA4">
        <w:t xml:space="preserve"> </w:t>
      </w:r>
      <w:r w:rsidR="007A6DA4">
        <w:t>d</w:t>
      </w:r>
      <w:r w:rsidR="007A6DA4" w:rsidRPr="007A6DA4">
        <w:t xml:space="preserve">a génese </w:t>
      </w:r>
      <w:r w:rsidR="00B007C2">
        <w:t xml:space="preserve">da União </w:t>
      </w:r>
      <w:r w:rsidR="007A6DA4" w:rsidRPr="007A6DA4">
        <w:t xml:space="preserve">e </w:t>
      </w:r>
      <w:r w:rsidR="007A6DA4">
        <w:t>d</w:t>
      </w:r>
      <w:r w:rsidR="007A6DA4" w:rsidRPr="007A6DA4">
        <w:t>o</w:t>
      </w:r>
      <w:r w:rsidR="00B007C2">
        <w:t xml:space="preserve"> seu</w:t>
      </w:r>
      <w:r w:rsidR="007A6DA4" w:rsidRPr="007A6DA4">
        <w:t xml:space="preserve"> desenvolvimento histórico à luz da teoria federal</w:t>
      </w:r>
      <w:r w:rsidR="00DD41D6">
        <w:t xml:space="preserve"> e </w:t>
      </w:r>
      <w:r w:rsidR="007A6DA4">
        <w:t>constitucional</w:t>
      </w:r>
      <w:r w:rsidR="00DD41D6">
        <w:t>, bem como das concepções de soberania e identidade nacional.</w:t>
      </w:r>
    </w:p>
    <w:p w14:paraId="2A8DA77D" w14:textId="6E94C810" w:rsidR="00DD41D6" w:rsidRDefault="00DD41D6" w:rsidP="00DD41D6">
      <w:r>
        <w:t>Identifica também os momentos-chave de aprofundamento da integração, sobretudo as reformas dos Tratados, bem como a revisão Conferência sobre o Futuro da Europa, analisa a jurisprudência do Tribunal de Justiça enquanto mecanismo de constitucionalização do direito da União e analisa</w:t>
      </w:r>
      <w:r w:rsidRPr="00DD41D6">
        <w:t xml:space="preserve"> os fatores políticos, económicos e sociais que </w:t>
      </w:r>
      <w:r>
        <w:t>bloqueiam</w:t>
      </w:r>
      <w:r w:rsidRPr="00DD41D6">
        <w:t xml:space="preserve"> o processo de federalização</w:t>
      </w:r>
      <w:r>
        <w:t>.</w:t>
      </w:r>
    </w:p>
    <w:p w14:paraId="7FE438F7" w14:textId="3370F01B" w:rsidR="00C323A2" w:rsidRDefault="00C323A2" w:rsidP="00DD41D6">
      <w:r>
        <w:t>Esta dissertação encontra-se dividida em 5 capítulos.</w:t>
      </w:r>
    </w:p>
    <w:p w14:paraId="459984B2" w14:textId="314D76F2" w:rsidR="00C323A2" w:rsidRDefault="00C323A2" w:rsidP="00DD41D6">
      <w:r>
        <w:t>No primeiro, pretendo analisar a definição de “federalismo”, com base não só nos seus traços característicos</w:t>
      </w:r>
      <w:r w:rsidR="00B007C2">
        <w:t>,</w:t>
      </w:r>
      <w:r>
        <w:t xml:space="preserve"> como </w:t>
      </w:r>
      <w:r w:rsidR="00B007C2">
        <w:t>n</w:t>
      </w:r>
      <w:r>
        <w:t>a evolução histórica que teve, bem como a defini</w:t>
      </w:r>
      <w:r w:rsidR="005E076F">
        <w:t>ção de transnacionalidade, supranacionalidade e confederação, como complemento ao estudo do federalismo.</w:t>
      </w:r>
    </w:p>
    <w:p w14:paraId="328B873B" w14:textId="5D94E54A" w:rsidR="00C323A2" w:rsidRDefault="00C323A2" w:rsidP="00DD41D6">
      <w:r>
        <w:t>No segundo, estudei a evolução da União Europeia, desde a fundação da CECA até aos dias actuais, de forma a tentar perceber quais os contornos que adquiriu ao longo das décadas e se estes já previam uma maior integração europeia.</w:t>
      </w:r>
    </w:p>
    <w:p w14:paraId="240F72DD" w14:textId="727C079C" w:rsidR="00C323A2" w:rsidRDefault="00C323A2" w:rsidP="00DD41D6">
      <w:r>
        <w:t>Analisei ainda algumas das características da UE, dividindo-as entre características do tipo federal, que realçam a cada vez maior integração da União, e características confederadas, que preservam a soberania dos Estados.</w:t>
      </w:r>
    </w:p>
    <w:p w14:paraId="587C63E0" w14:textId="7A2F0009" w:rsidR="005E076F" w:rsidRDefault="005E076F" w:rsidP="005E076F">
      <w:r>
        <w:t>No terceiro capítulo analisei as diversas propostas de maior integração europeia, como o “Tratado que estabelece uma Constituição para a Europa” e a “Conferência sobre o Futuro da Europa, Relatório sobre o resultado final”, bem como o papel das identidades nacionais, enquanto obstáculos a uma maior integração dos Estados-Membros.</w:t>
      </w:r>
    </w:p>
    <w:p w14:paraId="300564A4" w14:textId="6B16EC5A" w:rsidR="005E076F" w:rsidRDefault="005E076F" w:rsidP="005E076F">
      <w:r>
        <w:t>No quarto capítulo analisei as diversas vantagens políticas e económicas que adviriam de uma federalização da União</w:t>
      </w:r>
      <w:r w:rsidR="00D374DF">
        <w:t xml:space="preserve">, como a maior capacidade de defesa dos Estados-Membros, </w:t>
      </w:r>
      <w:r w:rsidR="00D374DF" w:rsidRPr="00D374DF">
        <w:t>rapidez e representatividade do processo decisório</w:t>
      </w:r>
      <w:r w:rsidR="00D374DF">
        <w:t xml:space="preserve"> e maiores níveis de democracia</w:t>
      </w:r>
      <w:r>
        <w:t>, dedicando o quinto capítulo a elencar diversos obstáculos, sejam eles jurídicos, políticos e sociais, a uma maior integração, com forte ênfase na falta de uma identidade europeia, no eurocepticismo e na dificuldade da conciliação de todos os sistemas jurídicos europeus num só Estado.</w:t>
      </w:r>
    </w:p>
    <w:p w14:paraId="73866E82" w14:textId="2E9B6F56" w:rsidR="00D374DF" w:rsidRDefault="00D374DF" w:rsidP="005E076F">
      <w:r>
        <w:t>Desta forma pretendia estudar passo a passo a noção típica de “federalismo”, para depois analisar a União Europeia ao longo da sua história, os seus elementos e planos para maior aproximação dos Estados e por fim, realçar as vantagens e obstáculos a uma maior integração dos Estados-Membros, de forma a tentar perceber qual o rumo que a União está a tomar e que com base na sua história, ela tenderá a tomar.</w:t>
      </w:r>
    </w:p>
    <w:p w14:paraId="5DDB98B0" w14:textId="3833F966" w:rsidR="00DD41D6" w:rsidRDefault="00DD41D6" w:rsidP="00DD41D6">
      <w:r w:rsidRPr="00DD41D6">
        <w:t xml:space="preserve">A metodologia </w:t>
      </w:r>
      <w:r w:rsidR="00A86435" w:rsidRPr="00DD41D6">
        <w:t>adoptada</w:t>
      </w:r>
      <w:r w:rsidRPr="00DD41D6">
        <w:t xml:space="preserve"> neste trabalho </w:t>
      </w:r>
      <w:r>
        <w:t xml:space="preserve">combina uma extensa análise de </w:t>
      </w:r>
      <w:r w:rsidRPr="00DD41D6">
        <w:t>textos fundacionais da integração europeia (Tratados de Paris, Roma, Maastricht, Lisboa, entre outros), bem como as propostas de reforma mais recentes.</w:t>
      </w:r>
    </w:p>
    <w:p w14:paraId="165C4175" w14:textId="1B7E8801" w:rsidR="007B56E9" w:rsidRDefault="00DD41D6" w:rsidP="00DD41D6">
      <w:r>
        <w:t>Ainda no âmbito da metodologia</w:t>
      </w:r>
      <w:r w:rsidR="00D96C30">
        <w:t>, analisei</w:t>
      </w:r>
      <w:r>
        <w:t xml:space="preserve"> </w:t>
      </w:r>
      <w:r w:rsidRPr="00DD41D6">
        <w:t>jurisprudência do Tribunal de Justiça das Comunidades Europeias, especialmente em matéria de primado</w:t>
      </w:r>
      <w:r w:rsidR="007B56E9">
        <w:t xml:space="preserve"> de direito da União</w:t>
      </w:r>
      <w:r w:rsidR="00D96C30">
        <w:t>, recorri</w:t>
      </w:r>
      <w:r w:rsidRPr="00DD41D6">
        <w:t xml:space="preserve"> a uma vasta bibliografia sobre federalismo, integração </w:t>
      </w:r>
      <w:r>
        <w:t>europeia</w:t>
      </w:r>
      <w:r w:rsidRPr="00DD41D6">
        <w:t xml:space="preserve"> e teoria constitucional europeia</w:t>
      </w:r>
      <w:r w:rsidR="00D96C30">
        <w:t xml:space="preserve"> e p</w:t>
      </w:r>
      <w:r w:rsidR="00E75349" w:rsidRPr="00E75349">
        <w:t>rocur</w:t>
      </w:r>
      <w:r w:rsidR="00D96C30">
        <w:t xml:space="preserve">ei </w:t>
      </w:r>
      <w:r w:rsidR="00E75349" w:rsidRPr="00E75349">
        <w:t>estabelecer paralelos entre</w:t>
      </w:r>
      <w:r w:rsidR="00E75349">
        <w:t xml:space="preserve"> o modelo actual da União e as características típicas de um Estado federal.</w:t>
      </w:r>
    </w:p>
    <w:p w14:paraId="46FAEAF8" w14:textId="0B5C6F4C" w:rsidR="00D96C30" w:rsidRDefault="00D96C30" w:rsidP="00DD41D6">
      <w:r>
        <w:t xml:space="preserve">Mediante este estudo, visei perceber se a União Europeia, após todas as suas diversas evoluções e tendências para evoluções futuras, se estava a caminhar em </w:t>
      </w:r>
      <w:r w:rsidR="00992CD7">
        <w:t>direcção</w:t>
      </w:r>
      <w:r>
        <w:t xml:space="preserve"> a uma integração do tipo federal.</w:t>
      </w:r>
    </w:p>
    <w:p w14:paraId="47B497EC" w14:textId="7FACE284" w:rsidR="00D96C30" w:rsidRDefault="00D96C30" w:rsidP="00DD41D6">
      <w:r>
        <w:t xml:space="preserve">Para tal foi necessário entender quais as características deste tipo de Estado e analisar à luz de algumas das mais famosas </w:t>
      </w:r>
      <w:r w:rsidR="00992CD7">
        <w:t>características</w:t>
      </w:r>
      <w:r>
        <w:t xml:space="preserve"> da União</w:t>
      </w:r>
      <w:r w:rsidR="00992CD7">
        <w:t xml:space="preserve">, </w:t>
      </w:r>
      <w:r w:rsidR="00C323A2">
        <w:t xml:space="preserve">se </w:t>
      </w:r>
      <w:r w:rsidR="00992CD7">
        <w:t>a mesma já estava a começar a adoptar características federalistas e de que forma.</w:t>
      </w:r>
    </w:p>
    <w:p w14:paraId="4C1ACE82" w14:textId="5C8E74EB" w:rsidR="00C323A2" w:rsidRDefault="00992CD7" w:rsidP="00C323A2">
      <w:r>
        <w:t xml:space="preserve">Foi também necessário estudar </w:t>
      </w:r>
      <w:r w:rsidR="00C323A2">
        <w:t xml:space="preserve">as práticas jurídicas da União, bem como os </w:t>
      </w:r>
      <w:r w:rsidR="00A86435">
        <w:t>factores</w:t>
      </w:r>
      <w:r w:rsidR="00C323A2">
        <w:t xml:space="preserve"> históricos, sociais, culturais, políticos e institucionais da UE, de forma a melhor perceber o porquê da evolução que tomou</w:t>
      </w:r>
      <w:r w:rsidR="00A86435">
        <w:t>, bem como, quais os obstáculos que se colocavam a uma maior integração dos Estados-Membros.</w:t>
      </w:r>
    </w:p>
    <w:p w14:paraId="462DC586" w14:textId="591D3804" w:rsidR="00E75349" w:rsidRDefault="00E75349" w:rsidP="00DD41D6">
      <w:r>
        <w:t>Em suma, a</w:t>
      </w:r>
      <w:r w:rsidRPr="00E75349">
        <w:t xml:space="preserve"> evolução da federalização da União Europeia não é apenas um tema jurídico </w:t>
      </w:r>
      <w:r w:rsidR="00A86435" w:rsidRPr="00E75349">
        <w:t>abstracto</w:t>
      </w:r>
      <w:r w:rsidRPr="00E75349">
        <w:t>, mas um dos debates centrais sobre o futuro político</w:t>
      </w:r>
      <w:r>
        <w:t>, não só da própria organização, como</w:t>
      </w:r>
      <w:r w:rsidRPr="00E75349">
        <w:t xml:space="preserve"> do continente. </w:t>
      </w:r>
    </w:p>
    <w:p w14:paraId="38D94E00" w14:textId="2C205F44" w:rsidR="00E75349" w:rsidRPr="00DD41D6" w:rsidRDefault="00E75349" w:rsidP="00DD41D6">
      <w:r w:rsidRPr="00E75349">
        <w:t>A</w:t>
      </w:r>
      <w:r>
        <w:t xml:space="preserve"> desconfiança gerada </w:t>
      </w:r>
      <w:r w:rsidRPr="00E75349">
        <w:t>sobre a legitimidade democrática, o equilíbrio de poderes e a partilha de soberania são hoje mais prementes do que nunca</w:t>
      </w:r>
      <w:r>
        <w:t>, a</w:t>
      </w:r>
      <w:r w:rsidRPr="00E75349">
        <w:t>ssim</w:t>
      </w:r>
      <w:r>
        <w:t xml:space="preserve"> que,</w:t>
      </w:r>
      <w:r w:rsidRPr="00E75349">
        <w:t xml:space="preserve"> a presente dissertação pretende contribuir para uma leitura crítica e sistematizada deste processo, explorando os seus fundamentos constitucionais, os seus efeitos práticos e as suas </w:t>
      </w:r>
      <w:r w:rsidR="00EF538A" w:rsidRPr="00E75349">
        <w:t>perspectivas</w:t>
      </w:r>
      <w:r w:rsidRPr="00E75349">
        <w:t xml:space="preserve"> de desenvolvimento futuro.</w:t>
      </w:r>
    </w:p>
    <w:p w14:paraId="1890A03E" w14:textId="4C7D74FF" w:rsidR="00DD41D6" w:rsidRDefault="00DD41D6" w:rsidP="00DD41D6"/>
    <w:p w14:paraId="36EE4EF4" w14:textId="77777777" w:rsidR="00F90FDC" w:rsidRDefault="00F90FDC" w:rsidP="004E05F7"/>
    <w:p w14:paraId="63F56D65" w14:textId="77777777" w:rsidR="006216F4" w:rsidRDefault="006216F4" w:rsidP="004E05F7"/>
    <w:p w14:paraId="35909856" w14:textId="77777777" w:rsidR="00D374DF" w:rsidRDefault="00D374DF" w:rsidP="004E05F7"/>
    <w:p w14:paraId="79401A71" w14:textId="77777777" w:rsidR="00D374DF" w:rsidRDefault="00D374DF" w:rsidP="004E05F7"/>
    <w:p w14:paraId="5A78FB59" w14:textId="77777777" w:rsidR="00F90FDC" w:rsidRDefault="00F90FDC" w:rsidP="004E05F7"/>
    <w:p w14:paraId="0B8BB930" w14:textId="577CD790" w:rsidR="0019302D" w:rsidRDefault="006A16B3" w:rsidP="001E058A">
      <w:pPr>
        <w:pStyle w:val="Ttulo1"/>
        <w:numPr>
          <w:ilvl w:val="0"/>
          <w:numId w:val="1"/>
        </w:numPr>
        <w:ind w:left="714" w:hanging="357"/>
      </w:pPr>
      <w:bookmarkStart w:id="16" w:name="_Toc221648063"/>
      <w:r w:rsidRPr="006A16B3">
        <w:t>Enquadramento Teórico: Federalismo e Soberania</w:t>
      </w:r>
      <w:bookmarkEnd w:id="16"/>
    </w:p>
    <w:p w14:paraId="74C88C5B" w14:textId="7C22031B" w:rsidR="006A16B3" w:rsidRPr="00787C75" w:rsidRDefault="006A16B3" w:rsidP="001E058A">
      <w:pPr>
        <w:pStyle w:val="PargrafodaLista"/>
        <w:numPr>
          <w:ilvl w:val="1"/>
          <w:numId w:val="1"/>
        </w:numPr>
        <w:ind w:left="1077" w:right="17"/>
        <w:outlineLvl w:val="1"/>
      </w:pPr>
      <w:bookmarkStart w:id="17" w:name="_Toc221648064"/>
      <w:r w:rsidRPr="00787C75">
        <w:t>Conceito de federalismo: origens, modelos e evolução histórica</w:t>
      </w:r>
      <w:bookmarkEnd w:id="17"/>
    </w:p>
    <w:p w14:paraId="04EE5025" w14:textId="77777777" w:rsidR="006A16B3" w:rsidRPr="006A16B3" w:rsidRDefault="006A16B3" w:rsidP="006A16B3">
      <w:pPr>
        <w:ind w:right="0"/>
        <w:rPr>
          <w:color w:val="000000"/>
        </w:rPr>
      </w:pPr>
      <w:r w:rsidRPr="006A16B3">
        <w:rPr>
          <w:color w:val="000000"/>
        </w:rPr>
        <w:t>Não seria possível analisar a possível transição da União Europeia enquanto uma união económica e política (dentro das competências conferidas pelos tratados e de acordo com o princípio da subsidiariedade) para uma união federal, antes de primeiro analisar-se o conceito de federalismo à luz da evolução histórica deste.</w:t>
      </w:r>
    </w:p>
    <w:p w14:paraId="4585439A" w14:textId="6E90F1AE" w:rsidR="006A16B3" w:rsidRPr="006A16B3" w:rsidRDefault="006A16B3" w:rsidP="006A16B3">
      <w:pPr>
        <w:ind w:right="0"/>
        <w:rPr>
          <w:color w:val="000000"/>
        </w:rPr>
      </w:pPr>
      <w:r w:rsidRPr="006A16B3">
        <w:rPr>
          <w:color w:val="000000"/>
        </w:rPr>
        <w:t>Na prática, o federalismo já vem sendo adaptado por diferentes povos ao longo dos séculos, como os hititas, babilónios e suíços, e caracteriza-se por ser uma forma de organização territorial do poder, de articulação do poder central com os poderes regionais e locais, em busca dum conjunto de complexas alianças, na pactuação de valores e interesses entre os diferentes actores políticos, em que a simetria entre os entes parece ser o valor a ser alcançado.</w:t>
      </w:r>
    </w:p>
    <w:p w14:paraId="247F5293" w14:textId="194CBEE6" w:rsidR="006A16B3" w:rsidRPr="006A16B3" w:rsidRDefault="006A16B3" w:rsidP="006A16B3">
      <w:pPr>
        <w:ind w:right="0"/>
        <w:rPr>
          <w:color w:val="000000"/>
        </w:rPr>
      </w:pPr>
      <w:r w:rsidRPr="006A16B3">
        <w:rPr>
          <w:color w:val="000000"/>
        </w:rPr>
        <w:t>Actualmente, 70% da população mundial vive de uma maneira ou de outra num regime federal, com um terço a viver sob um regime formalmente federal e 40% em sistemas não proclamados federais, sendo que somente em África é que o federalismo não tem sido implementado</w:t>
      </w:r>
      <w:r w:rsidR="00CA2845">
        <w:rPr>
          <w:rStyle w:val="Refdenotaderodap"/>
          <w:color w:val="000000"/>
        </w:rPr>
        <w:footnoteReference w:id="2"/>
      </w:r>
      <w:r w:rsidRPr="006A16B3">
        <w:rPr>
          <w:color w:val="000000"/>
        </w:rPr>
        <w:t>.</w:t>
      </w:r>
    </w:p>
    <w:p w14:paraId="751D0F92" w14:textId="33FD8918" w:rsidR="006A16B3" w:rsidRPr="006A16B3" w:rsidRDefault="0025493C" w:rsidP="006A16B3">
      <w:pPr>
        <w:ind w:right="0"/>
        <w:rPr>
          <w:i/>
          <w:iCs/>
          <w:color w:val="000000"/>
        </w:rPr>
      </w:pPr>
      <w:r>
        <w:rPr>
          <w:color w:val="000000"/>
        </w:rPr>
        <w:t>O</w:t>
      </w:r>
      <w:r w:rsidR="006A16B3" w:rsidRPr="00595B4E">
        <w:rPr>
          <w:color w:val="000000"/>
        </w:rPr>
        <w:t xml:space="preserve"> Estado Federal contém o ordenamento jurídico total, o ordenamento jurídico central e o ordenamento jurídico parcial. O Estado Federal, a comunidade jurídica total, compreende a Federação, que é a comunidade jurídica central, e os Estados-membros, que formam comunidades jurídicas parciai</w:t>
      </w:r>
      <w:r w:rsidR="00595B4E" w:rsidRPr="00595B4E">
        <w:rPr>
          <w:color w:val="000000"/>
        </w:rPr>
        <w:t>s</w:t>
      </w:r>
      <w:r w:rsidR="00CA2845" w:rsidRPr="00595B4E">
        <w:rPr>
          <w:rStyle w:val="Refdenotaderodap"/>
          <w:color w:val="000000"/>
        </w:rPr>
        <w:footnoteReference w:id="3"/>
      </w:r>
      <w:r w:rsidR="006A16B3" w:rsidRPr="00595B4E">
        <w:rPr>
          <w:color w:val="000000"/>
        </w:rPr>
        <w:t>.</w:t>
      </w:r>
    </w:p>
    <w:p w14:paraId="76EB40D5" w14:textId="77777777" w:rsidR="006A16B3" w:rsidRPr="006A16B3" w:rsidRDefault="006A16B3" w:rsidP="006A16B3">
      <w:pPr>
        <w:ind w:right="0"/>
        <w:rPr>
          <w:color w:val="000000"/>
        </w:rPr>
      </w:pPr>
      <w:r w:rsidRPr="006A16B3">
        <w:rPr>
          <w:color w:val="000000"/>
        </w:rPr>
        <w:t>Ao longo das décadas tem existido diversas definições de federalismo, ainda que mais ou menos completas, mas que no geral permitem criar uma noção geral deste sistema de governo.</w:t>
      </w:r>
    </w:p>
    <w:p w14:paraId="3A2321B1" w14:textId="77777777" w:rsidR="006A16B3" w:rsidRPr="006A16B3" w:rsidRDefault="006A16B3" w:rsidP="006A16B3">
      <w:pPr>
        <w:ind w:right="0"/>
        <w:rPr>
          <w:color w:val="000000"/>
        </w:rPr>
      </w:pPr>
      <w:r w:rsidRPr="006A16B3">
        <w:rPr>
          <w:color w:val="000000"/>
        </w:rPr>
        <w:t>Ainda assim, revela-se complicado atribuir-lhe uma definição exclusiva e específica.</w:t>
      </w:r>
    </w:p>
    <w:p w14:paraId="0D213DA5" w14:textId="69ED4174" w:rsidR="00EB3627" w:rsidRDefault="006A16B3" w:rsidP="006A16B3">
      <w:pPr>
        <w:ind w:right="0"/>
        <w:rPr>
          <w:color w:val="000000"/>
        </w:rPr>
      </w:pPr>
      <w:r w:rsidRPr="006A16B3">
        <w:rPr>
          <w:color w:val="000000"/>
        </w:rPr>
        <w:t>Segundo Dalmo de Abreu Dallari</w:t>
      </w:r>
      <w:r w:rsidR="00EB3627">
        <w:rPr>
          <w:color w:val="000000"/>
        </w:rPr>
        <w:t>:</w:t>
      </w:r>
      <w:r w:rsidRPr="006A16B3">
        <w:rPr>
          <w:color w:val="000000"/>
        </w:rPr>
        <w:t xml:space="preserve"> </w:t>
      </w:r>
    </w:p>
    <w:p w14:paraId="1B657AE8" w14:textId="77777777" w:rsidR="00CB7FEC" w:rsidRDefault="00CB7FEC" w:rsidP="006A16B3">
      <w:pPr>
        <w:ind w:right="0"/>
        <w:rPr>
          <w:color w:val="000000"/>
        </w:rPr>
      </w:pPr>
    </w:p>
    <w:p w14:paraId="621C5782" w14:textId="72A5DE91" w:rsidR="00EB3627" w:rsidRPr="00F12442" w:rsidRDefault="00EB3627" w:rsidP="00F12442">
      <w:pPr>
        <w:spacing w:line="240" w:lineRule="auto"/>
        <w:ind w:left="567" w:right="0"/>
        <w:rPr>
          <w:color w:val="000000"/>
          <w:sz w:val="20"/>
          <w:szCs w:val="20"/>
        </w:rPr>
      </w:pPr>
      <w:r w:rsidRPr="00F12442">
        <w:rPr>
          <w:color w:val="000000"/>
          <w:sz w:val="20"/>
          <w:szCs w:val="20"/>
        </w:rPr>
        <w:t>T</w:t>
      </w:r>
      <w:r w:rsidR="006A16B3" w:rsidRPr="00F12442">
        <w:rPr>
          <w:color w:val="000000"/>
          <w:sz w:val="20"/>
          <w:szCs w:val="20"/>
        </w:rPr>
        <w:t xml:space="preserve">udo o que foi aqui exposto pode levar à conclusão de que a noção de federalismo será sempre inevitavelmente fluida, vaga, imprecisa e, por isso mesmo, de pouca utilidade teórica e prática. Na realidade, encontra-se entre os teóricos do federalismo, intensa discussão a respeito do que é o “princípio federativo”, que deveria ser o ponto de partida ou o núcleo básico para se julgar se determinado Estado é ou não federal, ou para avaliar se uma particularidade de organização ou funcionamento é ou não compatível com o federalismo. Assim, em consequência, não há uma conceituação uniforme do que seja um Estado federal. </w:t>
      </w:r>
      <w:r w:rsidRPr="00F12442">
        <w:rPr>
          <w:color w:val="000000"/>
          <w:sz w:val="20"/>
          <w:szCs w:val="20"/>
        </w:rPr>
        <w:t xml:space="preserve"> </w:t>
      </w:r>
      <w:r w:rsidR="006A16B3" w:rsidRPr="00F12442">
        <w:rPr>
          <w:color w:val="000000"/>
          <w:sz w:val="20"/>
          <w:szCs w:val="20"/>
        </w:rPr>
        <w:t xml:space="preserve">Não há dúvida de que uma concepção unívoca, sem ambiguidades e com o seu conteúdo e os seus contornos claramente estabelecidos, facilitaria o trabalho dos teóricos. Mas o que não se pode perder de vista é que o federalismo é um fenómeno político-social, vale dizer, humano, não sujeito a certeza matemáticas ou a delimitações puramente racionais e previsíveis. É absurdo, por ser contrário à natureza humana, pretender que a teoria condicione totalmente a prática. </w:t>
      </w:r>
      <w:r w:rsidRPr="00F12442">
        <w:rPr>
          <w:color w:val="000000"/>
          <w:sz w:val="20"/>
          <w:szCs w:val="20"/>
        </w:rPr>
        <w:t xml:space="preserve"> </w:t>
      </w:r>
      <w:r w:rsidR="006A16B3" w:rsidRPr="00F12442">
        <w:rPr>
          <w:color w:val="000000"/>
          <w:sz w:val="20"/>
          <w:szCs w:val="20"/>
        </w:rPr>
        <w:t>Os parâmetros teóricos são úteis, mas é preciso ter sempre em vista que o ser humano é inteligente e extremamente criativo, o que deve levar ao reconhecimento de que nenhuma verdade teórica relativa a comportamentos humanos pode ser definitiva, imutável e exclusiva.</w:t>
      </w:r>
      <w:r w:rsidRPr="00F12442">
        <w:rPr>
          <w:color w:val="000000"/>
          <w:sz w:val="20"/>
          <w:szCs w:val="20"/>
        </w:rPr>
        <w:t xml:space="preserve"> </w:t>
      </w:r>
      <w:r w:rsidR="006A16B3" w:rsidRPr="00F12442">
        <w:rPr>
          <w:color w:val="000000"/>
          <w:sz w:val="20"/>
          <w:szCs w:val="20"/>
        </w:rPr>
        <w:t>Por todos estes motivos, pode-se concluir que existe a possibilidade de uma teorização do federalismo em que, apesar da variedade de concepções, a discussão teórica do tema é de grande utilidade, tanto para a compreensão dos fenómenos quanto para a identificação de pontos comuns e de relações entre certas práticas e determinadas consequências</w:t>
      </w:r>
      <w:r w:rsidR="00CA2845" w:rsidRPr="00F12442">
        <w:rPr>
          <w:color w:val="000000"/>
          <w:sz w:val="20"/>
          <w:szCs w:val="20"/>
        </w:rPr>
        <w:t>.</w:t>
      </w:r>
      <w:r w:rsidR="00CA2845" w:rsidRPr="00F12442">
        <w:rPr>
          <w:rStyle w:val="Refdenotaderodap"/>
          <w:color w:val="000000"/>
          <w:sz w:val="20"/>
          <w:szCs w:val="20"/>
        </w:rPr>
        <w:footnoteReference w:id="4"/>
      </w:r>
      <w:r w:rsidR="006A16B3" w:rsidRPr="00F12442">
        <w:rPr>
          <w:color w:val="000000"/>
          <w:sz w:val="20"/>
          <w:szCs w:val="20"/>
        </w:rPr>
        <w:t xml:space="preserve">  </w:t>
      </w:r>
    </w:p>
    <w:p w14:paraId="5832F468" w14:textId="77777777" w:rsidR="00CB7FEC" w:rsidRPr="00EB3627" w:rsidRDefault="00CB7FEC" w:rsidP="006A16B3">
      <w:pPr>
        <w:ind w:right="0"/>
        <w:rPr>
          <w:i/>
          <w:iCs/>
          <w:color w:val="000000"/>
          <w:sz w:val="20"/>
          <w:szCs w:val="20"/>
        </w:rPr>
      </w:pPr>
    </w:p>
    <w:p w14:paraId="06A5E573" w14:textId="77777777" w:rsidR="006A16B3" w:rsidRPr="006A16B3" w:rsidRDefault="006A16B3" w:rsidP="006A16B3">
      <w:pPr>
        <w:ind w:right="0"/>
        <w:rPr>
          <w:color w:val="000000"/>
        </w:rPr>
      </w:pPr>
      <w:r w:rsidRPr="006A16B3">
        <w:rPr>
          <w:color w:val="000000"/>
        </w:rPr>
        <w:t>Ou seja, devido ao carácter específico do sistema federal e a sua natureza estritamente humana, não é possível delinear a totalidade da sua natureza, mas sim, somente um conjunto de bases teóricas que permitem os cientistas políticos analisar e classificar os diversos Estados federais.</w:t>
      </w:r>
    </w:p>
    <w:p w14:paraId="256028B9" w14:textId="77777777" w:rsidR="006A16B3" w:rsidRPr="006A16B3" w:rsidRDefault="006A16B3" w:rsidP="006A16B3">
      <w:pPr>
        <w:ind w:right="0"/>
        <w:rPr>
          <w:color w:val="000000"/>
        </w:rPr>
      </w:pPr>
      <w:r w:rsidRPr="006A16B3">
        <w:rPr>
          <w:color w:val="000000"/>
        </w:rPr>
        <w:t>No final, a história, cultura e os valores políticos, sociais, religiosos e económicos revelam-se os moldes para a formação dos diferentes Estados federais.</w:t>
      </w:r>
    </w:p>
    <w:p w14:paraId="750700AB" w14:textId="77777777" w:rsidR="006A16B3" w:rsidRPr="006A16B3" w:rsidRDefault="006A16B3" w:rsidP="006A16B3">
      <w:pPr>
        <w:ind w:right="0"/>
        <w:rPr>
          <w:color w:val="000000"/>
        </w:rPr>
      </w:pPr>
      <w:r w:rsidRPr="006A16B3">
        <w:rPr>
          <w:color w:val="000000"/>
        </w:rPr>
        <w:t>É por isso que o Estado alemão, americano, belga e bósnio e herzegóvino, apesar de partilharem as bases comuns do sistema federalista, mantem ainda traços distintos no que toca ao seu sistema de governo.</w:t>
      </w:r>
    </w:p>
    <w:p w14:paraId="28B19A8E" w14:textId="5201D287" w:rsidR="006A16B3" w:rsidRPr="00732FEE" w:rsidRDefault="006A16B3" w:rsidP="006A16B3">
      <w:pPr>
        <w:ind w:right="0"/>
        <w:rPr>
          <w:color w:val="000000"/>
        </w:rPr>
      </w:pPr>
      <w:r w:rsidRPr="006A16B3">
        <w:rPr>
          <w:color w:val="000000"/>
        </w:rPr>
        <w:t xml:space="preserve">Segundo Pedro Lenza, </w:t>
      </w:r>
      <w:r w:rsidRPr="00732FEE">
        <w:rPr>
          <w:color w:val="000000"/>
        </w:rPr>
        <w:t>as características comuns das federações são:</w:t>
      </w:r>
    </w:p>
    <w:p w14:paraId="40830BEF" w14:textId="77777777" w:rsidR="006A16B3" w:rsidRPr="00732FEE" w:rsidRDefault="006A16B3" w:rsidP="006A16B3">
      <w:pPr>
        <w:ind w:right="0"/>
        <w:rPr>
          <w:color w:val="000000"/>
        </w:rPr>
      </w:pPr>
      <w:r w:rsidRPr="00732FEE">
        <w:rPr>
          <w:color w:val="000000"/>
        </w:rPr>
        <w:t>a) Descentralização política: a própria Constituição prevê núcleos de poder político, concedendo autonomia para os referidos entes;</w:t>
      </w:r>
    </w:p>
    <w:p w14:paraId="7E6D9B33" w14:textId="77777777" w:rsidR="006A16B3" w:rsidRPr="00732FEE" w:rsidRDefault="006A16B3" w:rsidP="006A16B3">
      <w:pPr>
        <w:ind w:right="0"/>
        <w:rPr>
          <w:color w:val="000000"/>
        </w:rPr>
      </w:pPr>
      <w:r w:rsidRPr="00732FEE">
        <w:rPr>
          <w:color w:val="000000"/>
        </w:rPr>
        <w:t>b) Repartição de competência: garante a autonomia entre os entes federados e, assim, o equilíbrio da federação;</w:t>
      </w:r>
    </w:p>
    <w:p w14:paraId="4DE7E964" w14:textId="77777777" w:rsidR="006A16B3" w:rsidRPr="00732FEE" w:rsidRDefault="006A16B3" w:rsidP="006A16B3">
      <w:pPr>
        <w:ind w:right="0"/>
        <w:rPr>
          <w:color w:val="000000"/>
        </w:rPr>
      </w:pPr>
      <w:r w:rsidRPr="00732FEE">
        <w:rPr>
          <w:color w:val="000000"/>
        </w:rPr>
        <w:t>c) Constituição rígida como base jurídica: é fundamental a existência de uma Constituição rígida no sentido de garantir a distribuição de competências entre os entes autónomos, surgindo, então, uma verdadeira estabilidade institucional;</w:t>
      </w:r>
    </w:p>
    <w:p w14:paraId="54F17087" w14:textId="1828D0C7" w:rsidR="006A16B3" w:rsidRPr="00732FEE" w:rsidRDefault="006A16B3" w:rsidP="006A16B3">
      <w:pPr>
        <w:ind w:right="0"/>
        <w:rPr>
          <w:color w:val="000000"/>
        </w:rPr>
      </w:pPr>
      <w:r w:rsidRPr="00732FEE">
        <w:rPr>
          <w:color w:val="000000"/>
        </w:rPr>
        <w:t>d) Inexistência do direito de secessão: não se permite, uma vez criado o pacto federativo, o direito de separação, de retirada</w:t>
      </w:r>
      <w:r w:rsidR="002F39B1">
        <w:rPr>
          <w:color w:val="000000"/>
        </w:rPr>
        <w:t>;</w:t>
      </w:r>
    </w:p>
    <w:p w14:paraId="4D76C4A8" w14:textId="171AA885" w:rsidR="006A16B3" w:rsidRPr="00732FEE" w:rsidRDefault="006A16B3" w:rsidP="006A16B3">
      <w:pPr>
        <w:ind w:right="0"/>
        <w:rPr>
          <w:color w:val="000000"/>
        </w:rPr>
      </w:pPr>
      <w:r w:rsidRPr="00732FEE">
        <w:rPr>
          <w:color w:val="000000"/>
        </w:rPr>
        <w:t>e) Soberania do Estado federal: a partir do momento que os Estados ingressam na Federação perdem soberania, passando a ser autónomos. Os entes federativos são, portanto, autónomos entre si, de acordo com as regras constitucionalmente previstas, nos limites da sua competência; a soberania, por sua vez, é característica do todo, do Estado federal</w:t>
      </w:r>
      <w:r w:rsidR="002F39B1">
        <w:rPr>
          <w:color w:val="000000"/>
        </w:rPr>
        <w:t>;</w:t>
      </w:r>
    </w:p>
    <w:p w14:paraId="60634429" w14:textId="77777777" w:rsidR="006A16B3" w:rsidRPr="00732FEE" w:rsidRDefault="006A16B3" w:rsidP="006A16B3">
      <w:pPr>
        <w:ind w:right="0"/>
        <w:rPr>
          <w:color w:val="000000"/>
        </w:rPr>
      </w:pPr>
      <w:r w:rsidRPr="00732FEE">
        <w:rPr>
          <w:color w:val="000000"/>
        </w:rPr>
        <w:t>f) Intervenção: diante de situações de crise, o processo interventivo surge como um instrumento para assegurar o equilíbrio federativo e, assim, a manutenção da Federação;</w:t>
      </w:r>
    </w:p>
    <w:p w14:paraId="5B3ABEA5" w14:textId="77777777" w:rsidR="006A16B3" w:rsidRPr="00732FEE" w:rsidRDefault="006A16B3" w:rsidP="006A16B3">
      <w:pPr>
        <w:ind w:right="0"/>
        <w:rPr>
          <w:color w:val="000000"/>
        </w:rPr>
      </w:pPr>
      <w:r w:rsidRPr="00732FEE">
        <w:rPr>
          <w:color w:val="000000"/>
        </w:rPr>
        <w:t>g) Auto-organização dos Estados-membros através da elaboração das constituições estaduais;</w:t>
      </w:r>
    </w:p>
    <w:p w14:paraId="77B0B367" w14:textId="77777777" w:rsidR="006A16B3" w:rsidRPr="00732FEE" w:rsidRDefault="006A16B3" w:rsidP="006A16B3">
      <w:pPr>
        <w:ind w:right="0"/>
        <w:rPr>
          <w:color w:val="000000"/>
        </w:rPr>
      </w:pPr>
      <w:r w:rsidRPr="00732FEE">
        <w:rPr>
          <w:color w:val="000000"/>
        </w:rPr>
        <w:t>h) Órgão representativo dos Estados-membros;</w:t>
      </w:r>
    </w:p>
    <w:p w14:paraId="50DF7319" w14:textId="418ECEA4" w:rsidR="006A16B3" w:rsidRPr="00732FEE" w:rsidRDefault="006A16B3" w:rsidP="006A16B3">
      <w:pPr>
        <w:ind w:right="0"/>
        <w:rPr>
          <w:color w:val="000000"/>
        </w:rPr>
      </w:pPr>
      <w:r w:rsidRPr="00732FEE">
        <w:rPr>
          <w:color w:val="000000"/>
        </w:rPr>
        <w:t>i) Repartição de receitas: assegura o equilíbrio entre os entes federativos;</w:t>
      </w:r>
      <w:r w:rsidR="00CA2845" w:rsidRPr="00732FEE">
        <w:rPr>
          <w:rStyle w:val="Refdenotaderodap"/>
          <w:color w:val="000000"/>
        </w:rPr>
        <w:footnoteReference w:id="5"/>
      </w:r>
      <w:r w:rsidRPr="00732FEE">
        <w:rPr>
          <w:color w:val="000000"/>
        </w:rPr>
        <w:t xml:space="preserve">  </w:t>
      </w:r>
    </w:p>
    <w:p w14:paraId="274F6984" w14:textId="05ACB390" w:rsidR="006A16B3" w:rsidRPr="006A16B3" w:rsidRDefault="006A16B3" w:rsidP="006A16B3">
      <w:pPr>
        <w:ind w:right="0"/>
        <w:rPr>
          <w:color w:val="000000"/>
        </w:rPr>
      </w:pPr>
      <w:r w:rsidRPr="006A16B3">
        <w:rPr>
          <w:color w:val="000000"/>
        </w:rPr>
        <w:t xml:space="preserve">Assim, os Estados federais partilham todos um conjunto de características basilares e necessárias, que garantem a união dos entes autónomos e a manutenção do Estado </w:t>
      </w:r>
      <w:r w:rsidR="005747EA">
        <w:rPr>
          <w:color w:val="000000"/>
        </w:rPr>
        <w:t>f</w:t>
      </w:r>
      <w:r w:rsidRPr="006A16B3">
        <w:rPr>
          <w:color w:val="000000"/>
        </w:rPr>
        <w:t>ederal, enquanto detentor da soberania destes entes federativos, mas responsável por respeitar autonomia e direitos que lhes são atribuídos pela Constituição.</w:t>
      </w:r>
    </w:p>
    <w:p w14:paraId="4301EB99" w14:textId="77777777" w:rsidR="00CB7FEC" w:rsidRDefault="006A16B3" w:rsidP="00F12442">
      <w:pPr>
        <w:ind w:right="0"/>
        <w:rPr>
          <w:color w:val="000000"/>
        </w:rPr>
      </w:pPr>
      <w:r w:rsidRPr="006A16B3">
        <w:rPr>
          <w:color w:val="000000"/>
        </w:rPr>
        <w:t>A estes aspectos do federalismo, nas palavras de Paulo de Pitta e Cunha</w:t>
      </w:r>
      <w:r w:rsidR="00CB7FEC">
        <w:rPr>
          <w:color w:val="000000"/>
        </w:rPr>
        <w:t>:</w:t>
      </w:r>
      <w:r w:rsidRPr="006A16B3">
        <w:rPr>
          <w:color w:val="000000"/>
        </w:rPr>
        <w:t xml:space="preserve"> </w:t>
      </w:r>
    </w:p>
    <w:p w14:paraId="5D5DE14B" w14:textId="77777777" w:rsidR="00F12442" w:rsidRDefault="00F12442" w:rsidP="006A16B3">
      <w:pPr>
        <w:ind w:right="0"/>
        <w:rPr>
          <w:color w:val="000000"/>
        </w:rPr>
      </w:pPr>
    </w:p>
    <w:p w14:paraId="3B641DF8" w14:textId="74BFB747" w:rsidR="006A16B3" w:rsidRPr="00F12442" w:rsidRDefault="00CB7FEC" w:rsidP="00465D91">
      <w:pPr>
        <w:spacing w:line="240" w:lineRule="auto"/>
        <w:ind w:left="567" w:right="0"/>
        <w:rPr>
          <w:color w:val="000000"/>
          <w:sz w:val="20"/>
          <w:szCs w:val="20"/>
        </w:rPr>
      </w:pPr>
      <w:r w:rsidRPr="00F12442">
        <w:rPr>
          <w:color w:val="000000"/>
          <w:sz w:val="20"/>
          <w:szCs w:val="20"/>
        </w:rPr>
        <w:t>C</w:t>
      </w:r>
      <w:r w:rsidR="006A16B3" w:rsidRPr="00F12442">
        <w:rPr>
          <w:color w:val="000000"/>
          <w:sz w:val="20"/>
          <w:szCs w:val="20"/>
        </w:rPr>
        <w:t>onfiguram-se como elementos “internacionalistas”, apontando para os moldes clássicos da cooperação intergovernamental:</w:t>
      </w:r>
      <w:r w:rsidR="00465D91">
        <w:rPr>
          <w:color w:val="000000"/>
          <w:sz w:val="20"/>
          <w:szCs w:val="20"/>
        </w:rPr>
        <w:t xml:space="preserve"> </w:t>
      </w:r>
      <w:r w:rsidR="006A16B3" w:rsidRPr="00F12442">
        <w:rPr>
          <w:color w:val="000000"/>
          <w:sz w:val="20"/>
          <w:szCs w:val="20"/>
        </w:rPr>
        <w:t>1)</w:t>
      </w:r>
      <w:r w:rsidR="00CA2845" w:rsidRPr="00F12442">
        <w:rPr>
          <w:color w:val="000000"/>
          <w:sz w:val="20"/>
          <w:szCs w:val="20"/>
        </w:rPr>
        <w:t xml:space="preserve"> </w:t>
      </w:r>
      <w:r w:rsidR="006A16B3" w:rsidRPr="00F12442">
        <w:rPr>
          <w:color w:val="000000"/>
          <w:sz w:val="20"/>
          <w:szCs w:val="20"/>
        </w:rPr>
        <w:t>A retenção por parte dos Estados</w:t>
      </w:r>
      <w:r w:rsidR="005747EA" w:rsidRPr="00F12442">
        <w:rPr>
          <w:color w:val="000000"/>
          <w:sz w:val="20"/>
          <w:szCs w:val="20"/>
        </w:rPr>
        <w:t>-M</w:t>
      </w:r>
      <w:r w:rsidR="006A16B3" w:rsidRPr="00F12442">
        <w:rPr>
          <w:color w:val="000000"/>
          <w:sz w:val="20"/>
          <w:szCs w:val="20"/>
        </w:rPr>
        <w:t>embros das competências nacionais em todos os domínios em que não se verifique uma atribuição de competências – necessariamente específica e sectorial – às instituições comunitárias: aquela atribuição cinge-se a um número reduzido de matérias da esfera económica, financeira, social e monetária, continuando os Estados</w:t>
      </w:r>
      <w:r w:rsidR="005747EA" w:rsidRPr="00F12442">
        <w:rPr>
          <w:color w:val="000000"/>
          <w:sz w:val="20"/>
          <w:szCs w:val="20"/>
        </w:rPr>
        <w:t>-M</w:t>
      </w:r>
      <w:r w:rsidR="006A16B3" w:rsidRPr="00F12442">
        <w:rPr>
          <w:color w:val="000000"/>
          <w:sz w:val="20"/>
          <w:szCs w:val="20"/>
        </w:rPr>
        <w:t xml:space="preserve">embros a ser </w:t>
      </w:r>
      <w:r w:rsidR="006A16B3" w:rsidRPr="00BA73FD">
        <w:rPr>
          <w:i/>
          <w:iCs/>
          <w:color w:val="000000"/>
          <w:sz w:val="20"/>
          <w:szCs w:val="20"/>
        </w:rPr>
        <w:t>« États à part entière</w:t>
      </w:r>
      <w:r w:rsidR="006A16B3" w:rsidRPr="00F12442">
        <w:rPr>
          <w:color w:val="000000"/>
          <w:sz w:val="20"/>
          <w:szCs w:val="20"/>
        </w:rPr>
        <w:t>»;</w:t>
      </w:r>
      <w:r w:rsidR="00465D91">
        <w:rPr>
          <w:color w:val="000000"/>
          <w:sz w:val="20"/>
          <w:szCs w:val="20"/>
        </w:rPr>
        <w:t xml:space="preserve"> </w:t>
      </w:r>
      <w:r w:rsidR="006A16B3" w:rsidRPr="00F12442">
        <w:rPr>
          <w:color w:val="000000"/>
          <w:sz w:val="20"/>
          <w:szCs w:val="20"/>
        </w:rPr>
        <w:t>2)</w:t>
      </w:r>
      <w:r w:rsidR="00CA2845" w:rsidRPr="00F12442">
        <w:rPr>
          <w:color w:val="000000"/>
          <w:sz w:val="20"/>
          <w:szCs w:val="20"/>
        </w:rPr>
        <w:t xml:space="preserve"> </w:t>
      </w:r>
      <w:r w:rsidR="006A16B3" w:rsidRPr="00F12442">
        <w:rPr>
          <w:color w:val="000000"/>
          <w:sz w:val="20"/>
          <w:szCs w:val="20"/>
        </w:rPr>
        <w:t>A meramente aparente conformidade do quadro institucional com o modelo «pré-federal»: a concentração do poder de decisão no Conselho, onde se afirma o primado do elemento nacional; a limitação das funções da Comissão aos planos da iniciativa e da execução; a falta de poder legislativo do Parlamento; a incapacidade do Tribunal de Justiça de anular actos dos Estados</w:t>
      </w:r>
      <w:r w:rsidR="005747EA" w:rsidRPr="00F12442">
        <w:rPr>
          <w:color w:val="000000"/>
          <w:sz w:val="20"/>
          <w:szCs w:val="20"/>
        </w:rPr>
        <w:t>-M</w:t>
      </w:r>
      <w:r w:rsidR="006A16B3" w:rsidRPr="00F12442">
        <w:rPr>
          <w:color w:val="000000"/>
          <w:sz w:val="20"/>
          <w:szCs w:val="20"/>
        </w:rPr>
        <w:t>embros ou de os forçar ao cumprimento das suas obrigações;</w:t>
      </w:r>
      <w:r w:rsidR="00465D91">
        <w:rPr>
          <w:color w:val="000000"/>
          <w:sz w:val="20"/>
          <w:szCs w:val="20"/>
        </w:rPr>
        <w:t xml:space="preserve"> </w:t>
      </w:r>
      <w:r w:rsidR="006A16B3" w:rsidRPr="00F12442">
        <w:rPr>
          <w:color w:val="000000"/>
          <w:sz w:val="20"/>
          <w:szCs w:val="20"/>
        </w:rPr>
        <w:t>3)</w:t>
      </w:r>
      <w:r w:rsidR="00CA2845" w:rsidRPr="00F12442">
        <w:rPr>
          <w:color w:val="000000"/>
          <w:sz w:val="20"/>
          <w:szCs w:val="20"/>
        </w:rPr>
        <w:t xml:space="preserve"> </w:t>
      </w:r>
      <w:r w:rsidR="006A16B3" w:rsidRPr="00F12442">
        <w:rPr>
          <w:color w:val="000000"/>
          <w:sz w:val="20"/>
          <w:szCs w:val="20"/>
        </w:rPr>
        <w:t>A caracterização dos diplomas constitutivos como tratados internacionais e, não como Constituições, e a inexistência de competência legislativa geral das comunidades;</w:t>
      </w:r>
      <w:r w:rsidR="00465D91">
        <w:rPr>
          <w:color w:val="000000"/>
          <w:sz w:val="20"/>
          <w:szCs w:val="20"/>
        </w:rPr>
        <w:t xml:space="preserve"> </w:t>
      </w:r>
      <w:r w:rsidR="006A16B3" w:rsidRPr="00F12442">
        <w:rPr>
          <w:color w:val="000000"/>
          <w:sz w:val="20"/>
          <w:szCs w:val="20"/>
        </w:rPr>
        <w:t>4)</w:t>
      </w:r>
      <w:r w:rsidR="00CA2845" w:rsidRPr="00F12442">
        <w:rPr>
          <w:color w:val="000000"/>
          <w:sz w:val="20"/>
          <w:szCs w:val="20"/>
        </w:rPr>
        <w:t xml:space="preserve"> </w:t>
      </w:r>
      <w:r w:rsidR="006A16B3" w:rsidRPr="00F12442">
        <w:rPr>
          <w:color w:val="000000"/>
          <w:sz w:val="20"/>
          <w:szCs w:val="20"/>
        </w:rPr>
        <w:t>A diminuta importância do sistema de recursos próprios em relação ao produto global da Comunidade e a sua não integração por verdadeiros tipos tributários criados e geridos pelas instituições comunitárias (os recursos próprios resultando da afectação ao orçamento comunitário de receitas de impostos administrados pelas autoridades nacionais);</w:t>
      </w:r>
      <w:r w:rsidR="00465D91">
        <w:rPr>
          <w:color w:val="000000"/>
          <w:sz w:val="20"/>
          <w:szCs w:val="20"/>
        </w:rPr>
        <w:t xml:space="preserve"> </w:t>
      </w:r>
      <w:r w:rsidR="006A16B3" w:rsidRPr="00F12442">
        <w:rPr>
          <w:color w:val="000000"/>
          <w:sz w:val="20"/>
          <w:szCs w:val="20"/>
        </w:rPr>
        <w:t>5)</w:t>
      </w:r>
      <w:r w:rsidR="00CA2845" w:rsidRPr="00F12442">
        <w:rPr>
          <w:color w:val="000000"/>
          <w:sz w:val="20"/>
          <w:szCs w:val="20"/>
        </w:rPr>
        <w:t xml:space="preserve"> </w:t>
      </w:r>
      <w:r w:rsidR="006A16B3" w:rsidRPr="00F12442">
        <w:rPr>
          <w:color w:val="000000"/>
          <w:sz w:val="20"/>
          <w:szCs w:val="20"/>
        </w:rPr>
        <w:t>A retenção por parte dos Estados</w:t>
      </w:r>
      <w:r w:rsidR="005747EA" w:rsidRPr="00F12442">
        <w:rPr>
          <w:color w:val="000000"/>
          <w:sz w:val="20"/>
          <w:szCs w:val="20"/>
        </w:rPr>
        <w:t>-M</w:t>
      </w:r>
      <w:r w:rsidR="006A16B3" w:rsidRPr="00F12442">
        <w:rPr>
          <w:color w:val="000000"/>
          <w:sz w:val="20"/>
          <w:szCs w:val="20"/>
        </w:rPr>
        <w:t>embros da competência para a negociação de tratados internacionais («</w:t>
      </w:r>
      <w:r w:rsidR="006A16B3" w:rsidRPr="00BA73FD">
        <w:rPr>
          <w:i/>
          <w:iCs/>
          <w:color w:val="000000"/>
          <w:sz w:val="20"/>
          <w:szCs w:val="20"/>
        </w:rPr>
        <w:t>treaty making power</w:t>
      </w:r>
      <w:r w:rsidR="006A16B3" w:rsidRPr="00F12442">
        <w:rPr>
          <w:color w:val="000000"/>
          <w:sz w:val="20"/>
          <w:szCs w:val="20"/>
        </w:rPr>
        <w:t>»), exceptuando o caso de determinados acordos de comércio externo;</w:t>
      </w:r>
      <w:r w:rsidR="00465D91">
        <w:rPr>
          <w:color w:val="000000"/>
          <w:sz w:val="20"/>
          <w:szCs w:val="20"/>
        </w:rPr>
        <w:t xml:space="preserve"> </w:t>
      </w:r>
      <w:r w:rsidR="006A16B3" w:rsidRPr="00F12442">
        <w:rPr>
          <w:color w:val="000000"/>
          <w:sz w:val="20"/>
          <w:szCs w:val="20"/>
        </w:rPr>
        <w:t>6)</w:t>
      </w:r>
      <w:r w:rsidR="00CA2845" w:rsidRPr="00F12442">
        <w:rPr>
          <w:color w:val="000000"/>
          <w:sz w:val="20"/>
          <w:szCs w:val="20"/>
        </w:rPr>
        <w:t xml:space="preserve"> </w:t>
      </w:r>
      <w:r w:rsidR="006A16B3" w:rsidRPr="00F12442">
        <w:rPr>
          <w:color w:val="000000"/>
          <w:sz w:val="20"/>
          <w:szCs w:val="20"/>
        </w:rPr>
        <w:t>A prevalência de elementos de direito internacional no processo de revisão dos Tratados e no processo de adesão de novos Estados</w:t>
      </w:r>
      <w:r w:rsidR="005747EA" w:rsidRPr="00F12442">
        <w:rPr>
          <w:color w:val="000000"/>
          <w:sz w:val="20"/>
          <w:szCs w:val="20"/>
        </w:rPr>
        <w:t>-M</w:t>
      </w:r>
      <w:r w:rsidR="006A16B3" w:rsidRPr="00F12442">
        <w:rPr>
          <w:color w:val="000000"/>
          <w:sz w:val="20"/>
          <w:szCs w:val="20"/>
        </w:rPr>
        <w:t>embros (submissão das emendas e do acordo relativo às condições de admissão à ratificação de todos os Estados contratantes, de harmonia com as disposições constitucionais respectivas);</w:t>
      </w:r>
      <w:r w:rsidR="00465D91">
        <w:rPr>
          <w:color w:val="000000"/>
          <w:sz w:val="20"/>
          <w:szCs w:val="20"/>
        </w:rPr>
        <w:t xml:space="preserve"> </w:t>
      </w:r>
      <w:r w:rsidR="006A16B3" w:rsidRPr="00F12442">
        <w:rPr>
          <w:color w:val="000000"/>
          <w:sz w:val="20"/>
          <w:szCs w:val="20"/>
        </w:rPr>
        <w:t>7)</w:t>
      </w:r>
      <w:r w:rsidR="00CA2845" w:rsidRPr="00F12442">
        <w:rPr>
          <w:color w:val="000000"/>
          <w:sz w:val="20"/>
          <w:szCs w:val="20"/>
        </w:rPr>
        <w:t xml:space="preserve"> </w:t>
      </w:r>
      <w:r w:rsidR="006A16B3" w:rsidRPr="00F12442">
        <w:rPr>
          <w:color w:val="000000"/>
          <w:sz w:val="20"/>
          <w:szCs w:val="20"/>
        </w:rPr>
        <w:t>A consciência de que subsiste o direito dos Estados</w:t>
      </w:r>
      <w:r w:rsidR="005747EA" w:rsidRPr="00F12442">
        <w:rPr>
          <w:color w:val="000000"/>
          <w:sz w:val="20"/>
          <w:szCs w:val="20"/>
        </w:rPr>
        <w:t>-M</w:t>
      </w:r>
      <w:r w:rsidR="006A16B3" w:rsidRPr="00F12442">
        <w:rPr>
          <w:color w:val="000000"/>
          <w:sz w:val="20"/>
          <w:szCs w:val="20"/>
        </w:rPr>
        <w:t>embros de se retirarem da Comunidad</w:t>
      </w:r>
      <w:r w:rsidR="00F12442" w:rsidRPr="00F12442">
        <w:rPr>
          <w:color w:val="000000"/>
          <w:sz w:val="20"/>
          <w:szCs w:val="20"/>
        </w:rPr>
        <w:t xml:space="preserve">e </w:t>
      </w:r>
      <w:r w:rsidR="00CA2845" w:rsidRPr="00F12442">
        <w:rPr>
          <w:rStyle w:val="Refdenotaderodap"/>
          <w:color w:val="000000"/>
          <w:sz w:val="20"/>
          <w:szCs w:val="20"/>
        </w:rPr>
        <w:footnoteReference w:id="6"/>
      </w:r>
      <w:r w:rsidR="006A16B3" w:rsidRPr="00F12442">
        <w:rPr>
          <w:color w:val="000000"/>
          <w:sz w:val="20"/>
          <w:szCs w:val="20"/>
        </w:rPr>
        <w:t>.</w:t>
      </w:r>
    </w:p>
    <w:p w14:paraId="06B357A3" w14:textId="77777777" w:rsidR="00F12442" w:rsidRPr="00CB7FEC" w:rsidRDefault="00F12442" w:rsidP="00CB7FEC">
      <w:pPr>
        <w:spacing w:line="240" w:lineRule="auto"/>
        <w:ind w:right="567"/>
        <w:rPr>
          <w:i/>
          <w:iCs/>
          <w:color w:val="000000"/>
          <w:sz w:val="20"/>
          <w:szCs w:val="20"/>
        </w:rPr>
      </w:pPr>
    </w:p>
    <w:p w14:paraId="0ADE87C4" w14:textId="77777777" w:rsidR="006A16B3" w:rsidRPr="006A16B3" w:rsidRDefault="006A16B3" w:rsidP="006A16B3">
      <w:pPr>
        <w:ind w:right="0"/>
        <w:rPr>
          <w:color w:val="000000"/>
        </w:rPr>
      </w:pPr>
      <w:r w:rsidRPr="006A16B3">
        <w:rPr>
          <w:color w:val="000000"/>
        </w:rPr>
        <w:t>O federalismo moderno tem também raízes filosóficas em pensadores como Johannes Althusius (século XVII) e Montesquieu (século XVIII), cujos trabalhos podem ser considerados como as primeiras bases da teórica do federalismo.</w:t>
      </w:r>
    </w:p>
    <w:p w14:paraId="160B276C" w14:textId="67512E3E" w:rsidR="006A16B3" w:rsidRPr="006A16B3" w:rsidRDefault="006A16B3" w:rsidP="006A16B3">
      <w:pPr>
        <w:ind w:right="0"/>
        <w:rPr>
          <w:color w:val="000000"/>
        </w:rPr>
      </w:pPr>
      <w:r w:rsidRPr="006A16B3">
        <w:rPr>
          <w:color w:val="000000"/>
        </w:rPr>
        <w:t xml:space="preserve">Johannes Althusius, filósofo e teólogo calvinista alemão, considerado um dos pais do federalismo moderno, foi o primeiro a abordar este tema em 1603, no seu Magnum Opus, </w:t>
      </w:r>
      <w:r w:rsidRPr="00BA73FD">
        <w:rPr>
          <w:i/>
          <w:iCs/>
          <w:color w:val="000000"/>
        </w:rPr>
        <w:t>Politica Methodice Digesta, Atque Exemplis Sacris et Profanis Illustrata</w:t>
      </w:r>
      <w:r w:rsidRPr="006A16B3">
        <w:rPr>
          <w:i/>
          <w:iCs/>
          <w:color w:val="000000"/>
        </w:rPr>
        <w:t>,</w:t>
      </w:r>
      <w:r w:rsidRPr="006A16B3">
        <w:rPr>
          <w:color w:val="000000"/>
        </w:rPr>
        <w:t xml:space="preserve"> onde estabeleceu algumas das bases </w:t>
      </w:r>
      <w:r w:rsidR="00CA2845" w:rsidRPr="006A16B3">
        <w:rPr>
          <w:color w:val="000000"/>
        </w:rPr>
        <w:t>actuais</w:t>
      </w:r>
      <w:r w:rsidRPr="006A16B3">
        <w:rPr>
          <w:color w:val="000000"/>
        </w:rPr>
        <w:t xml:space="preserve"> do federalismo, entre as quais:</w:t>
      </w:r>
    </w:p>
    <w:p w14:paraId="44F41D12" w14:textId="2BD5DCF6" w:rsidR="006A16B3" w:rsidRPr="006A16B3" w:rsidRDefault="006A16B3" w:rsidP="006A16B3">
      <w:pPr>
        <w:ind w:right="0"/>
        <w:rPr>
          <w:color w:val="000000"/>
        </w:rPr>
      </w:pPr>
      <w:r w:rsidRPr="006A16B3">
        <w:rPr>
          <w:color w:val="000000"/>
        </w:rPr>
        <w:t>•</w:t>
      </w:r>
      <w:r w:rsidR="00CA2845">
        <w:rPr>
          <w:color w:val="000000"/>
        </w:rPr>
        <w:t xml:space="preserve"> </w:t>
      </w:r>
      <w:r w:rsidRPr="006A16B3">
        <w:rPr>
          <w:color w:val="000000"/>
        </w:rPr>
        <w:t xml:space="preserve">Federalismo como uma relação de cooperação entre diferentes comunidades autónomas, onde o poder não é simplesmente dividido, mas compartilhado de forma dinâmica e comunicativa, que influenciou pensadores como Otto von Gierke no século </w:t>
      </w:r>
      <w:r w:rsidR="0025493C">
        <w:rPr>
          <w:color w:val="000000"/>
        </w:rPr>
        <w:t>XIX</w:t>
      </w:r>
      <w:r w:rsidRPr="006A16B3">
        <w:rPr>
          <w:color w:val="000000"/>
        </w:rPr>
        <w:t xml:space="preserve"> e que serviu como base para a unificação alemã sob os ideias federais.</w:t>
      </w:r>
    </w:p>
    <w:p w14:paraId="640C1646" w14:textId="5FCDF912" w:rsidR="006A16B3" w:rsidRPr="006A16B3" w:rsidRDefault="006A16B3" w:rsidP="006A16B3">
      <w:pPr>
        <w:ind w:right="0"/>
        <w:rPr>
          <w:color w:val="000000"/>
        </w:rPr>
      </w:pPr>
      <w:r w:rsidRPr="006A16B3">
        <w:rPr>
          <w:color w:val="000000"/>
        </w:rPr>
        <w:t>•</w:t>
      </w:r>
      <w:r w:rsidR="00CA2845">
        <w:rPr>
          <w:color w:val="000000"/>
        </w:rPr>
        <w:t xml:space="preserve"> </w:t>
      </w:r>
      <w:r w:rsidRPr="00BA73FD">
        <w:rPr>
          <w:i/>
          <w:iCs/>
          <w:color w:val="000000"/>
        </w:rPr>
        <w:t>Pactum</w:t>
      </w:r>
      <w:r w:rsidRPr="006A16B3">
        <w:rPr>
          <w:color w:val="000000"/>
        </w:rPr>
        <w:t>, como a única base para uma organização política legítima, segundo a qual Althusius desenvolve uma base pactual-federal para as suas ideias. Toda autoridade legítima deriva do consentimento dos membros da comunidade, não de uma imposição centralizada ou divina, sendo por isso a política, como tal, federal por completo, baseada na união e na comunicação, expressas na ideia de que seus membros são simbióticos.</w:t>
      </w:r>
    </w:p>
    <w:p w14:paraId="3EBF7A5C" w14:textId="40194250" w:rsidR="006A16B3" w:rsidRPr="006A16B3" w:rsidRDefault="006A16B3" w:rsidP="006A16B3">
      <w:pPr>
        <w:ind w:right="0"/>
        <w:rPr>
          <w:color w:val="000000"/>
        </w:rPr>
      </w:pPr>
      <w:r w:rsidRPr="006A16B3">
        <w:rPr>
          <w:color w:val="000000"/>
        </w:rPr>
        <w:t>•</w:t>
      </w:r>
      <w:r w:rsidR="00CA2845">
        <w:rPr>
          <w:color w:val="000000"/>
        </w:rPr>
        <w:t xml:space="preserve"> </w:t>
      </w:r>
      <w:r w:rsidRPr="006A16B3">
        <w:rPr>
          <w:i/>
          <w:iCs/>
          <w:color w:val="000000"/>
        </w:rPr>
        <w:t>“</w:t>
      </w:r>
      <w:r w:rsidRPr="00F12442">
        <w:rPr>
          <w:color w:val="000000"/>
        </w:rPr>
        <w:t>Associação Simbiótica</w:t>
      </w:r>
      <w:r w:rsidRPr="006A16B3">
        <w:rPr>
          <w:i/>
          <w:iCs/>
          <w:color w:val="000000"/>
        </w:rPr>
        <w:t>”</w:t>
      </w:r>
      <w:r w:rsidRPr="006A16B3">
        <w:rPr>
          <w:color w:val="000000"/>
        </w:rPr>
        <w:t xml:space="preserve"> (</w:t>
      </w:r>
      <w:r w:rsidRPr="00BA73FD">
        <w:rPr>
          <w:i/>
          <w:iCs/>
          <w:color w:val="000000"/>
        </w:rPr>
        <w:t>consociatio symbiotica</w:t>
      </w:r>
      <w:r w:rsidRPr="006A16B3">
        <w:rPr>
          <w:color w:val="000000"/>
        </w:rPr>
        <w:t>), enquanto sociedade em que os indivíduos e grupos unem-se voluntariamente para prosseguir interesses comuns</w:t>
      </w:r>
      <w:r w:rsidR="00F12442">
        <w:rPr>
          <w:rStyle w:val="Refdenotaderodap"/>
          <w:color w:val="000000"/>
        </w:rPr>
        <w:footnoteReference w:id="7"/>
      </w:r>
      <w:r w:rsidRPr="006A16B3">
        <w:rPr>
          <w:color w:val="000000"/>
        </w:rPr>
        <w:t>.</w:t>
      </w:r>
    </w:p>
    <w:p w14:paraId="52C5E9B9" w14:textId="77777777" w:rsidR="006A16B3" w:rsidRDefault="006A16B3" w:rsidP="006A16B3">
      <w:pPr>
        <w:ind w:right="0"/>
        <w:rPr>
          <w:color w:val="000000"/>
        </w:rPr>
      </w:pPr>
      <w:r w:rsidRPr="006A16B3">
        <w:rPr>
          <w:color w:val="000000"/>
        </w:rPr>
        <w:t xml:space="preserve">Ao lado de Montesquieu, político, filósofo e escritor francês, famoso pela sua teoria da separação dos poderes e pela sua obra </w:t>
      </w:r>
      <w:r w:rsidRPr="006A16B3">
        <w:rPr>
          <w:i/>
          <w:iCs/>
          <w:color w:val="000000"/>
        </w:rPr>
        <w:t>“</w:t>
      </w:r>
      <w:r w:rsidRPr="00F12442">
        <w:rPr>
          <w:color w:val="000000"/>
        </w:rPr>
        <w:t>O Espírito das Leis</w:t>
      </w:r>
      <w:r w:rsidRPr="006A16B3">
        <w:rPr>
          <w:i/>
          <w:iCs/>
          <w:color w:val="000000"/>
        </w:rPr>
        <w:t>”,</w:t>
      </w:r>
      <w:r w:rsidRPr="006A16B3">
        <w:rPr>
          <w:color w:val="000000"/>
        </w:rPr>
        <w:t xml:space="preserve"> estes acabaram por se tornarem os principais precursores do pensamento federalista e os seus principais difusores.</w:t>
      </w:r>
    </w:p>
    <w:p w14:paraId="2AA433CF" w14:textId="05FAFED7" w:rsidR="007036D8" w:rsidRDefault="007036D8" w:rsidP="006A16B3">
      <w:pPr>
        <w:ind w:right="0"/>
        <w:rPr>
          <w:color w:val="000000"/>
        </w:rPr>
      </w:pPr>
      <w:r>
        <w:rPr>
          <w:color w:val="000000"/>
        </w:rPr>
        <w:t>A forma de governo federal mais conhecida acaba por ser a dos EUA, o que é irónico se considerarmos a oposição que teve à data da sua implementação.</w:t>
      </w:r>
    </w:p>
    <w:p w14:paraId="275B2DE3" w14:textId="5C6F9BDC" w:rsidR="007036D8" w:rsidRDefault="003C52CA" w:rsidP="006A16B3">
      <w:pPr>
        <w:ind w:right="0"/>
        <w:rPr>
          <w:color w:val="000000"/>
        </w:rPr>
      </w:pPr>
      <w:r>
        <w:rPr>
          <w:color w:val="000000"/>
        </w:rPr>
        <w:t>Os antifederalistas americanos entendiam ser eles próprios os verdadeiros republicanos, que se conheciam entre si, tinham familiaridade com o governo e alguma experiência nas suas instituições e por isso, detentores de qualidades capazes de fazer com que os cidadãos sentissem um amor genuíno pelo seu país.</w:t>
      </w:r>
    </w:p>
    <w:p w14:paraId="6AE39CC1" w14:textId="10213BF5" w:rsidR="003C52CA" w:rsidRDefault="003C52CA" w:rsidP="006A16B3">
      <w:pPr>
        <w:ind w:right="0"/>
        <w:rPr>
          <w:color w:val="000000"/>
        </w:rPr>
      </w:pPr>
      <w:r>
        <w:rPr>
          <w:color w:val="000000"/>
        </w:rPr>
        <w:t>Este sentimento republicano, típico das repúblicas de pequena dimensão encontrava-se em oposição à nova Constituição, que entendiam afastar o povo do governo e abrir caminho à tirania.</w:t>
      </w:r>
    </w:p>
    <w:p w14:paraId="7EBF1FCA" w14:textId="79FB3B00" w:rsidR="003C52CA" w:rsidRDefault="003C52CA" w:rsidP="006A16B3">
      <w:pPr>
        <w:ind w:right="0"/>
        <w:rPr>
          <w:color w:val="000000"/>
        </w:rPr>
      </w:pPr>
      <w:r>
        <w:rPr>
          <w:color w:val="000000"/>
        </w:rPr>
        <w:t>A visão tradicional de governo republicano, sustentada por estes antifederalistas, encontrava-se nas primeiras Constituições estaduais, que limitavam o poder executivo em favor do legislativo, tido como o órgão que verdadeiramente representava o povo.</w:t>
      </w:r>
    </w:p>
    <w:p w14:paraId="1F313729" w14:textId="3B9B311A" w:rsidR="003C52CA" w:rsidRDefault="003C52CA" w:rsidP="006A16B3">
      <w:pPr>
        <w:ind w:right="0"/>
        <w:rPr>
          <w:color w:val="000000"/>
        </w:rPr>
      </w:pPr>
      <w:r>
        <w:rPr>
          <w:color w:val="000000"/>
        </w:rPr>
        <w:t>O federalismo que resultou da Convenção de Filadélfia de 1787, submetido a rectificação popular, produziu uma nova forma de republicanismo, que favorecia uma república de grandes dimensões.</w:t>
      </w:r>
    </w:p>
    <w:p w14:paraId="63E95FC5" w14:textId="59F290AF" w:rsidR="003C52CA" w:rsidRDefault="003C52CA" w:rsidP="006A16B3">
      <w:pPr>
        <w:ind w:right="0"/>
        <w:rPr>
          <w:color w:val="000000"/>
        </w:rPr>
      </w:pPr>
      <w:r>
        <w:rPr>
          <w:color w:val="000000"/>
        </w:rPr>
        <w:t>A ideia dos antifederalistas é que uma república de pequenas dimensão preservava a integridade dos Estados, ao contrário da de grandes dimensões, que acabaria por destruí-los, abrindo caminho para o regresso da monarquia, despotismo e tirania.</w:t>
      </w:r>
    </w:p>
    <w:p w14:paraId="433C29D2" w14:textId="7682227F" w:rsidR="003C52CA" w:rsidRDefault="003C52CA" w:rsidP="006A16B3">
      <w:pPr>
        <w:ind w:right="0"/>
        <w:rPr>
          <w:color w:val="000000"/>
        </w:rPr>
      </w:pPr>
      <w:r>
        <w:rPr>
          <w:color w:val="000000"/>
        </w:rPr>
        <w:t xml:space="preserve">Entendiam assim, que os federalistas não passavam de </w:t>
      </w:r>
      <w:r w:rsidRPr="00AB1166">
        <w:rPr>
          <w:i/>
          <w:iCs/>
          <w:color w:val="000000"/>
        </w:rPr>
        <w:t>“</w:t>
      </w:r>
      <w:r w:rsidRPr="00BA73FD">
        <w:rPr>
          <w:i/>
          <w:iCs/>
          <w:color w:val="000000"/>
        </w:rPr>
        <w:t>consolidationists</w:t>
      </w:r>
      <w:r w:rsidRPr="00AB1166">
        <w:rPr>
          <w:i/>
          <w:iCs/>
          <w:color w:val="000000"/>
        </w:rPr>
        <w:t>”</w:t>
      </w:r>
      <w:r w:rsidR="00AB1166">
        <w:rPr>
          <w:color w:val="000000"/>
        </w:rPr>
        <w:t>, que pretendiam deslocar o poder dos treze Estados para um único governo central nacional</w:t>
      </w:r>
      <w:r w:rsidR="00AB1166">
        <w:rPr>
          <w:rStyle w:val="Refdenotaderodap"/>
          <w:color w:val="000000"/>
        </w:rPr>
        <w:footnoteReference w:id="8"/>
      </w:r>
      <w:r w:rsidR="00AB1166">
        <w:rPr>
          <w:color w:val="000000"/>
        </w:rPr>
        <w:t>.</w:t>
      </w:r>
    </w:p>
    <w:p w14:paraId="7F6BB8C5" w14:textId="4080F144" w:rsidR="00F15DFF" w:rsidRPr="006A16B3" w:rsidRDefault="00F15DFF" w:rsidP="006A16B3">
      <w:pPr>
        <w:ind w:right="0"/>
        <w:rPr>
          <w:color w:val="000000"/>
        </w:rPr>
      </w:pPr>
      <w:r>
        <w:rPr>
          <w:color w:val="000000"/>
        </w:rPr>
        <w:t xml:space="preserve">Esta pequena consideração, serve somente para salientar que apesar da normalização desta forma de governo nos tempos actuais, durante a sua implementação no sistema americano, trouxe consigo oposição e receios de uma extensão tirânica do governo central às competências e liberdades dos Estados federalizado. </w:t>
      </w:r>
    </w:p>
    <w:p w14:paraId="0DA430EE" w14:textId="1B40E7F7" w:rsidR="006A16B3" w:rsidRDefault="006A16B3" w:rsidP="006A16B3">
      <w:pPr>
        <w:ind w:right="0"/>
        <w:rPr>
          <w:color w:val="000000"/>
        </w:rPr>
      </w:pPr>
      <w:r w:rsidRPr="006A16B3">
        <w:rPr>
          <w:color w:val="000000"/>
        </w:rPr>
        <w:t xml:space="preserve">Assumindo por fim, que conforme os autores supra, a definição mais correcta de </w:t>
      </w:r>
      <w:r>
        <w:rPr>
          <w:color w:val="000000"/>
        </w:rPr>
        <w:t>f</w:t>
      </w:r>
      <w:r w:rsidRPr="006A16B3">
        <w:rPr>
          <w:color w:val="000000"/>
        </w:rPr>
        <w:t xml:space="preserve">ederalismo seja a de uma forma de organização política onde diversos Estados se unem para formar um Estado maior, com um governo central forte e uma Constituição que distribui poderes entre o governo central e os </w:t>
      </w:r>
      <w:r w:rsidR="002C5907" w:rsidRPr="006A16B3">
        <w:rPr>
          <w:color w:val="000000"/>
        </w:rPr>
        <w:t>Estados-membros</w:t>
      </w:r>
      <w:r w:rsidRPr="006A16B3">
        <w:rPr>
          <w:color w:val="000000"/>
        </w:rPr>
        <w:t xml:space="preserve">, resta então definir </w:t>
      </w:r>
      <w:r w:rsidR="002C5907">
        <w:rPr>
          <w:color w:val="000000"/>
        </w:rPr>
        <w:t>Transnacionalidade</w:t>
      </w:r>
      <w:r w:rsidR="0094314A">
        <w:rPr>
          <w:color w:val="000000"/>
        </w:rPr>
        <w:t>,</w:t>
      </w:r>
      <w:r w:rsidR="002C5907" w:rsidRPr="006A16B3">
        <w:rPr>
          <w:color w:val="000000"/>
        </w:rPr>
        <w:t xml:space="preserve"> </w:t>
      </w:r>
      <w:r w:rsidRPr="006A16B3">
        <w:rPr>
          <w:color w:val="000000"/>
        </w:rPr>
        <w:t>Confederação</w:t>
      </w:r>
      <w:r w:rsidR="002C5907">
        <w:rPr>
          <w:color w:val="000000"/>
        </w:rPr>
        <w:t xml:space="preserve"> e </w:t>
      </w:r>
      <w:r w:rsidRPr="006A16B3">
        <w:rPr>
          <w:color w:val="000000"/>
        </w:rPr>
        <w:t>Supranacionalidad</w:t>
      </w:r>
      <w:r w:rsidR="002C5907">
        <w:rPr>
          <w:color w:val="000000"/>
        </w:rPr>
        <w:t>e</w:t>
      </w:r>
      <w:r w:rsidRPr="006A16B3">
        <w:rPr>
          <w:color w:val="000000"/>
        </w:rPr>
        <w:t>.</w:t>
      </w:r>
    </w:p>
    <w:p w14:paraId="666C2B7C" w14:textId="7834B0CE" w:rsidR="002C5907" w:rsidRDefault="00481572" w:rsidP="00F63D4F">
      <w:pPr>
        <w:ind w:right="0"/>
        <w:rPr>
          <w:color w:val="000000"/>
        </w:rPr>
      </w:pPr>
      <w:r>
        <w:rPr>
          <w:color w:val="000000"/>
        </w:rPr>
        <w:t>Assim,</w:t>
      </w:r>
      <w:r w:rsidR="00F63D4F">
        <w:rPr>
          <w:color w:val="000000"/>
        </w:rPr>
        <w:t xml:space="preserve"> </w:t>
      </w:r>
      <w:r w:rsidR="00B00FFB">
        <w:rPr>
          <w:color w:val="000000"/>
        </w:rPr>
        <w:t xml:space="preserve">a transnacionalidade </w:t>
      </w:r>
      <w:r w:rsidR="00F63D4F">
        <w:rPr>
          <w:color w:val="000000"/>
        </w:rPr>
        <w:t xml:space="preserve">caracteriza-se por um conjunto de </w:t>
      </w:r>
      <w:r w:rsidR="00F63D4F" w:rsidRPr="002C5907">
        <w:rPr>
          <w:color w:val="000000"/>
        </w:rPr>
        <w:t>relações ou normas jurídicas que ultrapassam fronteiras nacionais</w:t>
      </w:r>
      <w:r w:rsidR="00F63D4F">
        <w:rPr>
          <w:color w:val="000000"/>
        </w:rPr>
        <w:t>,</w:t>
      </w:r>
      <w:r w:rsidR="00F63D4F" w:rsidRPr="00F63D4F">
        <w:t xml:space="preserve"> </w:t>
      </w:r>
      <w:r w:rsidR="00F63D4F" w:rsidRPr="00F63D4F">
        <w:rPr>
          <w:color w:val="000000"/>
        </w:rPr>
        <w:t>sem envolver necessariamente uma jurisdição internacional formal ou extraterritorialidade</w:t>
      </w:r>
      <w:r w:rsidR="00F63D4F">
        <w:rPr>
          <w:color w:val="000000"/>
        </w:rPr>
        <w:t xml:space="preserve">, conectando de forma directa um conjunto de sistemas jurídicos distintos. </w:t>
      </w:r>
    </w:p>
    <w:p w14:paraId="7CF0EF80" w14:textId="4220F138" w:rsidR="004B23B3" w:rsidRDefault="00F63D4F" w:rsidP="00F63D4F">
      <w:pPr>
        <w:ind w:right="0"/>
        <w:rPr>
          <w:color w:val="000000"/>
        </w:rPr>
      </w:pPr>
      <w:r>
        <w:rPr>
          <w:color w:val="000000"/>
        </w:rPr>
        <w:t xml:space="preserve">No âmbito da União esta concepção é importante, visto que pode ser alegado que face às novas circunstâncias da politica mundial, </w:t>
      </w:r>
      <w:r w:rsidR="00A92C89">
        <w:rPr>
          <w:color w:val="000000"/>
        </w:rPr>
        <w:t>existe uma</w:t>
      </w:r>
      <w:r>
        <w:rPr>
          <w:color w:val="000000"/>
        </w:rPr>
        <w:t xml:space="preserve"> dificuldade do Direito internacional</w:t>
      </w:r>
      <w:r>
        <w:t xml:space="preserve"> conseguir</w:t>
      </w:r>
      <w:r w:rsidRPr="00F63D4F">
        <w:rPr>
          <w:color w:val="000000"/>
        </w:rPr>
        <w:t xml:space="preserve"> </w:t>
      </w:r>
      <w:r>
        <w:rPr>
          <w:color w:val="000000"/>
        </w:rPr>
        <w:t xml:space="preserve">criar </w:t>
      </w:r>
      <w:r w:rsidRPr="00F63D4F">
        <w:rPr>
          <w:color w:val="000000"/>
        </w:rPr>
        <w:t>mecanismos eficazes de governa</w:t>
      </w:r>
      <w:r>
        <w:rPr>
          <w:color w:val="000000"/>
        </w:rPr>
        <w:t>ção</w:t>
      </w:r>
      <w:r w:rsidRPr="00F63D4F">
        <w:rPr>
          <w:color w:val="000000"/>
        </w:rPr>
        <w:t>, regulação, intervenção e</w:t>
      </w:r>
      <w:r>
        <w:rPr>
          <w:color w:val="000000"/>
        </w:rPr>
        <w:t xml:space="preserve"> </w:t>
      </w:r>
      <w:r w:rsidRPr="00F63D4F">
        <w:rPr>
          <w:color w:val="000000"/>
        </w:rPr>
        <w:t xml:space="preserve">coerção para as </w:t>
      </w:r>
      <w:r>
        <w:rPr>
          <w:color w:val="000000"/>
        </w:rPr>
        <w:t>necessidades</w:t>
      </w:r>
      <w:r w:rsidRPr="00F63D4F">
        <w:rPr>
          <w:color w:val="000000"/>
        </w:rPr>
        <w:t xml:space="preserve"> transnacionais</w:t>
      </w:r>
      <w:r>
        <w:rPr>
          <w:color w:val="000000"/>
        </w:rPr>
        <w:t xml:space="preserve"> e do Direito </w:t>
      </w:r>
      <w:r w:rsidR="00311CD0">
        <w:rPr>
          <w:color w:val="000000"/>
        </w:rPr>
        <w:t>da União</w:t>
      </w:r>
      <w:r>
        <w:rPr>
          <w:color w:val="000000"/>
        </w:rPr>
        <w:t xml:space="preserve"> </w:t>
      </w:r>
      <w:r w:rsidRPr="00F63D4F">
        <w:rPr>
          <w:color w:val="000000"/>
        </w:rPr>
        <w:t>não  apresenta</w:t>
      </w:r>
      <w:r>
        <w:rPr>
          <w:color w:val="000000"/>
        </w:rPr>
        <w:t>r</w:t>
      </w:r>
      <w:r w:rsidRPr="00F63D4F">
        <w:rPr>
          <w:color w:val="000000"/>
        </w:rPr>
        <w:t xml:space="preserve">  bases  teóricas  suficientes para a caracterização de um ou mais espaços</w:t>
      </w:r>
      <w:r>
        <w:rPr>
          <w:color w:val="000000"/>
        </w:rPr>
        <w:t xml:space="preserve"> </w:t>
      </w:r>
      <w:r w:rsidRPr="00F63D4F">
        <w:rPr>
          <w:color w:val="000000"/>
        </w:rPr>
        <w:t>públicos transnacionais</w:t>
      </w:r>
      <w:r>
        <w:rPr>
          <w:color w:val="000000"/>
        </w:rPr>
        <w:t>, a criação de um Estado e Direito transnacional apresenta-se como necessário</w:t>
      </w:r>
      <w:r w:rsidR="008556DC">
        <w:rPr>
          <w:rStyle w:val="Refdenotaderodap"/>
          <w:color w:val="000000"/>
        </w:rPr>
        <w:footnoteReference w:id="9"/>
      </w:r>
      <w:r>
        <w:rPr>
          <w:color w:val="000000"/>
        </w:rPr>
        <w:t>.</w:t>
      </w:r>
    </w:p>
    <w:p w14:paraId="6127DA5A" w14:textId="4A0E231C" w:rsidR="00B767F5" w:rsidRDefault="00B767F5" w:rsidP="00B767F5">
      <w:pPr>
        <w:ind w:right="0"/>
        <w:rPr>
          <w:color w:val="000000"/>
        </w:rPr>
      </w:pPr>
      <w:r>
        <w:rPr>
          <w:color w:val="000000"/>
        </w:rPr>
        <w:t>A lei transnacional</w:t>
      </w:r>
      <w:r w:rsidRPr="00B767F5">
        <w:t xml:space="preserve"> </w:t>
      </w:r>
      <w:r w:rsidRPr="00B767F5">
        <w:rPr>
          <w:color w:val="000000"/>
        </w:rPr>
        <w:t>iniciou</w:t>
      </w:r>
      <w:r>
        <w:rPr>
          <w:color w:val="000000"/>
        </w:rPr>
        <w:t xml:space="preserve"> ainda</w:t>
      </w:r>
      <w:r w:rsidRPr="00B767F5">
        <w:rPr>
          <w:color w:val="000000"/>
        </w:rPr>
        <w:t xml:space="preserve"> um “processo</w:t>
      </w:r>
      <w:r>
        <w:rPr>
          <w:color w:val="000000"/>
        </w:rPr>
        <w:t xml:space="preserve"> </w:t>
      </w:r>
      <w:r w:rsidRPr="00B767F5">
        <w:rPr>
          <w:color w:val="000000"/>
        </w:rPr>
        <w:t>de diferenciação estrutural” através do surgimento do direito constitucional,</w:t>
      </w:r>
      <w:r>
        <w:rPr>
          <w:color w:val="000000"/>
        </w:rPr>
        <w:t xml:space="preserve"> </w:t>
      </w:r>
      <w:r w:rsidRPr="00B767F5">
        <w:rPr>
          <w:color w:val="000000"/>
        </w:rPr>
        <w:t>administrativo, penal e privado transnacional</w:t>
      </w:r>
    </w:p>
    <w:p w14:paraId="2D32F684" w14:textId="352217EE" w:rsidR="00B767F5" w:rsidRDefault="00B767F5" w:rsidP="00B767F5">
      <w:pPr>
        <w:ind w:right="0"/>
        <w:rPr>
          <w:color w:val="000000"/>
        </w:rPr>
      </w:pPr>
      <w:r>
        <w:rPr>
          <w:color w:val="000000"/>
        </w:rPr>
        <w:t xml:space="preserve">O próprio direito constitucional transnacional é nada mais do que uma ferramenta para acomodar a diversidade e a multiplicidade, mediante </w:t>
      </w:r>
      <w:r w:rsidRPr="00B767F5">
        <w:rPr>
          <w:color w:val="000000"/>
        </w:rPr>
        <w:t>a convergência internacional de</w:t>
      </w:r>
      <w:r>
        <w:rPr>
          <w:color w:val="000000"/>
        </w:rPr>
        <w:t xml:space="preserve"> </w:t>
      </w:r>
      <w:r w:rsidRPr="00B767F5">
        <w:rPr>
          <w:color w:val="000000"/>
        </w:rPr>
        <w:t>normas constitucionais de direitos humanos e democracia constitucional</w:t>
      </w:r>
      <w:r>
        <w:rPr>
          <w:color w:val="000000"/>
        </w:rPr>
        <w:t>, que resulta num conjunto de valores constitucionais transnacionais, que no caso da UE, são partilhados por todos os seus Estados-Membros, criando um modelo constitucional comum dentro da União</w:t>
      </w:r>
      <w:r>
        <w:rPr>
          <w:rStyle w:val="Refdenotaderodap"/>
          <w:color w:val="000000"/>
        </w:rPr>
        <w:footnoteReference w:id="10"/>
      </w:r>
      <w:r>
        <w:rPr>
          <w:color w:val="000000"/>
        </w:rPr>
        <w:t>.</w:t>
      </w:r>
    </w:p>
    <w:p w14:paraId="74D79D0D" w14:textId="77777777" w:rsidR="00B767F5" w:rsidRDefault="00B767F5" w:rsidP="00B767F5">
      <w:pPr>
        <w:ind w:right="0"/>
        <w:rPr>
          <w:color w:val="000000"/>
        </w:rPr>
      </w:pPr>
    </w:p>
    <w:p w14:paraId="784D31F8" w14:textId="77777777" w:rsidR="00F12442" w:rsidRDefault="008134D8" w:rsidP="008134D8">
      <w:pPr>
        <w:ind w:right="0"/>
        <w:rPr>
          <w:color w:val="000000"/>
        </w:rPr>
      </w:pPr>
      <w:r>
        <w:rPr>
          <w:color w:val="000000"/>
        </w:rPr>
        <w:t>A confederação entende-se como uma</w:t>
      </w:r>
      <w:r w:rsidR="00F12442">
        <w:rPr>
          <w:color w:val="000000"/>
        </w:rPr>
        <w:t xml:space="preserve">: </w:t>
      </w:r>
    </w:p>
    <w:p w14:paraId="27416BA3" w14:textId="77777777" w:rsidR="00F12442" w:rsidRDefault="00F12442" w:rsidP="008134D8">
      <w:pPr>
        <w:ind w:right="0"/>
        <w:rPr>
          <w:color w:val="000000"/>
        </w:rPr>
      </w:pPr>
    </w:p>
    <w:p w14:paraId="6EF5E251" w14:textId="1243F45D" w:rsidR="006A16B3" w:rsidRDefault="00F12442" w:rsidP="00F12442">
      <w:pPr>
        <w:spacing w:line="240" w:lineRule="auto"/>
        <w:ind w:left="567" w:right="0"/>
        <w:rPr>
          <w:color w:val="000000"/>
          <w:sz w:val="20"/>
          <w:szCs w:val="20"/>
        </w:rPr>
      </w:pPr>
      <w:r w:rsidRPr="00F12442">
        <w:rPr>
          <w:color w:val="000000"/>
          <w:sz w:val="20"/>
          <w:szCs w:val="20"/>
        </w:rPr>
        <w:t>A</w:t>
      </w:r>
      <w:r w:rsidR="008134D8" w:rsidRPr="00F12442">
        <w:rPr>
          <w:color w:val="000000"/>
          <w:sz w:val="20"/>
          <w:szCs w:val="20"/>
        </w:rPr>
        <w:t xml:space="preserve">ssociação de Estados soberanos, instituída por tratado (o </w:t>
      </w:r>
      <w:r w:rsidR="008134D8" w:rsidRPr="00BA73FD">
        <w:rPr>
          <w:i/>
          <w:iCs/>
          <w:color w:val="000000"/>
          <w:sz w:val="20"/>
          <w:szCs w:val="20"/>
        </w:rPr>
        <w:t>pactum confoederationis</w:t>
      </w:r>
      <w:r w:rsidR="008134D8" w:rsidRPr="00F12442">
        <w:rPr>
          <w:color w:val="000000"/>
          <w:sz w:val="20"/>
          <w:szCs w:val="20"/>
        </w:rPr>
        <w:t>), que visa a prossecução de determinadas atribuições, em geral, em matérias de defesa nacional e relações externas.</w:t>
      </w:r>
      <w:r w:rsidRPr="00F12442">
        <w:rPr>
          <w:color w:val="000000"/>
          <w:sz w:val="20"/>
          <w:szCs w:val="20"/>
        </w:rPr>
        <w:t xml:space="preserve"> </w:t>
      </w:r>
      <w:r w:rsidR="008134D8" w:rsidRPr="00F12442">
        <w:rPr>
          <w:color w:val="000000"/>
          <w:sz w:val="20"/>
          <w:szCs w:val="20"/>
        </w:rPr>
        <w:t>O pacto confederativo estabelece uma estrutura orgânica própria, mas não estabelece uma relação de subordinação quanto aos membros da confederação. Os Estados que a integram conservam a sua personalidade jurídica internacional, mas a sua capacidade jus-internacional é limitada em função dos poderes que atribuíram à entidade confederativa</w:t>
      </w:r>
      <w:r>
        <w:rPr>
          <w:color w:val="000000"/>
          <w:sz w:val="20"/>
          <w:szCs w:val="20"/>
        </w:rPr>
        <w:t xml:space="preserve"> </w:t>
      </w:r>
      <w:r w:rsidR="008134D8" w:rsidRPr="00F12442">
        <w:rPr>
          <w:rStyle w:val="Refdenotaderodap"/>
          <w:color w:val="000000"/>
          <w:sz w:val="20"/>
          <w:szCs w:val="20"/>
        </w:rPr>
        <w:footnoteReference w:id="11"/>
      </w:r>
      <w:r w:rsidR="008134D8" w:rsidRPr="00F12442">
        <w:rPr>
          <w:color w:val="000000"/>
          <w:sz w:val="20"/>
          <w:szCs w:val="20"/>
        </w:rPr>
        <w:t>.</w:t>
      </w:r>
    </w:p>
    <w:p w14:paraId="32F47A50" w14:textId="77777777" w:rsidR="00F12442" w:rsidRPr="00F12442" w:rsidRDefault="00F12442" w:rsidP="00F12442">
      <w:pPr>
        <w:spacing w:line="240" w:lineRule="auto"/>
        <w:ind w:left="567" w:right="0"/>
        <w:rPr>
          <w:color w:val="000000"/>
          <w:sz w:val="20"/>
          <w:szCs w:val="20"/>
        </w:rPr>
      </w:pPr>
    </w:p>
    <w:p w14:paraId="69F81EAE" w14:textId="77777777" w:rsidR="006A16B3" w:rsidRPr="006A16B3" w:rsidRDefault="006A16B3" w:rsidP="006A16B3">
      <w:pPr>
        <w:ind w:right="0"/>
        <w:rPr>
          <w:color w:val="000000"/>
        </w:rPr>
      </w:pPr>
      <w:r w:rsidRPr="006A16B3">
        <w:rPr>
          <w:color w:val="000000"/>
        </w:rPr>
        <w:t>Diferencia-se assim da Federação, pelo elevado nível de autonomia que os Estados têm em relação ao governo central e pela possibilidade de seceder da união.</w:t>
      </w:r>
    </w:p>
    <w:p w14:paraId="6EBDF0B8" w14:textId="7B22D55D" w:rsidR="006A16B3" w:rsidRPr="006A16B3" w:rsidRDefault="006A16B3" w:rsidP="006A16B3">
      <w:pPr>
        <w:ind w:right="0"/>
        <w:rPr>
          <w:color w:val="000000"/>
        </w:rPr>
      </w:pPr>
      <w:r w:rsidRPr="006A16B3">
        <w:rPr>
          <w:color w:val="000000"/>
        </w:rPr>
        <w:t>Um exemplo claro seria a Confederação Suíça até 1848, quando adoptou a sua Constituição Federal, marcando a transição assim de uma leve união de cantões para uma nação unificada com um governo central e um parlamento bicameral, bem como a União Europeia na sua forma inicial.</w:t>
      </w:r>
    </w:p>
    <w:p w14:paraId="0E922020" w14:textId="79E70B23" w:rsidR="00F12442" w:rsidRDefault="006A16B3" w:rsidP="00F12442">
      <w:pPr>
        <w:ind w:right="0"/>
        <w:rPr>
          <w:color w:val="000000"/>
        </w:rPr>
      </w:pPr>
      <w:r w:rsidRPr="006A16B3">
        <w:rPr>
          <w:color w:val="000000"/>
        </w:rPr>
        <w:t>Já a supranacionalidade</w:t>
      </w:r>
      <w:r w:rsidR="00F12442">
        <w:rPr>
          <w:color w:val="000000"/>
        </w:rPr>
        <w:t>, define-se como:</w:t>
      </w:r>
    </w:p>
    <w:p w14:paraId="3D056A15" w14:textId="77777777" w:rsidR="00F12442" w:rsidRDefault="00F12442" w:rsidP="00F12442">
      <w:pPr>
        <w:ind w:right="0"/>
        <w:rPr>
          <w:color w:val="000000"/>
        </w:rPr>
      </w:pPr>
    </w:p>
    <w:p w14:paraId="07C8B82F" w14:textId="4783F3E9" w:rsidR="006A16B3" w:rsidRPr="00F12442" w:rsidRDefault="00F12442" w:rsidP="00F12442">
      <w:pPr>
        <w:spacing w:line="240" w:lineRule="auto"/>
        <w:ind w:left="567" w:right="0"/>
        <w:rPr>
          <w:i/>
          <w:iCs/>
          <w:color w:val="000000"/>
          <w:sz w:val="20"/>
          <w:szCs w:val="20"/>
        </w:rPr>
      </w:pPr>
      <w:r>
        <w:rPr>
          <w:color w:val="000000"/>
          <w:sz w:val="20"/>
          <w:szCs w:val="20"/>
        </w:rPr>
        <w:t>O</w:t>
      </w:r>
      <w:r w:rsidRPr="00F12442">
        <w:rPr>
          <w:color w:val="000000"/>
          <w:sz w:val="20"/>
          <w:szCs w:val="20"/>
        </w:rPr>
        <w:t xml:space="preserve"> poder que se situa acima dos Estados mediante a delegação de competências constitucionais aos órgãos comunitários. O seu poder deverá ser exercido segundo os interesses da própria comunidade, pois a delegação de poderes pressupõe a adoção de procedimentos em comum para que todos os Estados-membros usufruam dos direitos comunitários. Os Estados-membros estão subordinados hierarquicamente aos organismos comunitários, cujo conceito se traduz numa das principais características do direito comunitário: subordinação dos Estados aos referidos órgãos </w:t>
      </w:r>
      <w:r w:rsidR="00D9566D" w:rsidRPr="00F12442">
        <w:rPr>
          <w:rStyle w:val="Refdenotaderodap"/>
          <w:i/>
          <w:iCs/>
          <w:color w:val="000000"/>
          <w:sz w:val="20"/>
          <w:szCs w:val="20"/>
        </w:rPr>
        <w:footnoteReference w:id="12"/>
      </w:r>
      <w:r w:rsidR="006A16B3" w:rsidRPr="00F12442">
        <w:rPr>
          <w:i/>
          <w:iCs/>
          <w:color w:val="000000"/>
          <w:sz w:val="20"/>
          <w:szCs w:val="20"/>
        </w:rPr>
        <w:t xml:space="preserve">. </w:t>
      </w:r>
    </w:p>
    <w:p w14:paraId="4C620040" w14:textId="77777777" w:rsidR="00F12442" w:rsidRPr="00F12442" w:rsidRDefault="00F12442" w:rsidP="00F12442">
      <w:pPr>
        <w:ind w:right="0"/>
        <w:rPr>
          <w:color w:val="000000"/>
        </w:rPr>
      </w:pPr>
    </w:p>
    <w:p w14:paraId="3A4EA7EF" w14:textId="304BE298" w:rsidR="006A16B3" w:rsidRDefault="006A16B3" w:rsidP="006A16B3">
      <w:pPr>
        <w:ind w:right="0"/>
        <w:rPr>
          <w:color w:val="000000"/>
        </w:rPr>
      </w:pPr>
      <w:r w:rsidRPr="006A16B3">
        <w:rPr>
          <w:color w:val="000000"/>
        </w:rPr>
        <w:t>Ou seja, é um sistema em que entidades ou instituições políticas são criadas acima dos Estados nacionais, com poder de decisão em áreas específicas e os Estados</w:t>
      </w:r>
      <w:r w:rsidR="005747EA">
        <w:rPr>
          <w:color w:val="000000"/>
        </w:rPr>
        <w:t>-M</w:t>
      </w:r>
      <w:r w:rsidRPr="006A16B3">
        <w:rPr>
          <w:color w:val="000000"/>
        </w:rPr>
        <w:t>embros não renunciam necessariamente à sua soberania, mas compartilham parte dela com as instituições supranacionais.</w:t>
      </w:r>
    </w:p>
    <w:p w14:paraId="23D40AEB" w14:textId="383F2B9D" w:rsidR="00334052" w:rsidRPr="006A16B3" w:rsidRDefault="00334052" w:rsidP="006A16B3">
      <w:pPr>
        <w:ind w:right="0"/>
        <w:rPr>
          <w:color w:val="000000"/>
        </w:rPr>
      </w:pPr>
      <w:r>
        <w:rPr>
          <w:color w:val="000000"/>
        </w:rPr>
        <w:t>A UE deve acima de qualquer outra definição que lhe seja dada, ser classificada como uma organização, do tipo interestadual, à qual são conferidos poderes para gerir interesses comuns dos Estados-Membros, e cuja criação e aderência não implica necessariamente uma renúncia de soberania, mas antes uma transferência de certas competências.</w:t>
      </w:r>
    </w:p>
    <w:p w14:paraId="26B1D137" w14:textId="7C3C3FFD" w:rsidR="006A16B3" w:rsidRPr="006A16B3" w:rsidRDefault="006A16B3" w:rsidP="006A16B3">
      <w:pPr>
        <w:ind w:right="0"/>
        <w:rPr>
          <w:color w:val="000000"/>
        </w:rPr>
      </w:pPr>
      <w:r w:rsidRPr="006A16B3">
        <w:rPr>
          <w:color w:val="000000"/>
        </w:rPr>
        <w:t>Um exemplo perfeito disto seria a União Europeia, embora seja um caso complexo, com elementos de federalismo</w:t>
      </w:r>
      <w:r>
        <w:rPr>
          <w:color w:val="000000"/>
        </w:rPr>
        <w:t xml:space="preserve"> e</w:t>
      </w:r>
      <w:r w:rsidRPr="006A16B3">
        <w:rPr>
          <w:color w:val="000000"/>
        </w:rPr>
        <w:t xml:space="preserve"> confederalismo</w:t>
      </w:r>
      <w:r>
        <w:rPr>
          <w:color w:val="000000"/>
        </w:rPr>
        <w:t xml:space="preserve">, enquanto organização caracterizada pela sua </w:t>
      </w:r>
      <w:r w:rsidRPr="006A16B3">
        <w:rPr>
          <w:color w:val="000000"/>
        </w:rPr>
        <w:t>supranacionalidade</w:t>
      </w:r>
      <w:r w:rsidR="008556DC">
        <w:rPr>
          <w:color w:val="000000"/>
        </w:rPr>
        <w:t xml:space="preserve"> e cooperação transnacional dos Estados</w:t>
      </w:r>
      <w:r w:rsidR="005747EA">
        <w:rPr>
          <w:color w:val="000000"/>
        </w:rPr>
        <w:t>-M</w:t>
      </w:r>
      <w:r w:rsidR="008556DC">
        <w:rPr>
          <w:color w:val="000000"/>
        </w:rPr>
        <w:t>embros</w:t>
      </w:r>
      <w:r w:rsidRPr="006A16B3">
        <w:rPr>
          <w:color w:val="000000"/>
        </w:rPr>
        <w:t>.</w:t>
      </w:r>
    </w:p>
    <w:p w14:paraId="454F04D5" w14:textId="77777777" w:rsidR="00F12442" w:rsidRDefault="006A16B3" w:rsidP="006A16B3">
      <w:pPr>
        <w:ind w:right="0"/>
        <w:rPr>
          <w:color w:val="000000"/>
        </w:rPr>
      </w:pPr>
      <w:r w:rsidRPr="006A16B3">
        <w:rPr>
          <w:color w:val="000000"/>
        </w:rPr>
        <w:t>Aliás, não é sequer admissível recusar-se aos Estados-</w:t>
      </w:r>
      <w:r w:rsidR="005747EA">
        <w:rPr>
          <w:color w:val="000000"/>
        </w:rPr>
        <w:t>M</w:t>
      </w:r>
      <w:r w:rsidRPr="006A16B3">
        <w:rPr>
          <w:color w:val="000000"/>
        </w:rPr>
        <w:t>embros da União, o carácter de Estados soberanos, visto que, segundo Paulo de Pitta e Cunha</w:t>
      </w:r>
      <w:r w:rsidR="00F12442">
        <w:rPr>
          <w:color w:val="000000"/>
        </w:rPr>
        <w:t>:</w:t>
      </w:r>
    </w:p>
    <w:p w14:paraId="576A684F" w14:textId="77777777" w:rsidR="00F12442" w:rsidRDefault="00F12442" w:rsidP="006A16B3">
      <w:pPr>
        <w:ind w:right="0"/>
        <w:rPr>
          <w:color w:val="000000"/>
        </w:rPr>
      </w:pPr>
    </w:p>
    <w:p w14:paraId="2684E0EC" w14:textId="408101FE" w:rsidR="0019302D" w:rsidRPr="00F12442" w:rsidRDefault="00F12442" w:rsidP="00F12442">
      <w:pPr>
        <w:spacing w:line="240" w:lineRule="auto"/>
        <w:ind w:left="567" w:right="0"/>
        <w:rPr>
          <w:color w:val="000000"/>
          <w:sz w:val="20"/>
          <w:szCs w:val="20"/>
        </w:rPr>
      </w:pPr>
      <w:r w:rsidRPr="00F12442">
        <w:rPr>
          <w:color w:val="000000"/>
          <w:sz w:val="20"/>
          <w:szCs w:val="20"/>
        </w:rPr>
        <w:t>A</w:t>
      </w:r>
      <w:r w:rsidR="006A16B3" w:rsidRPr="00F12442">
        <w:rPr>
          <w:color w:val="000000"/>
          <w:sz w:val="20"/>
          <w:szCs w:val="20"/>
        </w:rPr>
        <w:t>pesar da transferência de poderes de autoridade para as instituições comunitárias, o elemento intergovernamental é ainda preponderante, e os Estados conservam a possibilidade de se afastar, readquirindo a sua plena autonomia.</w:t>
      </w:r>
      <w:r>
        <w:rPr>
          <w:color w:val="000000"/>
          <w:sz w:val="20"/>
          <w:szCs w:val="20"/>
        </w:rPr>
        <w:t xml:space="preserve"> </w:t>
      </w:r>
      <w:r w:rsidR="006A16B3" w:rsidRPr="00F12442">
        <w:rPr>
          <w:color w:val="000000"/>
          <w:sz w:val="20"/>
          <w:szCs w:val="20"/>
        </w:rPr>
        <w:t>Enquanto os Estados se limitarem a renunciar ao exercício de poderes restritos em proveito de instituições supranacionais, e conservarem «o mínimo irredutível de autodeterminação soberana», não terá sido atingido o estádio federal, caracterizado pelo desaparecimento do direito internacional no plano das relações internas da comunidade</w:t>
      </w:r>
      <w:r w:rsidRPr="00F12442">
        <w:rPr>
          <w:color w:val="000000"/>
          <w:sz w:val="20"/>
          <w:szCs w:val="20"/>
        </w:rPr>
        <w:t xml:space="preserve"> </w:t>
      </w:r>
      <w:r w:rsidR="00D9566D" w:rsidRPr="00F12442">
        <w:rPr>
          <w:rStyle w:val="Refdenotaderodap"/>
          <w:color w:val="000000"/>
          <w:sz w:val="20"/>
          <w:szCs w:val="20"/>
        </w:rPr>
        <w:footnoteReference w:id="13"/>
      </w:r>
      <w:r w:rsidR="006A16B3" w:rsidRPr="00F12442">
        <w:rPr>
          <w:color w:val="000000"/>
          <w:sz w:val="20"/>
          <w:szCs w:val="20"/>
        </w:rPr>
        <w:t>.</w:t>
      </w:r>
    </w:p>
    <w:p w14:paraId="37A52342" w14:textId="77777777" w:rsidR="0037575C" w:rsidRPr="00F12442" w:rsidRDefault="0037575C" w:rsidP="006A16B3">
      <w:pPr>
        <w:ind w:right="0"/>
      </w:pPr>
    </w:p>
    <w:p w14:paraId="7C7CCD02" w14:textId="7E2C51FD" w:rsidR="001F343D" w:rsidRPr="00787C75" w:rsidRDefault="001F343D" w:rsidP="00787C75">
      <w:pPr>
        <w:pStyle w:val="PargrafodaLista"/>
        <w:numPr>
          <w:ilvl w:val="0"/>
          <w:numId w:val="1"/>
        </w:numPr>
        <w:ind w:left="714" w:right="17" w:hanging="357"/>
        <w:outlineLvl w:val="0"/>
        <w:rPr>
          <w:b/>
          <w:bCs/>
          <w:sz w:val="28"/>
          <w:szCs w:val="28"/>
        </w:rPr>
      </w:pPr>
      <w:bookmarkStart w:id="18" w:name="_Toc221648065"/>
      <w:r w:rsidRPr="00787C75">
        <w:rPr>
          <w:b/>
          <w:bCs/>
          <w:sz w:val="28"/>
          <w:szCs w:val="28"/>
        </w:rPr>
        <w:t xml:space="preserve">A União Europeia: Estrutura </w:t>
      </w:r>
      <w:r w:rsidR="00D9566D" w:rsidRPr="00787C75">
        <w:rPr>
          <w:b/>
          <w:bCs/>
          <w:sz w:val="28"/>
          <w:szCs w:val="28"/>
        </w:rPr>
        <w:t>Actual</w:t>
      </w:r>
      <w:r w:rsidRPr="00787C75">
        <w:rPr>
          <w:b/>
          <w:bCs/>
          <w:sz w:val="28"/>
          <w:szCs w:val="28"/>
        </w:rPr>
        <w:t xml:space="preserve"> e Tendências Federalistas</w:t>
      </w:r>
      <w:bookmarkEnd w:id="18"/>
    </w:p>
    <w:p w14:paraId="021C7863" w14:textId="59C6E75C" w:rsidR="001F343D" w:rsidRPr="00787C75" w:rsidRDefault="001F343D" w:rsidP="001F343D">
      <w:pPr>
        <w:pStyle w:val="PargrafodaLista"/>
        <w:numPr>
          <w:ilvl w:val="1"/>
          <w:numId w:val="1"/>
        </w:numPr>
        <w:outlineLvl w:val="1"/>
      </w:pPr>
      <w:bookmarkStart w:id="19" w:name="_Toc221648066"/>
      <w:r w:rsidRPr="00787C75">
        <w:t>Evolução institucional da União Europeia: dos tratados fundadores ao Tratado de Lisboa</w:t>
      </w:r>
      <w:r w:rsidR="00D8187A" w:rsidRPr="00787C75">
        <w:rPr>
          <w:rStyle w:val="Refdenotaderodap"/>
        </w:rPr>
        <w:footnoteReference w:id="14"/>
      </w:r>
      <w:bookmarkEnd w:id="19"/>
    </w:p>
    <w:p w14:paraId="0B498D19" w14:textId="77777777" w:rsidR="001F343D" w:rsidRDefault="001F343D" w:rsidP="001F343D">
      <w:pPr>
        <w:pBdr>
          <w:top w:val="nil"/>
          <w:left w:val="nil"/>
          <w:bottom w:val="nil"/>
          <w:right w:val="nil"/>
          <w:between w:val="nil"/>
        </w:pBdr>
        <w:ind w:right="0"/>
      </w:pPr>
      <w:r>
        <w:t>Tamanho foi o trauma provocado pela Segunda Guerra Mundial, que as nações europeias decidiram unir-se para prevenir conflitos semelhantes no continente.</w:t>
      </w:r>
    </w:p>
    <w:p w14:paraId="1FB6C0C4" w14:textId="1BE38DAD" w:rsidR="001F343D" w:rsidRDefault="001F343D" w:rsidP="001F343D">
      <w:pPr>
        <w:pBdr>
          <w:top w:val="nil"/>
          <w:left w:val="nil"/>
          <w:bottom w:val="nil"/>
          <w:right w:val="nil"/>
          <w:between w:val="nil"/>
        </w:pBdr>
        <w:ind w:right="0"/>
      </w:pPr>
      <w:r>
        <w:t>Assim, a 18 de Abril de 1951, com base no plano Schuman, foi fundada a Comunidade Europeia do Carvão e do Aço pela Benelux, a Alemanha Ocidental, França e Itália, tornando-se a primeira organização supranacional no âmbito europeu ao entrar em funções em 1952.</w:t>
      </w:r>
    </w:p>
    <w:p w14:paraId="410DDA06" w14:textId="684C5C61" w:rsidR="001F343D" w:rsidRDefault="001F343D" w:rsidP="001F343D">
      <w:pPr>
        <w:pBdr>
          <w:top w:val="nil"/>
          <w:left w:val="nil"/>
          <w:bottom w:val="nil"/>
          <w:right w:val="nil"/>
          <w:between w:val="nil"/>
        </w:pBdr>
        <w:ind w:right="0"/>
      </w:pPr>
      <w:r>
        <w:t>Esta organização tinha como objectivo organizar a livre circulação do carvão e do aço e o livre acesso às fontes de produção, bem como a criação de uma Alta Autoridade para supervisionar o mercado, controlar o respeito pelas regras da concorrência e assegurar a transparência dos preços, de forma a acelerar e promover a reconstrução da Europa, devastada pela guerra</w:t>
      </w:r>
      <w:r w:rsidR="00A12056">
        <w:rPr>
          <w:rStyle w:val="Refdenotaderodap"/>
        </w:rPr>
        <w:footnoteReference w:id="15"/>
      </w:r>
      <w:r>
        <w:t>.</w:t>
      </w:r>
    </w:p>
    <w:p w14:paraId="4B71E235" w14:textId="664AC5AE" w:rsidR="001F343D" w:rsidRDefault="001F343D" w:rsidP="001F343D">
      <w:pPr>
        <w:pBdr>
          <w:top w:val="nil"/>
          <w:left w:val="nil"/>
          <w:bottom w:val="nil"/>
          <w:right w:val="nil"/>
          <w:between w:val="nil"/>
        </w:pBdr>
        <w:ind w:right="0"/>
      </w:pPr>
      <w:r>
        <w:t xml:space="preserve">Já aqui, podemos ver os primeiros passos rumo a uma instituição supranacional, com base no princípio do exercício conjunto de soberania num sector-chave, através de instituições independentes dos governos nacionais. </w:t>
      </w:r>
    </w:p>
    <w:p w14:paraId="6AFFF6C6" w14:textId="11BA8200" w:rsidR="001F343D" w:rsidRDefault="001F343D" w:rsidP="001F343D">
      <w:pPr>
        <w:pBdr>
          <w:top w:val="nil"/>
          <w:left w:val="nil"/>
          <w:bottom w:val="nil"/>
          <w:right w:val="nil"/>
          <w:between w:val="nil"/>
        </w:pBdr>
        <w:ind w:right="0"/>
      </w:pPr>
      <w:r>
        <w:t>A própria Alta Autoridade, seria um órgão executivo supranacional de nove membros, nomeados pelos governos dos Estados-</w:t>
      </w:r>
      <w:r w:rsidR="00AF5DBD">
        <w:t>M</w:t>
      </w:r>
      <w:r>
        <w:t xml:space="preserve">embros, mas obrigados a agir </w:t>
      </w:r>
      <w:r w:rsidRPr="00594191">
        <w:rPr>
          <w:i/>
          <w:iCs/>
        </w:rPr>
        <w:t>“</w:t>
      </w:r>
      <w:r w:rsidRPr="00952F23">
        <w:t>no interesse da Comunidade”,</w:t>
      </w:r>
      <w:r>
        <w:t xml:space="preserve"> sendo ainda dotada de poderes próprios que lhe permitiam supervisionar o mercado, monitorar o cumprimento das regras de concorrência e garantir a transparência dos preços</w:t>
      </w:r>
      <w:r w:rsidR="00D8187A">
        <w:rPr>
          <w:rStyle w:val="Refdenotaderodap"/>
        </w:rPr>
        <w:footnoteReference w:id="16"/>
      </w:r>
      <w:r>
        <w:t>.</w:t>
      </w:r>
    </w:p>
    <w:p w14:paraId="78AAFCDE" w14:textId="35D2014E" w:rsidR="001F343D" w:rsidRDefault="001F343D" w:rsidP="001F343D">
      <w:pPr>
        <w:pBdr>
          <w:top w:val="nil"/>
          <w:left w:val="nil"/>
          <w:bottom w:val="nil"/>
          <w:right w:val="nil"/>
          <w:between w:val="nil"/>
        </w:pBdr>
        <w:ind w:right="0"/>
      </w:pPr>
      <w:r>
        <w:t>Os primeiros elementos de génese federalista também surgiram aqui, com a criação de um mercado comum sectorial e da Alta Autoridade, enquanto órgão executivo próprio.</w:t>
      </w:r>
    </w:p>
    <w:p w14:paraId="52B3C310" w14:textId="1393ED0D" w:rsidR="001F343D" w:rsidRDefault="001F343D" w:rsidP="001F343D">
      <w:pPr>
        <w:pBdr>
          <w:top w:val="nil"/>
          <w:left w:val="nil"/>
          <w:bottom w:val="nil"/>
          <w:right w:val="nil"/>
          <w:between w:val="nil"/>
        </w:pBdr>
        <w:ind w:right="0"/>
      </w:pPr>
      <w:r w:rsidRPr="00243C38">
        <w:t>V</w:t>
      </w:r>
      <w:r w:rsidR="00A12056" w:rsidRPr="00243C38">
        <w:t>e</w:t>
      </w:r>
      <w:r w:rsidRPr="00243C38">
        <w:t xml:space="preserve">mos aqui, também, os primeiros traços confederalistas, </w:t>
      </w:r>
      <w:r w:rsidR="00A12056" w:rsidRPr="00243C38">
        <w:t>enquanto instituição intergovernamental na qual os Estados</w:t>
      </w:r>
      <w:r w:rsidR="00243C38" w:rsidRPr="00243C38">
        <w:t>, por meio de um tratado internacional e na partilha de objectivos comuns, estabelecem um órgão internacional que usam como ferramenta para prosseguir esses objectivos, sem nunca abdicarem da sua própria soberania.</w:t>
      </w:r>
    </w:p>
    <w:p w14:paraId="029B24D0" w14:textId="1671156D" w:rsidR="001F343D" w:rsidRDefault="00243C38" w:rsidP="001F343D">
      <w:pPr>
        <w:pBdr>
          <w:top w:val="nil"/>
          <w:left w:val="nil"/>
          <w:bottom w:val="nil"/>
          <w:right w:val="nil"/>
          <w:between w:val="nil"/>
        </w:pBdr>
        <w:ind w:right="0"/>
      </w:pPr>
      <w:r>
        <w:t xml:space="preserve">O facto </w:t>
      </w:r>
      <w:r w:rsidRPr="00243C38">
        <w:t>de que a Assembleia Comum era composta por parlamentares nacionais (não directamente eleitos para a CECA), reforçava o vínculo com os Estados, em vez de uma representação popular directa típica de sistemas federais e os Estados criaram um Conselho Especial de Ministros, órgão claramente intergovernamental, onde os governos nacionais coordenavam e controlavam, em parte, a acção da Comunidade.</w:t>
      </w:r>
    </w:p>
    <w:p w14:paraId="14DFEF72" w14:textId="70EE198A" w:rsidR="001F343D" w:rsidRDefault="001F343D" w:rsidP="001F343D">
      <w:pPr>
        <w:pBdr>
          <w:top w:val="nil"/>
          <w:left w:val="nil"/>
          <w:bottom w:val="nil"/>
          <w:right w:val="nil"/>
          <w:between w:val="nil"/>
        </w:pBdr>
        <w:ind w:right="0"/>
      </w:pPr>
      <w:r>
        <w:t>A 25 de Março de 1957, após o enorme sucesso da CECA, os seis países fundadores alargam a sua cooperação a outros sectores económicos, mediante a assinatura dos Tratados de Roma, que instituíram a Comunidade Económica Europeia (CEE)  (que tinha como objectivos trabalhar no sentido da integração e do crescimento económico através das trocas comerciais, bem como na criação de um mercado comum assente na livre circulação de mercadorias, pessoas, serviços e capitais)</w:t>
      </w:r>
      <w:r w:rsidR="00D8187A">
        <w:rPr>
          <w:rStyle w:val="Refdenotaderodap"/>
        </w:rPr>
        <w:footnoteReference w:id="17"/>
      </w:r>
      <w:r>
        <w:t xml:space="preserve">  e a Comunidade Europeia da Energia Atómica (CEEA ou EURATOM) (que tinha como objectivos promover a investigação e assegurar a difusão dos conhecimentos técnicos, estabelecer normas de segurança uniformes com vista a proteger a saúde da população e dos trabalhadores da indústria, facilitar a investigação e garantir que os materiais nucleares não fossem desviados para fins diferentes daqueles a que se destinavam, em particular militares)</w:t>
      </w:r>
      <w:r w:rsidR="00D8187A">
        <w:rPr>
          <w:rStyle w:val="Refdenotaderodap"/>
        </w:rPr>
        <w:footnoteReference w:id="18"/>
      </w:r>
      <w:r>
        <w:t>.</w:t>
      </w:r>
    </w:p>
    <w:p w14:paraId="4DAC720A" w14:textId="2F5CA239" w:rsidR="006A7F20" w:rsidRDefault="00243C38" w:rsidP="001F343D">
      <w:pPr>
        <w:pBdr>
          <w:top w:val="nil"/>
          <w:left w:val="nil"/>
          <w:bottom w:val="nil"/>
          <w:right w:val="nil"/>
          <w:between w:val="nil"/>
        </w:pBdr>
        <w:ind w:right="0"/>
      </w:pPr>
      <w:r>
        <w:t xml:space="preserve">Podemos ver aqui a expansão desta instituição, </w:t>
      </w:r>
      <w:r w:rsidR="00F57E61">
        <w:t xml:space="preserve">ainda </w:t>
      </w:r>
      <w:r>
        <w:t>primariamente de carácter confederalista, a outras áreas de acção</w:t>
      </w:r>
      <w:r w:rsidR="00F57E61">
        <w:t xml:space="preserve"> e um aumento do nível de cooperação destes Estados na </w:t>
      </w:r>
      <w:r w:rsidR="00EF2379">
        <w:t>integração e expansão económica</w:t>
      </w:r>
      <w:r w:rsidR="00991C03">
        <w:t xml:space="preserve"> e na partilha de conhecimentos</w:t>
      </w:r>
      <w:r w:rsidR="00F57E61">
        <w:t>.</w:t>
      </w:r>
    </w:p>
    <w:p w14:paraId="0B010333" w14:textId="3A3F2D3D" w:rsidR="001F343D" w:rsidRDefault="001F343D" w:rsidP="001F343D">
      <w:pPr>
        <w:pBdr>
          <w:top w:val="nil"/>
          <w:left w:val="nil"/>
          <w:bottom w:val="nil"/>
          <w:right w:val="nil"/>
          <w:between w:val="nil"/>
        </w:pBdr>
        <w:ind w:right="0"/>
      </w:pPr>
      <w:r>
        <w:t>A 8 de Abril de 1965 foi assinado o Tratado de Fusão</w:t>
      </w:r>
      <w:r w:rsidR="00991C03">
        <w:t xml:space="preserve"> (também conhecido como Tratado de Bruxelas)</w:t>
      </w:r>
      <w:r>
        <w:t>, que fundiu os órgãos executivos das Comunidades Europeias existentes (Comunidade Europeia do Carvão e do Aço, Comunidade Económica Europeia e Euratom) numa Comissão única e instituiu um Conselho único das Comunidades Europeias, com entrada em vigor em 1 de Julho de 1967.</w:t>
      </w:r>
    </w:p>
    <w:p w14:paraId="104AF014" w14:textId="229148E2" w:rsidR="00991C03" w:rsidRDefault="00991C03" w:rsidP="001F343D">
      <w:pPr>
        <w:pBdr>
          <w:top w:val="nil"/>
          <w:left w:val="nil"/>
          <w:bottom w:val="nil"/>
          <w:right w:val="nil"/>
          <w:between w:val="nil"/>
        </w:pBdr>
        <w:ind w:right="0"/>
      </w:pPr>
      <w:r>
        <w:t xml:space="preserve">Desta forma, unindo-se as comissões destas </w:t>
      </w:r>
      <w:r w:rsidR="002F39B1">
        <w:t>C</w:t>
      </w:r>
      <w:r>
        <w:t>omunidades (que apesar de tudo mantinham-se legalmente independentes), criou-se uma liderança executiva comum e permitiu a r</w:t>
      </w:r>
      <w:r w:rsidRPr="00991C03">
        <w:t>edu</w:t>
      </w:r>
      <w:r>
        <w:t>ção</w:t>
      </w:r>
      <w:r w:rsidRPr="00991C03">
        <w:t xml:space="preserve"> </w:t>
      </w:r>
      <w:r>
        <w:t>do número de</w:t>
      </w:r>
      <w:r w:rsidRPr="00991C03">
        <w:t xml:space="preserve"> estruturas administrativas e orçamenta</w:t>
      </w:r>
      <w:r>
        <w:t>is europeias</w:t>
      </w:r>
      <w:r w:rsidRPr="00991C03">
        <w:t>,</w:t>
      </w:r>
      <w:r>
        <w:t xml:space="preserve"> formando-se assim um</w:t>
      </w:r>
      <w:r w:rsidRPr="00991C03">
        <w:t xml:space="preserve"> orçamento unificado e</w:t>
      </w:r>
      <w:r>
        <w:t xml:space="preserve"> uma</w:t>
      </w:r>
      <w:r w:rsidRPr="00991C03">
        <w:t xml:space="preserve"> sede</w:t>
      </w:r>
      <w:r>
        <w:t xml:space="preserve"> comum</w:t>
      </w:r>
      <w:r w:rsidRPr="00991C03">
        <w:t xml:space="preserve"> em Bruxelas, aumentando</w:t>
      </w:r>
      <w:r>
        <w:t xml:space="preserve"> a</w:t>
      </w:r>
      <w:r w:rsidRPr="00991C03">
        <w:t xml:space="preserve"> eficiência e coerência</w:t>
      </w:r>
      <w:r>
        <w:t xml:space="preserve"> das instituições.</w:t>
      </w:r>
    </w:p>
    <w:p w14:paraId="475C3187" w14:textId="4BCBF03E" w:rsidR="00991C03" w:rsidRDefault="00991C03" w:rsidP="001F343D">
      <w:pPr>
        <w:pBdr>
          <w:top w:val="nil"/>
          <w:left w:val="nil"/>
          <w:bottom w:val="nil"/>
          <w:right w:val="nil"/>
          <w:between w:val="nil"/>
        </w:pBdr>
        <w:ind w:right="0"/>
      </w:pPr>
      <w:r>
        <w:t xml:space="preserve">Este é considerado o verdadeiro </w:t>
      </w:r>
      <w:r w:rsidR="004D5793">
        <w:t>início</w:t>
      </w:r>
      <w:r>
        <w:t xml:space="preserve"> da União como a conhecemos, ao </w:t>
      </w:r>
      <w:r w:rsidRPr="00991C03">
        <w:t>facilita</w:t>
      </w:r>
      <w:r>
        <w:t>r</w:t>
      </w:r>
      <w:r w:rsidRPr="00991C03">
        <w:t xml:space="preserve"> políticas comuns e </w:t>
      </w:r>
      <w:r>
        <w:t>r</w:t>
      </w:r>
      <w:r w:rsidRPr="00991C03">
        <w:t>eforç</w:t>
      </w:r>
      <w:r>
        <w:t>ar</w:t>
      </w:r>
      <w:r w:rsidRPr="00991C03">
        <w:t xml:space="preserve"> a lógica supranacional ao centralizar o poder executivo europeu</w:t>
      </w:r>
      <w:r>
        <w:t>.</w:t>
      </w:r>
    </w:p>
    <w:p w14:paraId="33B10885" w14:textId="256F1730" w:rsidR="001F343D" w:rsidRDefault="001F343D" w:rsidP="001F343D">
      <w:pPr>
        <w:pBdr>
          <w:top w:val="nil"/>
          <w:left w:val="nil"/>
          <w:bottom w:val="nil"/>
          <w:right w:val="nil"/>
          <w:between w:val="nil"/>
        </w:pBdr>
        <w:ind w:right="0"/>
      </w:pPr>
      <w:r>
        <w:t>Em Junho de 1979, ocorrem as primeiras eleições directas para o Parlamento Europeu, onde os cidadãos europeus elegem directamente pela primeira vez os deputados ao Parlamento Europeu</w:t>
      </w:r>
      <w:r w:rsidR="00991C03">
        <w:t xml:space="preserve"> (com assento em grupos políticos pan-europeus e não em delegações nacionais)</w:t>
      </w:r>
      <w:r>
        <w:t>, ao contrário do que acontecia anteriormente, em que os deputados eram delegados pelos parlamentos nacionais</w:t>
      </w:r>
      <w:r w:rsidR="004D5793">
        <w:t>, dando início à participação política do cidadão europeu na esfera da Comunidade.</w:t>
      </w:r>
    </w:p>
    <w:p w14:paraId="52289417" w14:textId="5C65ED63" w:rsidR="001F343D" w:rsidRDefault="004D5793" w:rsidP="001F343D">
      <w:pPr>
        <w:pBdr>
          <w:top w:val="nil"/>
          <w:left w:val="nil"/>
          <w:bottom w:val="nil"/>
          <w:right w:val="nil"/>
          <w:between w:val="nil"/>
        </w:pBdr>
        <w:ind w:right="0"/>
      </w:pPr>
      <w:r>
        <w:t>A</w:t>
      </w:r>
      <w:r w:rsidR="001F343D">
        <w:t xml:space="preserve"> 1 de Julho de 1987</w:t>
      </w:r>
      <w:r>
        <w:t xml:space="preserve"> entrou em vigor o Ato Único Europeu, que </w:t>
      </w:r>
      <w:r w:rsidR="001F343D">
        <w:t>introduzi</w:t>
      </w:r>
      <w:r>
        <w:t>u</w:t>
      </w:r>
      <w:r w:rsidR="001F343D">
        <w:t xml:space="preserve"> alterações aos Tratados que instituem as Comunidades Europeias</w:t>
      </w:r>
      <w:r>
        <w:t xml:space="preserve">, </w:t>
      </w:r>
      <w:r w:rsidR="001F343D">
        <w:t>consagr</w:t>
      </w:r>
      <w:r>
        <w:t>ou</w:t>
      </w:r>
      <w:r w:rsidR="001F343D">
        <w:t xml:space="preserve"> a cooperação política europeia</w:t>
      </w:r>
      <w:r w:rsidR="00C63ECD">
        <w:t xml:space="preserve"> e</w:t>
      </w:r>
      <w:r w:rsidR="001F343D">
        <w:t xml:space="preserve"> aument</w:t>
      </w:r>
      <w:r>
        <w:t>ou</w:t>
      </w:r>
      <w:r w:rsidR="001F343D">
        <w:t xml:space="preserve"> os poderes legislativos do Parlamento</w:t>
      </w:r>
      <w:r w:rsidR="00C63ECD">
        <w:t xml:space="preserve"> com a</w:t>
      </w:r>
      <w:r>
        <w:t xml:space="preserve"> </w:t>
      </w:r>
      <w:r w:rsidR="001F343D">
        <w:t>introdu</w:t>
      </w:r>
      <w:r w:rsidR="00C63ECD">
        <w:t>ção</w:t>
      </w:r>
      <w:r w:rsidR="001F343D">
        <w:t xml:space="preserve"> </w:t>
      </w:r>
      <w:r w:rsidR="00C63ECD">
        <w:t>d</w:t>
      </w:r>
      <w:r w:rsidR="001F343D">
        <w:t xml:space="preserve">os processos de cooperação e de parecer favorável. </w:t>
      </w:r>
    </w:p>
    <w:p w14:paraId="32143767" w14:textId="335EB419" w:rsidR="00C63ECD" w:rsidRDefault="00C63ECD" w:rsidP="001F343D">
      <w:pPr>
        <w:pBdr>
          <w:top w:val="nil"/>
          <w:left w:val="nil"/>
          <w:bottom w:val="nil"/>
          <w:right w:val="nil"/>
          <w:between w:val="nil"/>
        </w:pBdr>
        <w:ind w:right="0"/>
      </w:pPr>
      <w:r>
        <w:t>Firmou-se também como uma promessa de maior integração na Europa, ao fi</w:t>
      </w:r>
      <w:r w:rsidRPr="00C63ECD">
        <w:t>xa</w:t>
      </w:r>
      <w:r>
        <w:t>r</w:t>
      </w:r>
      <w:r w:rsidRPr="00C63ECD">
        <w:t xml:space="preserve"> o objectivo</w:t>
      </w:r>
      <w:r>
        <w:t xml:space="preserve"> </w:t>
      </w:r>
      <w:r w:rsidRPr="00C63ECD">
        <w:t xml:space="preserve">de </w:t>
      </w:r>
      <w:r>
        <w:t>realizar</w:t>
      </w:r>
      <w:r w:rsidRPr="00C63ECD">
        <w:t xml:space="preserve"> o mercado único até 1</w:t>
      </w:r>
      <w:r>
        <w:t xml:space="preserve"> de Janeiro de</w:t>
      </w:r>
      <w:r w:rsidRPr="00C63ECD">
        <w:t xml:space="preserve"> 199</w:t>
      </w:r>
      <w:r>
        <w:t>3</w:t>
      </w:r>
      <w:r w:rsidRPr="00C63ECD">
        <w:t xml:space="preserve">, </w:t>
      </w:r>
      <w:r>
        <w:t xml:space="preserve">enquanto </w:t>
      </w:r>
      <w:r w:rsidRPr="00C63ECD">
        <w:t xml:space="preserve">espaço sem fronteiras internas, em que existe livre circulação de mercadorias, pessoas, serviços e capitais </w:t>
      </w:r>
      <w:r>
        <w:t xml:space="preserve">e ao </w:t>
      </w:r>
      <w:r w:rsidRPr="00C63ECD">
        <w:t>alter</w:t>
      </w:r>
      <w:r>
        <w:t>ar</w:t>
      </w:r>
      <w:r w:rsidRPr="00C63ECD">
        <w:t xml:space="preserve"> as regras de funcionamento das instituições europeias</w:t>
      </w:r>
      <w:r>
        <w:t>.</w:t>
      </w:r>
    </w:p>
    <w:p w14:paraId="3408860E" w14:textId="76F17F8E" w:rsidR="00C63ECD" w:rsidRDefault="00C63ECD" w:rsidP="001F343D">
      <w:pPr>
        <w:pBdr>
          <w:top w:val="nil"/>
          <w:left w:val="nil"/>
          <w:bottom w:val="nil"/>
          <w:right w:val="nil"/>
          <w:between w:val="nil"/>
        </w:pBdr>
        <w:ind w:right="0"/>
      </w:pPr>
      <w:r>
        <w:t xml:space="preserve">Além disto, expandiu a área de actuação da </w:t>
      </w:r>
      <w:r w:rsidR="00301A6A">
        <w:t>Comunidade</w:t>
      </w:r>
      <w:r>
        <w:t xml:space="preserve"> a novos domínios políticos, como o mercado interno, a coesão económica e social, a política social, a investigação e o desenvolvimento, o ambiente e a política externa comum</w:t>
      </w:r>
      <w:r w:rsidR="00301A6A">
        <w:t xml:space="preserve"> </w:t>
      </w:r>
      <w:r>
        <w:t>(</w:t>
      </w:r>
      <w:r w:rsidRPr="00C63ECD">
        <w:t>com a presidência do Conselho a ser responsável por tomar iniciativas e coordenar as posições dos países membros</w:t>
      </w:r>
      <w:r>
        <w:t>)</w:t>
      </w:r>
      <w:r>
        <w:rPr>
          <w:rStyle w:val="Refdenotaderodap"/>
        </w:rPr>
        <w:footnoteReference w:id="19"/>
      </w:r>
      <w:r w:rsidRPr="00C63ECD">
        <w:t>.</w:t>
      </w:r>
    </w:p>
    <w:p w14:paraId="0C162016" w14:textId="70448A1F" w:rsidR="00301A6A" w:rsidRDefault="00301A6A" w:rsidP="001F343D">
      <w:pPr>
        <w:pBdr>
          <w:top w:val="nil"/>
          <w:left w:val="nil"/>
          <w:bottom w:val="nil"/>
          <w:right w:val="nil"/>
          <w:between w:val="nil"/>
        </w:pBdr>
        <w:ind w:right="0"/>
      </w:pPr>
      <w:r>
        <w:t>Esta expansão notória das competências da Comunidade, reestruturação das instituições europeias e compromisso de</w:t>
      </w:r>
      <w:r w:rsidRPr="00301A6A">
        <w:t xml:space="preserve"> realizar o mercado único</w:t>
      </w:r>
      <w:r>
        <w:t xml:space="preserve"> provou ser um salto enorme à maior integração dos Estados-</w:t>
      </w:r>
      <w:r w:rsidR="00AF5DBD">
        <w:t>M</w:t>
      </w:r>
      <w:r>
        <w:t>embros e criou as primeiras bases para futuras integrações.</w:t>
      </w:r>
    </w:p>
    <w:p w14:paraId="3E6DDF94" w14:textId="4160B590" w:rsidR="001F343D" w:rsidRDefault="001F343D" w:rsidP="001F343D">
      <w:pPr>
        <w:pBdr>
          <w:top w:val="nil"/>
          <w:left w:val="nil"/>
          <w:bottom w:val="nil"/>
          <w:right w:val="nil"/>
          <w:between w:val="nil"/>
        </w:pBdr>
        <w:ind w:right="0"/>
      </w:pPr>
      <w:r>
        <w:t>A 7 de Fevereiro de 1992</w:t>
      </w:r>
      <w:r w:rsidR="00301A6A">
        <w:t xml:space="preserve"> </w:t>
      </w:r>
      <w:r>
        <w:t>é assinado o Tratado de Maastricht, com entrada em vigor a 1 de Novembro de 1993</w:t>
      </w:r>
      <w:r w:rsidR="00301A6A">
        <w:t xml:space="preserve">, que veio </w:t>
      </w:r>
      <w:r>
        <w:t>estabelece</w:t>
      </w:r>
      <w:r w:rsidR="00301A6A">
        <w:t>r</w:t>
      </w:r>
      <w:r>
        <w:t xml:space="preserve"> </w:t>
      </w:r>
      <w:r w:rsidR="00891D67" w:rsidRPr="00891D67">
        <w:t xml:space="preserve">três grandes grupos, habitualmente designados por </w:t>
      </w:r>
      <w:r w:rsidR="00891D67" w:rsidRPr="00891D67">
        <w:rPr>
          <w:i/>
          <w:iCs/>
        </w:rPr>
        <w:t>«</w:t>
      </w:r>
      <w:r w:rsidR="00891D67" w:rsidRPr="00952F23">
        <w:t>pilares</w:t>
      </w:r>
      <w:r w:rsidR="00891D67" w:rsidRPr="00891D67">
        <w:rPr>
          <w:i/>
          <w:iCs/>
        </w:rPr>
        <w:t>»</w:t>
      </w:r>
      <w:r w:rsidRPr="00891D67">
        <w:rPr>
          <w:i/>
          <w:iCs/>
        </w:rPr>
        <w:t>,</w:t>
      </w:r>
      <w:r>
        <w:t xml:space="preserve"> </w:t>
      </w:r>
      <w:r w:rsidR="00891D67">
        <w:t xml:space="preserve">como a </w:t>
      </w:r>
      <w:r w:rsidR="00891D67" w:rsidRPr="00891D67">
        <w:t>transferência de soberania pelos Estados-Membros nos domínios visados pelo Tratado</w:t>
      </w:r>
      <w:r w:rsidR="00891D67">
        <w:t>,</w:t>
      </w:r>
      <w:r>
        <w:t xml:space="preserve"> a política externa e de segurança</w:t>
      </w:r>
      <w:r w:rsidR="00891D67">
        <w:t xml:space="preserve"> comum</w:t>
      </w:r>
      <w:r>
        <w:t xml:space="preserve"> e o reforço da cooperação em matéria de justiça e assuntos internos. </w:t>
      </w:r>
    </w:p>
    <w:p w14:paraId="56261A8C" w14:textId="5D630AC0" w:rsidR="00A12056" w:rsidRDefault="00301A6A" w:rsidP="001F343D">
      <w:pPr>
        <w:pBdr>
          <w:top w:val="nil"/>
          <w:left w:val="nil"/>
          <w:bottom w:val="nil"/>
          <w:right w:val="nil"/>
          <w:between w:val="nil"/>
        </w:pBdr>
        <w:ind w:right="0"/>
      </w:pPr>
      <w:r>
        <w:t xml:space="preserve">Além de criar instituições, como o </w:t>
      </w:r>
      <w:r w:rsidRPr="00301A6A">
        <w:t>Comité Económico e Social e um Comité das Regiões Europeu</w:t>
      </w:r>
      <w:r>
        <w:t xml:space="preserve"> (</w:t>
      </w:r>
      <w:r w:rsidRPr="00301A6A">
        <w:t>ambos funções consultivas</w:t>
      </w:r>
      <w:r>
        <w:t>), i</w:t>
      </w:r>
      <w:r w:rsidRPr="00301A6A">
        <w:t>nstitu</w:t>
      </w:r>
      <w:r>
        <w:t>iu</w:t>
      </w:r>
      <w:r w:rsidRPr="00301A6A">
        <w:t xml:space="preserve"> </w:t>
      </w:r>
      <w:r>
        <w:t>também um</w:t>
      </w:r>
      <w:r w:rsidRPr="00301A6A">
        <w:t xml:space="preserve"> </w:t>
      </w:r>
      <w:r>
        <w:t>S</w:t>
      </w:r>
      <w:r w:rsidRPr="00301A6A">
        <w:t>istema Europeu de Bancos Centrais e um Banco Central Europeu, além das instituições financeiras existentes no grupo BEI, nomeadamente o Banco Europeu de Investimento e o Fundo Europeu de Investimento</w:t>
      </w:r>
      <w:r>
        <w:t>, criando uma maior dinâmica e cooperação europeia em matérias económicas.</w:t>
      </w:r>
    </w:p>
    <w:p w14:paraId="59B3EE9D" w14:textId="1D857EB9" w:rsidR="00891D67" w:rsidRDefault="00891D67" w:rsidP="001F343D">
      <w:pPr>
        <w:pBdr>
          <w:top w:val="nil"/>
          <w:left w:val="nil"/>
          <w:bottom w:val="nil"/>
          <w:right w:val="nil"/>
          <w:between w:val="nil"/>
        </w:pBdr>
        <w:ind w:right="0"/>
      </w:pPr>
      <w:r>
        <w:t xml:space="preserve">Por fim, veio também estabelecer a cidadania europeia, ao assegurar que </w:t>
      </w:r>
      <w:r w:rsidRPr="00891D67">
        <w:rPr>
          <w:i/>
          <w:iCs/>
        </w:rPr>
        <w:t>“</w:t>
      </w:r>
      <w:r w:rsidRPr="00952F23">
        <w:t>é cidadão da União qualquer pessoa que tenha a nacionalidade de um Estado-Membro</w:t>
      </w:r>
      <w:r w:rsidRPr="00891D67">
        <w:rPr>
          <w:i/>
          <w:iCs/>
        </w:rPr>
        <w:t>"</w:t>
      </w:r>
      <w:r w:rsidRPr="00891D67">
        <w:t xml:space="preserve"> (conforme artigo 9.º do Tratado da União Europeia e artigo 20.º do Tratado sobre o Funcionamento da União Europeia [TFUE]).</w:t>
      </w:r>
    </w:p>
    <w:p w14:paraId="115F68BC" w14:textId="6E533E31" w:rsidR="00301A6A" w:rsidRDefault="00891D67" w:rsidP="001F343D">
      <w:pPr>
        <w:pBdr>
          <w:top w:val="nil"/>
          <w:left w:val="nil"/>
          <w:bottom w:val="nil"/>
          <w:right w:val="nil"/>
          <w:between w:val="nil"/>
        </w:pBdr>
        <w:ind w:right="0"/>
      </w:pPr>
      <w:r>
        <w:t xml:space="preserve">Voltamos a ver aqui uma crescente expansão das competências da Comunidade, para a qual foi transferida parte da soberania dos Estados, de forma a conseguir prosseguir os interesses do 1.º pilar, bem como um maior nível de integração na área da economia e da justiça e segurança, </w:t>
      </w:r>
      <w:r w:rsidR="00F67AC2">
        <w:t xml:space="preserve">de forma a </w:t>
      </w:r>
      <w:r w:rsidR="00F67AC2" w:rsidRPr="00F67AC2">
        <w:t>proporcionar aos cidadãos um elevado nível de protecção num espaço de liberdade, segurança e justiça</w:t>
      </w:r>
      <w:r w:rsidR="00F67AC2">
        <w:t xml:space="preserve"> e aos Estados um maior nível de segurança baseada no </w:t>
      </w:r>
      <w:r w:rsidR="00F67AC2" w:rsidRPr="00F67AC2">
        <w:t>espírito de lealdade e de solidariedade mútuas</w:t>
      </w:r>
      <w:r w:rsidR="00536079">
        <w:t>.</w:t>
      </w:r>
    </w:p>
    <w:p w14:paraId="274E495B" w14:textId="5CD7DDB6" w:rsidR="001F343D" w:rsidRDefault="001F343D" w:rsidP="001F343D">
      <w:pPr>
        <w:pBdr>
          <w:top w:val="nil"/>
          <w:left w:val="nil"/>
          <w:bottom w:val="nil"/>
          <w:right w:val="nil"/>
          <w:between w:val="nil"/>
        </w:pBdr>
        <w:ind w:right="0"/>
      </w:pPr>
      <w:r>
        <w:t>A 2 de Outubro de 1997</w:t>
      </w:r>
      <w:r w:rsidR="002F39B1">
        <w:t>,</w:t>
      </w:r>
      <w:r>
        <w:t xml:space="preserve"> é assinado o Tratado de Amesterdão, que altera o </w:t>
      </w:r>
      <w:r w:rsidR="00621505" w:rsidRPr="00621505">
        <w:t>Tratado de Maastricht</w:t>
      </w:r>
      <w:r>
        <w:t>, os Tratados que instituem as Comunidades Europeias e alguns actos relativos a esses Tratados.</w:t>
      </w:r>
    </w:p>
    <w:p w14:paraId="2A969700" w14:textId="6F22908A" w:rsidR="00594191" w:rsidRDefault="00114FFF" w:rsidP="001F343D">
      <w:pPr>
        <w:pBdr>
          <w:top w:val="nil"/>
          <w:left w:val="nil"/>
          <w:bottom w:val="nil"/>
          <w:right w:val="nil"/>
          <w:between w:val="nil"/>
        </w:pBdr>
        <w:ind w:right="0"/>
      </w:pPr>
      <w:r>
        <w:t xml:space="preserve">Veio assim aumentar as competências da </w:t>
      </w:r>
      <w:r w:rsidR="00621505">
        <w:t>Comunidade</w:t>
      </w:r>
      <w:r>
        <w:t xml:space="preserve"> (especialmente no que toca ao</w:t>
      </w:r>
      <w:r w:rsidRPr="00114FFF">
        <w:t xml:space="preserve"> desenvolvimento equilibrado e sustentável e a um nível elevado de emprego</w:t>
      </w:r>
      <w:r>
        <w:t xml:space="preserve"> e a </w:t>
      </w:r>
      <w:r w:rsidRPr="00114FFF">
        <w:t>cooperação intergovernamental nos domínios da cooperação policial e judiciária</w:t>
      </w:r>
      <w:r>
        <w:t xml:space="preserve">), reforçar o papel do Parlamento Europeu, reforçar a cooperação entre Estados, tendo sido criadas para o efeito </w:t>
      </w:r>
      <w:r w:rsidRPr="00114FFF">
        <w:t>disposições gerais que possibilitavam a um certo número de Estados-Membros recorrer, em determinadas condições, às instituições comuns para organizar uma cooperação reforçada entre si</w:t>
      </w:r>
      <w:r>
        <w:t xml:space="preserve">, </w:t>
      </w:r>
      <w:r w:rsidRPr="00114FFF">
        <w:t>eliminou dos Tratados europeus todas as disposições que haviam caducado ou se haviam tornado obsoletas pela evolução dos tempos</w:t>
      </w:r>
      <w:r>
        <w:t xml:space="preserve"> e procedeu a reformas na perspectiva do alargamento</w:t>
      </w:r>
      <w:r w:rsidR="00536079">
        <w:rPr>
          <w:rStyle w:val="Refdenotaderodap"/>
        </w:rPr>
        <w:footnoteReference w:id="20"/>
      </w:r>
      <w:r>
        <w:t>.</w:t>
      </w:r>
    </w:p>
    <w:p w14:paraId="48F70687" w14:textId="318AEE1A" w:rsidR="00114FFF" w:rsidRDefault="00114FFF" w:rsidP="001F343D">
      <w:pPr>
        <w:pBdr>
          <w:top w:val="nil"/>
          <w:left w:val="nil"/>
          <w:bottom w:val="nil"/>
          <w:right w:val="nil"/>
          <w:between w:val="nil"/>
        </w:pBdr>
        <w:ind w:right="0"/>
      </w:pPr>
      <w:r>
        <w:t xml:space="preserve">Apesar de não ter procedido a reformas tão profundas como o Tratado anterior, não pode ser ignorada a sua importância, especialmente no que toca ao </w:t>
      </w:r>
      <w:r w:rsidRPr="00114FFF">
        <w:t>reforç</w:t>
      </w:r>
      <w:r>
        <w:t>o</w:t>
      </w:r>
      <w:r w:rsidRPr="00114FFF">
        <w:t xml:space="preserve"> </w:t>
      </w:r>
      <w:r>
        <w:t>d</w:t>
      </w:r>
      <w:r w:rsidRPr="00114FFF">
        <w:t>o papel do Parlamento Europeu</w:t>
      </w:r>
      <w:r>
        <w:t xml:space="preserve">. </w:t>
      </w:r>
    </w:p>
    <w:p w14:paraId="0160EF78" w14:textId="441B25EB" w:rsidR="001F343D" w:rsidRDefault="001F343D" w:rsidP="001F343D">
      <w:pPr>
        <w:pBdr>
          <w:top w:val="nil"/>
          <w:left w:val="nil"/>
          <w:bottom w:val="nil"/>
          <w:right w:val="nil"/>
          <w:between w:val="nil"/>
        </w:pBdr>
        <w:ind w:right="0"/>
      </w:pPr>
      <w:r>
        <w:t>A 26 de Fevereiro de 2001 é assinado o Tratado de Nice, que entrou em vigor a 1 de Fevereiro de 2003 e tinha o objectivo de reformar a estrutura institucional da</w:t>
      </w:r>
      <w:r w:rsidR="002F39B1">
        <w:t xml:space="preserve"> Comunidade</w:t>
      </w:r>
      <w:r>
        <w:t>, a fim de fazer face aos desafios do alargamento que se avizinhava.</w:t>
      </w:r>
    </w:p>
    <w:p w14:paraId="15F3DD62" w14:textId="18289EF1" w:rsidR="00594191" w:rsidRDefault="00BD0E8F" w:rsidP="001F343D">
      <w:pPr>
        <w:pBdr>
          <w:top w:val="nil"/>
          <w:left w:val="nil"/>
          <w:bottom w:val="nil"/>
          <w:right w:val="nil"/>
          <w:between w:val="nil"/>
        </w:pBdr>
        <w:ind w:right="0"/>
      </w:pPr>
      <w:r>
        <w:t xml:space="preserve">Acima de tudo este Tratado, com vista a </w:t>
      </w:r>
      <w:r w:rsidRPr="00BD0E8F">
        <w:t xml:space="preserve">preparar a </w:t>
      </w:r>
      <w:r w:rsidR="002F39B1">
        <w:t>CE</w:t>
      </w:r>
      <w:r w:rsidRPr="00BD0E8F">
        <w:t xml:space="preserve"> para o alargamento aos países do Leste Europeu, reformando instituições para manter a operacionalidade com 25 (e depois 27) Estados-Membros</w:t>
      </w:r>
      <w:r w:rsidR="00534F63">
        <w:t xml:space="preserve">, demonstra mais uma vez a capacidade da </w:t>
      </w:r>
      <w:r w:rsidR="00510876">
        <w:t>CE</w:t>
      </w:r>
      <w:r w:rsidR="00534F63">
        <w:t xml:space="preserve"> de se adaptar às novas circunstâncias geopolíticas, enquanto instituição com vista à maior integração europeia, como um forte ênfase na cooperação e manutenção da paz e estabilidade no continente.</w:t>
      </w:r>
    </w:p>
    <w:p w14:paraId="53CAEED3" w14:textId="034527BB" w:rsidR="001F343D" w:rsidRDefault="001F343D" w:rsidP="001F343D">
      <w:pPr>
        <w:pBdr>
          <w:top w:val="nil"/>
          <w:left w:val="nil"/>
          <w:bottom w:val="nil"/>
          <w:right w:val="nil"/>
          <w:between w:val="nil"/>
        </w:pBdr>
        <w:ind w:right="0"/>
      </w:pPr>
      <w:r>
        <w:t>Entre 29 de Maio e 1 de Junho de 2005, os eleitores franceses e neerlandeses rejeitaram o Tratado assinado pelos 25 Estados-Membros</w:t>
      </w:r>
      <w:r w:rsidR="002F39B1">
        <w:t xml:space="preserve"> da CE </w:t>
      </w:r>
      <w:r>
        <w:t>a Outubro de 2004, que pretendia estabelecer uma Constituição Europeia.</w:t>
      </w:r>
    </w:p>
    <w:p w14:paraId="2B38FCBB" w14:textId="240E915B" w:rsidR="001F343D" w:rsidRDefault="001F343D" w:rsidP="001F343D">
      <w:pPr>
        <w:pBdr>
          <w:top w:val="nil"/>
          <w:left w:val="nil"/>
          <w:bottom w:val="nil"/>
          <w:right w:val="nil"/>
          <w:between w:val="nil"/>
        </w:pBdr>
        <w:ind w:right="0"/>
      </w:pPr>
      <w:r>
        <w:t>Esta Constituição serviu de base para o futuro Tratado de Lisboa, assinado a 13 de Dezembro de 2007 e com entrada em vigor a 1 de Dezembro de 2009, que veio a reformar o funcionamento da União</w:t>
      </w:r>
      <w:r w:rsidR="00534F63">
        <w:t>.</w:t>
      </w:r>
    </w:p>
    <w:p w14:paraId="1E85B2D4" w14:textId="2609A066" w:rsidR="00534F63" w:rsidRDefault="00534F63" w:rsidP="001F343D">
      <w:pPr>
        <w:pBdr>
          <w:top w:val="nil"/>
          <w:left w:val="nil"/>
          <w:bottom w:val="nil"/>
          <w:right w:val="nil"/>
          <w:between w:val="nil"/>
        </w:pBdr>
        <w:ind w:right="0"/>
      </w:pPr>
      <w:r>
        <w:t>Além de proceder a uma maior s</w:t>
      </w:r>
      <w:r w:rsidRPr="00534F63">
        <w:t>implificação institucional e eficiência decisória</w:t>
      </w:r>
      <w:r>
        <w:t xml:space="preserve">, ao eliminar a estrutura anterior de </w:t>
      </w:r>
      <w:r w:rsidRPr="00534F63">
        <w:t>três pilares, fundindo</w:t>
      </w:r>
      <w:r w:rsidRPr="00534F63">
        <w:rPr>
          <w:rFonts w:ascii="Cambria Math" w:hAnsi="Cambria Math" w:cs="Cambria Math"/>
        </w:rPr>
        <w:t>‑</w:t>
      </w:r>
      <w:r w:rsidRPr="00534F63">
        <w:t xml:space="preserve">os num </w:t>
      </w:r>
      <w:r w:rsidRPr="00534F63">
        <w:rPr>
          <w:rFonts w:ascii="Arial Nova Light" w:hAnsi="Arial Nova Light" w:cs="Arial Nova Light"/>
        </w:rPr>
        <w:t>ú</w:t>
      </w:r>
      <w:r w:rsidRPr="00534F63">
        <w:t>nico ordenamento jur</w:t>
      </w:r>
      <w:r w:rsidRPr="00534F63">
        <w:rPr>
          <w:rFonts w:ascii="Arial Nova Light" w:hAnsi="Arial Nova Light" w:cs="Arial Nova Light"/>
        </w:rPr>
        <w:t>í</w:t>
      </w:r>
      <w:r w:rsidRPr="00534F63">
        <w:t xml:space="preserve">dico da </w:t>
      </w:r>
      <w:r w:rsidR="00510876">
        <w:t>UE</w:t>
      </w:r>
      <w:r w:rsidRPr="00534F63">
        <w:t>, com personalidade jur</w:t>
      </w:r>
      <w:r w:rsidRPr="00534F63">
        <w:rPr>
          <w:rFonts w:ascii="Arial Nova Light" w:hAnsi="Arial Nova Light" w:cs="Arial Nova Light"/>
        </w:rPr>
        <w:t>í</w:t>
      </w:r>
      <w:r w:rsidRPr="00534F63">
        <w:t>dica pr</w:t>
      </w:r>
      <w:r w:rsidRPr="00534F63">
        <w:rPr>
          <w:rFonts w:ascii="Arial Nova Light" w:hAnsi="Arial Nova Light" w:cs="Arial Nova Light"/>
        </w:rPr>
        <w:t>ó</w:t>
      </w:r>
      <w:r w:rsidRPr="00534F63">
        <w:t>pria para celebrar tratados internacionais</w:t>
      </w:r>
      <w:r>
        <w:t xml:space="preserve"> e g</w:t>
      </w:r>
      <w:r w:rsidRPr="00534F63">
        <w:t>eneraliz</w:t>
      </w:r>
      <w:r>
        <w:t>ar</w:t>
      </w:r>
      <w:r w:rsidRPr="00534F63">
        <w:t xml:space="preserve"> a dupla maioria no Conselho</w:t>
      </w:r>
      <w:r>
        <w:t xml:space="preserve">, veio criar novos cargos de liderança, como </w:t>
      </w:r>
      <w:r w:rsidRPr="00534F63">
        <w:t>o Presidente permanente do Conselho Europeu</w:t>
      </w:r>
      <w:r>
        <w:t xml:space="preserve"> </w:t>
      </w:r>
      <w:r w:rsidRPr="00534F63">
        <w:t>e o Alto Representante para Negócios Estrangeiros e Política de Segurança</w:t>
      </w:r>
      <w:r w:rsidR="00CE06F2">
        <w:t xml:space="preserve">, permitir alargamentos ilimitados, criar uma cláusula de saída voluntária e reforçar o controlo </w:t>
      </w:r>
      <w:r w:rsidR="00CE06F2" w:rsidRPr="00CE06F2">
        <w:t xml:space="preserve">dos </w:t>
      </w:r>
      <w:r w:rsidR="00CE06F2">
        <w:t>P</w:t>
      </w:r>
      <w:r w:rsidR="00CE06F2" w:rsidRPr="00CE06F2">
        <w:t xml:space="preserve">arlamentos nacionais </w:t>
      </w:r>
      <w:r w:rsidR="00CE06F2">
        <w:t>no que toca a</w:t>
      </w:r>
      <w:r w:rsidR="00CE06F2" w:rsidRPr="00CE06F2">
        <w:t xml:space="preserve"> subsídios e exclusão da competência da </w:t>
      </w:r>
      <w:r w:rsidR="00510876">
        <w:t>UE.</w:t>
      </w:r>
    </w:p>
    <w:p w14:paraId="3AA4C4AF" w14:textId="3657D880" w:rsidR="006A7F20" w:rsidRDefault="00CE06F2" w:rsidP="006A7F20">
      <w:pPr>
        <w:pBdr>
          <w:top w:val="nil"/>
          <w:left w:val="nil"/>
          <w:bottom w:val="nil"/>
          <w:right w:val="nil"/>
          <w:between w:val="nil"/>
        </w:pBdr>
        <w:ind w:right="0"/>
      </w:pPr>
      <w:r>
        <w:t>Por fim</w:t>
      </w:r>
      <w:r w:rsidR="006A7F20">
        <w:t>, não podem ser ignorados os imensos e graduais passos dados em direcção a um maior nível de cooperação e integração dos Estados, que aos poucos, passaram de membros de uma pequena confederação europeia com vista à reconstrução do continente mediante a organização da livre circulação do carvão e do aço até ao modelo actual, com diversas características de génese federalista.</w:t>
      </w:r>
    </w:p>
    <w:p w14:paraId="34FB536F" w14:textId="5E1A3D12" w:rsidR="006A7F20" w:rsidRDefault="006A7F20" w:rsidP="006A7F20">
      <w:pPr>
        <w:pBdr>
          <w:top w:val="nil"/>
          <w:left w:val="nil"/>
          <w:bottom w:val="nil"/>
          <w:right w:val="nil"/>
          <w:between w:val="nil"/>
        </w:pBdr>
        <w:ind w:right="0"/>
      </w:pPr>
      <w:r w:rsidRPr="00F67AC2">
        <w:t xml:space="preserve">Alguns desses passos integracionistas foram a primeira Política Agrícola Comum de 30 de Julho de 1962, o início da União Aduaneira de 1 de Julho de 1968, a adopção de políticas ambientais ao longo dos anos 70, como o conceito de </w:t>
      </w:r>
      <w:r w:rsidRPr="0096742E">
        <w:t>«poluidor-pagador»,</w:t>
      </w:r>
      <w:r w:rsidRPr="00F67AC2">
        <w:t xml:space="preserve"> o lançamento do mercado único a 1 de Janeiro de 1993, a entrada em vigor um ano depois do acordo que estabelece o Espaço Económico Europeu, o acordo de Schengen que entra em vigor a 26 de Março de 1995 e a introdução a 1 de Janeiro de 2002 das notas e moedas de euro como moeda legal em 12 países da UE, sendo que já desde 1 de Janeiro de 1999 que o euro é introduzido em 11 países unicamente para transacções comerciais e financeiras.</w:t>
      </w:r>
    </w:p>
    <w:p w14:paraId="1797794F" w14:textId="4E3C2AD9" w:rsidR="00D512B3" w:rsidRDefault="00D512B3" w:rsidP="006A7F20">
      <w:pPr>
        <w:pBdr>
          <w:top w:val="nil"/>
          <w:left w:val="nil"/>
          <w:bottom w:val="nil"/>
          <w:right w:val="nil"/>
          <w:between w:val="nil"/>
        </w:pBdr>
        <w:ind w:right="0"/>
      </w:pPr>
      <w:r>
        <w:t xml:space="preserve">Na realidade e após extensa análise, a </w:t>
      </w:r>
      <w:r w:rsidR="00510876">
        <w:t>UE</w:t>
      </w:r>
      <w:r>
        <w:t xml:space="preserve"> evoluiu desde uma mera união de Estados democráticos, para uma união de Estados democráticos que também constitui uma democracia em si mesma.</w:t>
      </w:r>
    </w:p>
    <w:p w14:paraId="1E522183" w14:textId="2FB523FC" w:rsidR="00D512B3" w:rsidRDefault="00D512B3" w:rsidP="006A7F20">
      <w:pPr>
        <w:pBdr>
          <w:top w:val="nil"/>
          <w:left w:val="nil"/>
          <w:bottom w:val="nil"/>
          <w:right w:val="nil"/>
          <w:between w:val="nil"/>
        </w:pBdr>
        <w:ind w:right="0"/>
      </w:pPr>
      <w:r>
        <w:t>Não pode por isso, ser considerada um Estado, mas também não pode ser chamada uma organização internacional</w:t>
      </w:r>
      <w:r w:rsidR="00AF550C">
        <w:t>, possuindo uma estrutura constitucional própria, quando contrastada com outras organizações internacionais regionais.</w:t>
      </w:r>
    </w:p>
    <w:p w14:paraId="791BF6F5" w14:textId="06C19574" w:rsidR="0013181F" w:rsidRDefault="00AF550C" w:rsidP="006A7F20">
      <w:pPr>
        <w:pBdr>
          <w:top w:val="nil"/>
          <w:left w:val="nil"/>
          <w:bottom w:val="nil"/>
          <w:right w:val="nil"/>
          <w:between w:val="nil"/>
        </w:pBdr>
        <w:ind w:right="0"/>
      </w:pPr>
      <w:r>
        <w:t>Após uma evolução constante ao longo de décadas, ficou sempre no ar a questão de se a União deveria emergir como um Estado federal ou uma associação confederativa de Estados, sem que tenha sido atingido nenhum resultado</w:t>
      </w:r>
      <w:r>
        <w:rPr>
          <w:rStyle w:val="Refdenotaderodap"/>
        </w:rPr>
        <w:footnoteReference w:id="21"/>
      </w:r>
      <w:r>
        <w:t>.</w:t>
      </w:r>
    </w:p>
    <w:p w14:paraId="55A8CBA1" w14:textId="038CEB17" w:rsidR="002C7B1C" w:rsidRDefault="002C7B1C" w:rsidP="006A7F20">
      <w:pPr>
        <w:pBdr>
          <w:top w:val="nil"/>
          <w:left w:val="nil"/>
          <w:bottom w:val="nil"/>
          <w:right w:val="nil"/>
          <w:between w:val="nil"/>
        </w:pBdr>
        <w:ind w:right="0"/>
      </w:pPr>
      <w:r>
        <w:t>Olhando até para o futuro, e na forma como a integração europeia poderá vir a ocorrer mediante as crises que a Europa atravessa, Pedrou Froufe entende que:</w:t>
      </w:r>
    </w:p>
    <w:p w14:paraId="6A0F706C" w14:textId="77777777" w:rsidR="002C7B1C" w:rsidRDefault="002C7B1C" w:rsidP="006A7F20">
      <w:pPr>
        <w:pBdr>
          <w:top w:val="nil"/>
          <w:left w:val="nil"/>
          <w:bottom w:val="nil"/>
          <w:right w:val="nil"/>
          <w:between w:val="nil"/>
        </w:pBdr>
        <w:ind w:right="0"/>
      </w:pPr>
    </w:p>
    <w:p w14:paraId="7DEDCE13" w14:textId="27AE1557" w:rsidR="002C7B1C" w:rsidRDefault="002C7B1C" w:rsidP="002C7B1C">
      <w:pPr>
        <w:pBdr>
          <w:top w:val="nil"/>
          <w:left w:val="nil"/>
          <w:bottom w:val="nil"/>
          <w:right w:val="nil"/>
          <w:between w:val="nil"/>
        </w:pBdr>
        <w:spacing w:line="240" w:lineRule="auto"/>
        <w:ind w:left="567" w:right="0"/>
        <w:rPr>
          <w:sz w:val="20"/>
          <w:szCs w:val="20"/>
        </w:rPr>
      </w:pPr>
      <w:r w:rsidRPr="002C7B1C">
        <w:rPr>
          <w:sz w:val="20"/>
          <w:szCs w:val="20"/>
        </w:rPr>
        <w:t>Como a União se posicionará diante de crises existenciais de natureza global – e não apenas europeia? Talvez devêssemos também repensar os quadros operacionais e conceituais da integração. Num mundo cada vez mais interligado ou digitalizado de sociedades tecnoindustriais de massa, a unidade política e a adoção de um “modo de vida europeu” comum basear-se-ão, sobretudo, numa cosmovisão democrática partilhada e em valores comuns. O caminho a seguir poderá ser o lançado pelo Presidente Emmanuel Macron: uma “Europa em rede”, uma integração que não se limita à União Europeia. Uma rede europeia de várias organizações, com diferentes níveis de integração, mas todas partilhando os mesmos valores. O lançamento da nova “Comunidade Política Europeia” (ainda a dar os seus primeiros passos) poderá ser um passo no caminho para uma integração “em rede”</w:t>
      </w:r>
      <w:r>
        <w:rPr>
          <w:rStyle w:val="Refdenotaderodap"/>
          <w:sz w:val="20"/>
          <w:szCs w:val="20"/>
        </w:rPr>
        <w:footnoteReference w:id="22"/>
      </w:r>
      <w:r w:rsidRPr="002C7B1C">
        <w:rPr>
          <w:sz w:val="20"/>
          <w:szCs w:val="20"/>
        </w:rPr>
        <w:t>.</w:t>
      </w:r>
    </w:p>
    <w:p w14:paraId="6C4B8159" w14:textId="77777777" w:rsidR="002C7B1C" w:rsidRPr="002C7B1C" w:rsidRDefault="002C7B1C" w:rsidP="002C7B1C">
      <w:pPr>
        <w:pBdr>
          <w:top w:val="nil"/>
          <w:left w:val="nil"/>
          <w:bottom w:val="nil"/>
          <w:right w:val="nil"/>
          <w:between w:val="nil"/>
        </w:pBdr>
        <w:spacing w:line="240" w:lineRule="auto"/>
        <w:ind w:left="567" w:right="0"/>
        <w:rPr>
          <w:sz w:val="20"/>
          <w:szCs w:val="20"/>
        </w:rPr>
      </w:pPr>
    </w:p>
    <w:p w14:paraId="56DC457A" w14:textId="7951FBD7" w:rsidR="00F67AC2" w:rsidRDefault="00F67AC2" w:rsidP="006A7F20">
      <w:pPr>
        <w:pBdr>
          <w:top w:val="nil"/>
          <w:left w:val="nil"/>
          <w:bottom w:val="nil"/>
          <w:right w:val="nil"/>
          <w:between w:val="nil"/>
        </w:pBdr>
        <w:ind w:right="0"/>
      </w:pPr>
      <w:r>
        <w:t xml:space="preserve">Em suma, a evolução da União foi gradual, mas sempre repleta de reestruturações notórias e necessárias à expansão do projecto europeu, que apesar de no seu inicio possuir uma estrutura confederalista, foi aos poucos, expansão a expansão e integração a integração, começando a adoptar traços federalistas, sempre mantendo a soberania dos Estados e reservando a competência destes em diversas matérias, mas como poderemos ver adiante, o modelo hibrido actual da União, com facetas de ambas destas estruturas, não permite caracterizar a União como federal ou confederal, mas como um projecto em constante evolução com tendências para aderir cada vez mais (especialmente face às necessidades geopolíticas, económicas e sociais da época) ao modelo federalista. </w:t>
      </w:r>
    </w:p>
    <w:p w14:paraId="37F46611" w14:textId="77777777" w:rsidR="0019302D" w:rsidRDefault="0019302D">
      <w:pPr>
        <w:pBdr>
          <w:top w:val="nil"/>
          <w:left w:val="nil"/>
          <w:bottom w:val="nil"/>
          <w:right w:val="nil"/>
          <w:between w:val="nil"/>
        </w:pBdr>
        <w:ind w:right="0"/>
      </w:pPr>
    </w:p>
    <w:p w14:paraId="3C2C8924" w14:textId="1A7B02AA" w:rsidR="001F343D" w:rsidRPr="00787C75" w:rsidRDefault="001F343D" w:rsidP="00787C75">
      <w:pPr>
        <w:pStyle w:val="PargrafodaLista"/>
        <w:numPr>
          <w:ilvl w:val="1"/>
          <w:numId w:val="1"/>
        </w:numPr>
        <w:ind w:left="1077" w:right="17"/>
        <w:outlineLvl w:val="1"/>
      </w:pPr>
      <w:bookmarkStart w:id="21" w:name="_Toc221648067"/>
      <w:r w:rsidRPr="00787C75">
        <w:t>Características federais e confederadas da UE</w:t>
      </w:r>
      <w:bookmarkEnd w:id="21"/>
    </w:p>
    <w:p w14:paraId="1B0AD89A" w14:textId="77777777" w:rsidR="001F343D" w:rsidRDefault="001F343D" w:rsidP="001F343D">
      <w:pPr>
        <w:pBdr>
          <w:top w:val="nil"/>
          <w:left w:val="nil"/>
          <w:bottom w:val="nil"/>
          <w:right w:val="nil"/>
          <w:between w:val="nil"/>
        </w:pBdr>
        <w:ind w:right="0"/>
      </w:pPr>
      <w:r>
        <w:t>Ora, como pudemos supra analisar, a evolução da União Europeia desde um bloco estritamente económico para uma união económico-política de Estados, com proporções que não poderiam ser nem foram antevistas (e que justificaram adaptações constantes ao modelo desta organização), ocorreu ao longo de décadas de debate sobre o futuro da União e os seus moldes.</w:t>
      </w:r>
    </w:p>
    <w:p w14:paraId="0A24512F" w14:textId="1AF6D8FF" w:rsidR="001F343D" w:rsidRDefault="001F343D" w:rsidP="001F343D">
      <w:pPr>
        <w:pBdr>
          <w:top w:val="nil"/>
          <w:left w:val="nil"/>
          <w:bottom w:val="nil"/>
          <w:right w:val="nil"/>
          <w:between w:val="nil"/>
        </w:pBdr>
        <w:ind w:right="0"/>
      </w:pPr>
      <w:r>
        <w:t>Eventualmente a União Europeia foi adoptando cada vez mais traços federalistas, sem nunca chegar ao nível dos EUA, Alemanha ou Brasil, mas sempre com características reconhecíveis o suficiente à luz das definições de federalismo supra abordadas.</w:t>
      </w:r>
    </w:p>
    <w:p w14:paraId="2E4B2542" w14:textId="77777777" w:rsidR="001F343D" w:rsidRDefault="001F343D" w:rsidP="001F343D">
      <w:pPr>
        <w:pBdr>
          <w:top w:val="nil"/>
          <w:left w:val="nil"/>
          <w:bottom w:val="nil"/>
          <w:right w:val="nil"/>
          <w:between w:val="nil"/>
        </w:pBdr>
        <w:ind w:right="0"/>
      </w:pPr>
      <w:r>
        <w:t>Aliás, a própria União já nem pode ser considerada como um mero ente especializado e de carácter delegado, enquanto organização administrativa de tipo internacional.</w:t>
      </w:r>
    </w:p>
    <w:p w14:paraId="13E11CC3" w14:textId="44F72F22" w:rsidR="001F343D" w:rsidRDefault="001F343D" w:rsidP="001F343D">
      <w:pPr>
        <w:pBdr>
          <w:top w:val="nil"/>
          <w:left w:val="nil"/>
          <w:bottom w:val="nil"/>
          <w:right w:val="nil"/>
          <w:between w:val="nil"/>
        </w:pBdr>
        <w:ind w:right="0"/>
      </w:pPr>
      <w:r>
        <w:t>Isto porque a União dispõe cada vez mais de um conjunto de competências gerais, de cariz crescentemente político, que actua por dentro dos Estados-</w:t>
      </w:r>
      <w:r w:rsidR="00AF5DBD">
        <w:t>M</w:t>
      </w:r>
      <w:r>
        <w:t>embros e sobre toda a esfera de acção destes, não somente sobre áreas especificas.</w:t>
      </w:r>
    </w:p>
    <w:p w14:paraId="3E1918C4" w14:textId="77777777" w:rsidR="001F343D" w:rsidRDefault="001F343D" w:rsidP="001F343D">
      <w:pPr>
        <w:pBdr>
          <w:top w:val="nil"/>
          <w:left w:val="nil"/>
          <w:bottom w:val="nil"/>
          <w:right w:val="nil"/>
          <w:between w:val="nil"/>
        </w:pBdr>
        <w:ind w:right="0"/>
      </w:pPr>
      <w:r>
        <w:t>A isto acresce o facto de que a UE, enquanto união de povos e não de Estados (conforme o artigo 3.º da TUE), diferencia-se de outras organizações internacionais ao abranger sujeitos activos e passivos, na forma dos Estados e dos cidadãos europeus.</w:t>
      </w:r>
    </w:p>
    <w:p w14:paraId="63D7EC52" w14:textId="77777777" w:rsidR="001F343D" w:rsidRDefault="001F343D" w:rsidP="001F343D">
      <w:pPr>
        <w:pBdr>
          <w:top w:val="nil"/>
          <w:left w:val="nil"/>
          <w:bottom w:val="nil"/>
          <w:right w:val="nil"/>
          <w:between w:val="nil"/>
        </w:pBdr>
        <w:ind w:right="0"/>
      </w:pPr>
      <w:r>
        <w:t>Assim que, a União não pode ser caracterizada como uma mera organização governamental.</w:t>
      </w:r>
    </w:p>
    <w:p w14:paraId="6D91ECD0" w14:textId="77777777" w:rsidR="001F343D" w:rsidRDefault="001F343D" w:rsidP="001F343D">
      <w:pPr>
        <w:pBdr>
          <w:top w:val="nil"/>
          <w:left w:val="nil"/>
          <w:bottom w:val="nil"/>
          <w:right w:val="nil"/>
          <w:between w:val="nil"/>
        </w:pBdr>
        <w:ind w:right="0"/>
      </w:pPr>
      <w:r>
        <w:t>O sistema híbrido da União Europeia apresenta por isso diversas problemáticas sobre qual a qualificação que deveria receber, não sendo absurdo considerar que na sua forma actual, a União esteja somente a transformar-se num modelo que seja mais reconhecível dentro daquilo que é o direito internacional e a ciência política.</w:t>
      </w:r>
    </w:p>
    <w:p w14:paraId="1236DE67" w14:textId="77777777" w:rsidR="001F343D" w:rsidRDefault="001F343D" w:rsidP="001F343D">
      <w:pPr>
        <w:pBdr>
          <w:top w:val="nil"/>
          <w:left w:val="nil"/>
          <w:bottom w:val="nil"/>
          <w:right w:val="nil"/>
          <w:between w:val="nil"/>
        </w:pBdr>
        <w:ind w:right="0"/>
      </w:pPr>
      <w:r>
        <w:t xml:space="preserve">Isto porque as constantes evoluções da União tem levado a mesma cada vez mais a adquirir moldes federais, sendo que a própria </w:t>
      </w:r>
      <w:r w:rsidRPr="00AA14BC">
        <w:t>“constitucionalização”</w:t>
      </w:r>
      <w:r>
        <w:t xml:space="preserve"> dos tratados evoca, só por si, uma paralela federalização progressiva da UE, ainda que sem Estado nem termo exacto ou meta a longo prazo. </w:t>
      </w:r>
    </w:p>
    <w:p w14:paraId="55FB5213" w14:textId="72314F54" w:rsidR="003C496D" w:rsidRDefault="001F343D">
      <w:pPr>
        <w:pBdr>
          <w:top w:val="nil"/>
          <w:left w:val="nil"/>
          <w:bottom w:val="nil"/>
          <w:right w:val="nil"/>
          <w:between w:val="nil"/>
        </w:pBdr>
        <w:ind w:right="0"/>
      </w:pPr>
      <w:r>
        <w:t xml:space="preserve">Os princípios do primado, do efeito directo e da preempção pelo direito </w:t>
      </w:r>
      <w:r w:rsidR="00311CD0">
        <w:t>da União</w:t>
      </w:r>
      <w:r>
        <w:t>, inclusive, inclinam para a preferência teórica de uma ideia federalista, em relação a uma mera associação de Estados.</w:t>
      </w:r>
    </w:p>
    <w:p w14:paraId="0096B800" w14:textId="77777777" w:rsidR="00311CD0" w:rsidRDefault="00311CD0">
      <w:pPr>
        <w:pBdr>
          <w:top w:val="nil"/>
          <w:left w:val="nil"/>
          <w:bottom w:val="nil"/>
          <w:right w:val="nil"/>
          <w:between w:val="nil"/>
        </w:pBdr>
        <w:ind w:right="0"/>
      </w:pPr>
    </w:p>
    <w:p w14:paraId="40866EA4" w14:textId="0AD3494B" w:rsidR="001F343D" w:rsidRPr="00787C75" w:rsidRDefault="001F343D" w:rsidP="00787C75">
      <w:pPr>
        <w:pStyle w:val="PargrafodaLista"/>
        <w:numPr>
          <w:ilvl w:val="2"/>
          <w:numId w:val="1"/>
        </w:numPr>
        <w:ind w:left="1077" w:right="17"/>
        <w:outlineLvl w:val="2"/>
        <w:rPr>
          <w:u w:val="single"/>
        </w:rPr>
      </w:pPr>
      <w:bookmarkStart w:id="22" w:name="_Toc221648068"/>
      <w:r w:rsidRPr="00787C75">
        <w:rPr>
          <w:u w:val="single"/>
        </w:rPr>
        <w:t>Características federais</w:t>
      </w:r>
      <w:bookmarkEnd w:id="22"/>
    </w:p>
    <w:p w14:paraId="21DB4695" w14:textId="139F577E" w:rsidR="001F343D" w:rsidRDefault="003773E4" w:rsidP="003773E4">
      <w:pPr>
        <w:pBdr>
          <w:top w:val="nil"/>
          <w:left w:val="nil"/>
          <w:bottom w:val="nil"/>
          <w:right w:val="nil"/>
          <w:between w:val="nil"/>
        </w:pBdr>
        <w:ind w:right="0"/>
      </w:pPr>
      <w:r>
        <w:t>A mais notória destas características, é a p</w:t>
      </w:r>
      <w:r w:rsidR="001F343D">
        <w:t xml:space="preserve">rimazia do Direito </w:t>
      </w:r>
      <w:r>
        <w:t>da União Europeia.</w:t>
      </w:r>
    </w:p>
    <w:p w14:paraId="742F7D05" w14:textId="1C8D9713" w:rsidR="001F343D" w:rsidRDefault="001F343D" w:rsidP="001F343D">
      <w:pPr>
        <w:pBdr>
          <w:top w:val="nil"/>
          <w:left w:val="nil"/>
          <w:bottom w:val="nil"/>
          <w:right w:val="nil"/>
          <w:between w:val="nil"/>
        </w:pBdr>
        <w:ind w:right="0"/>
      </w:pPr>
      <w:r>
        <w:t xml:space="preserve">De forma a garantir a viabilização e aplicação das normas </w:t>
      </w:r>
      <w:r w:rsidR="003773E4">
        <w:t>da UE</w:t>
      </w:r>
      <w:r>
        <w:t>, entendeu-se dar primazia a estas sobre o direito nacional dos Estados</w:t>
      </w:r>
      <w:r w:rsidR="00E524C4">
        <w:t>-M</w:t>
      </w:r>
      <w:r>
        <w:t>embros.</w:t>
      </w:r>
    </w:p>
    <w:p w14:paraId="44EEF2D9" w14:textId="1F94E0E5" w:rsidR="00AA14BC" w:rsidRDefault="001F343D" w:rsidP="001F343D">
      <w:pPr>
        <w:pBdr>
          <w:top w:val="nil"/>
          <w:left w:val="nil"/>
          <w:bottom w:val="nil"/>
          <w:right w:val="nil"/>
          <w:between w:val="nil"/>
        </w:pBdr>
        <w:ind w:right="0"/>
      </w:pPr>
      <w:r>
        <w:t>Conforme o próprio EUR-LEX</w:t>
      </w:r>
      <w:r w:rsidR="00510876">
        <w:t>, enquanto</w:t>
      </w:r>
      <w:r w:rsidR="00510876" w:rsidRPr="00510876">
        <w:t xml:space="preserve"> portal de acesso em linha à legislação da </w:t>
      </w:r>
      <w:r w:rsidR="00510876">
        <w:t>UE, que c</w:t>
      </w:r>
      <w:r w:rsidR="00510876" w:rsidRPr="00510876">
        <w:t xml:space="preserve">onstitui o meio de acesso oficial e mais completo aos documentos jurídicos da </w:t>
      </w:r>
      <w:r w:rsidR="00510876">
        <w:t>U</w:t>
      </w:r>
      <w:r w:rsidR="00BA73FD">
        <w:t>E</w:t>
      </w:r>
      <w:r w:rsidR="00510876">
        <w:t>,</w:t>
      </w:r>
      <w:r>
        <w:t xml:space="preserve"> indica</w:t>
      </w:r>
      <w:r w:rsidR="00AA14BC">
        <w:t>:</w:t>
      </w:r>
      <w:r>
        <w:t xml:space="preserve"> </w:t>
      </w:r>
    </w:p>
    <w:p w14:paraId="4F0C46F0" w14:textId="77777777" w:rsidR="00AA14BC" w:rsidRDefault="00AA14BC" w:rsidP="001F343D">
      <w:pPr>
        <w:pBdr>
          <w:top w:val="nil"/>
          <w:left w:val="nil"/>
          <w:bottom w:val="nil"/>
          <w:right w:val="nil"/>
          <w:between w:val="nil"/>
        </w:pBdr>
        <w:ind w:right="0"/>
      </w:pPr>
    </w:p>
    <w:p w14:paraId="5CDC202D" w14:textId="33BDF007" w:rsidR="001F343D" w:rsidRPr="00AA14BC" w:rsidRDefault="00AA14BC" w:rsidP="00AA14BC">
      <w:pPr>
        <w:pBdr>
          <w:top w:val="nil"/>
          <w:left w:val="nil"/>
          <w:bottom w:val="nil"/>
          <w:right w:val="nil"/>
          <w:between w:val="nil"/>
        </w:pBdr>
        <w:spacing w:line="240" w:lineRule="auto"/>
        <w:ind w:left="567" w:right="0"/>
        <w:rPr>
          <w:sz w:val="20"/>
          <w:szCs w:val="20"/>
        </w:rPr>
      </w:pPr>
      <w:r w:rsidRPr="00AA14BC">
        <w:rPr>
          <w:sz w:val="20"/>
          <w:szCs w:val="20"/>
        </w:rPr>
        <w:t>O</w:t>
      </w:r>
      <w:r w:rsidR="001F343D" w:rsidRPr="00AA14BC">
        <w:rPr>
          <w:sz w:val="20"/>
          <w:szCs w:val="20"/>
        </w:rPr>
        <w:t xml:space="preserve"> princípio do primado (também designado «prevalência» ou «supremacia») do direito da União Europeia (UE) assenta na ideia de que sempre que haja um conflito entre uma matéria do direito da UE e uma matéria do direito de um Estado-Membro da UE (direito nacional), prevalece o direito da UE. Se assim não fosse, os Estados-Membros poderiam simplesmente fazer prevalecer as suas leis nacionais sobre o direito primário ou derivado da UE, acabando deste modo por inviabilizar as políticas da </w:t>
      </w:r>
      <w:r w:rsidRPr="00AA14BC">
        <w:rPr>
          <w:sz w:val="20"/>
          <w:szCs w:val="20"/>
        </w:rPr>
        <w:t xml:space="preserve">UE </w:t>
      </w:r>
      <w:r w:rsidR="00760402" w:rsidRPr="00AA14BC">
        <w:rPr>
          <w:rStyle w:val="Refdenotaderodap"/>
          <w:sz w:val="20"/>
          <w:szCs w:val="20"/>
        </w:rPr>
        <w:footnoteReference w:id="23"/>
      </w:r>
      <w:r w:rsidR="001F343D" w:rsidRPr="00AA14BC">
        <w:rPr>
          <w:sz w:val="20"/>
          <w:szCs w:val="20"/>
        </w:rPr>
        <w:t>.</w:t>
      </w:r>
    </w:p>
    <w:p w14:paraId="155D1E80" w14:textId="77777777" w:rsidR="00AA14BC" w:rsidRPr="00AA14BC" w:rsidRDefault="00AA14BC" w:rsidP="001F343D">
      <w:pPr>
        <w:pBdr>
          <w:top w:val="nil"/>
          <w:left w:val="nil"/>
          <w:bottom w:val="nil"/>
          <w:right w:val="nil"/>
          <w:between w:val="nil"/>
        </w:pBdr>
        <w:ind w:right="0"/>
      </w:pPr>
    </w:p>
    <w:p w14:paraId="03CB45D4" w14:textId="6CA05117" w:rsidR="001F343D" w:rsidRDefault="001F343D" w:rsidP="001F343D">
      <w:pPr>
        <w:pBdr>
          <w:top w:val="nil"/>
          <w:left w:val="nil"/>
          <w:bottom w:val="nil"/>
          <w:right w:val="nil"/>
          <w:between w:val="nil"/>
        </w:pBdr>
        <w:ind w:right="0"/>
      </w:pPr>
      <w:r>
        <w:t>Assim, as normas da União serão sempre aplicadas pelos Estados-</w:t>
      </w:r>
      <w:r w:rsidR="00E524C4">
        <w:t>M</w:t>
      </w:r>
      <w:r>
        <w:t xml:space="preserve">embros e é atingida uma sintonização das diversas leis nacionais com os interesses </w:t>
      </w:r>
      <w:r w:rsidR="00311CD0">
        <w:t>da União</w:t>
      </w:r>
      <w:r>
        <w:t>.</w:t>
      </w:r>
    </w:p>
    <w:p w14:paraId="09A33EC4" w14:textId="6994219A" w:rsidR="007A301F" w:rsidRDefault="007A301F" w:rsidP="001F343D">
      <w:pPr>
        <w:pBdr>
          <w:top w:val="nil"/>
          <w:left w:val="nil"/>
          <w:bottom w:val="nil"/>
          <w:right w:val="nil"/>
          <w:between w:val="nil"/>
        </w:pBdr>
        <w:ind w:right="0"/>
      </w:pPr>
      <w:r>
        <w:t xml:space="preserve">A própria Constituição portuguesa, por imposição europeia, transformou-se numa espécie de </w:t>
      </w:r>
      <w:r w:rsidRPr="00AA14BC">
        <w:t>“obra em construção”</w:t>
      </w:r>
      <w:r w:rsidR="0018158D" w:rsidRPr="00AA14BC">
        <w:t>,</w:t>
      </w:r>
      <w:r w:rsidR="0018158D">
        <w:t xml:space="preserve"> ampla, generosa e com um grau de abertura consentido pelo seu texto constitucional, sucessivamente modificado e retocado às exigências do primado e da eficácia directa no quadro da articulação entre a ordem jurídica nacional e a </w:t>
      </w:r>
      <w:r w:rsidR="003773E4">
        <w:t>da UE</w:t>
      </w:r>
      <w:r w:rsidR="0018158D">
        <w:t>.</w:t>
      </w:r>
    </w:p>
    <w:p w14:paraId="7DB13A05" w14:textId="43DF73C2" w:rsidR="0018158D" w:rsidRDefault="0018158D" w:rsidP="001F343D">
      <w:pPr>
        <w:pBdr>
          <w:top w:val="nil"/>
          <w:left w:val="nil"/>
          <w:bottom w:val="nil"/>
          <w:right w:val="nil"/>
          <w:between w:val="nil"/>
        </w:pBdr>
        <w:ind w:right="0"/>
      </w:pPr>
      <w:r>
        <w:t>Nos termos do artigo 8.º</w:t>
      </w:r>
      <w:r w:rsidR="00070F0D">
        <w:t>,</w:t>
      </w:r>
      <w:r>
        <w:t xml:space="preserve"> n.º 4, as disposições dos Tratados que regem a União, enquanto direito primário, e todos os actos jurídicos emanados das suas instituições no exercício das suas competências, são aplicáveis na ordem interna, de forma a conectar a ordem jurídica nacional com a da União, garantindo que esta prevalece sobre a interna em situação de colisão e que é directamente aplicável, passando a vigorar na ordem jurídica do Estado-Membro, assim que se inicia a sua vigência na ordem jurídica da União, com exclusão de actos internos de recepção ou transposição.</w:t>
      </w:r>
    </w:p>
    <w:p w14:paraId="628A200A" w14:textId="70795CF0" w:rsidR="0018158D" w:rsidRDefault="0018158D" w:rsidP="001F343D">
      <w:pPr>
        <w:pBdr>
          <w:top w:val="nil"/>
          <w:left w:val="nil"/>
          <w:bottom w:val="nil"/>
          <w:right w:val="nil"/>
          <w:between w:val="nil"/>
        </w:pBdr>
        <w:ind w:right="0"/>
      </w:pPr>
      <w:r>
        <w:t>Por fim, a norma eurocomunitária, no âmbito dos pressupostos do efeito directo, como a sua natureza clara, precisa e incondicional, é fonte de direitos e deveres para os particulares, que a podem invocar junto dos tribunais nacionais</w:t>
      </w:r>
      <w:r w:rsidR="003618C5">
        <w:rPr>
          <w:rStyle w:val="Refdenotaderodap"/>
        </w:rPr>
        <w:footnoteReference w:id="24"/>
      </w:r>
      <w:r>
        <w:t>.</w:t>
      </w:r>
    </w:p>
    <w:p w14:paraId="201CDD6C" w14:textId="5B009A22" w:rsidR="002F3D1F" w:rsidRDefault="002F3D1F" w:rsidP="001F343D">
      <w:pPr>
        <w:pBdr>
          <w:top w:val="nil"/>
          <w:left w:val="nil"/>
          <w:bottom w:val="nil"/>
          <w:right w:val="nil"/>
          <w:between w:val="nil"/>
        </w:pBdr>
        <w:ind w:right="0"/>
      </w:pPr>
      <w:r>
        <w:t xml:space="preserve">Este </w:t>
      </w:r>
      <w:r w:rsidR="001159D2">
        <w:t>princípio</w:t>
      </w:r>
      <w:r>
        <w:t xml:space="preserve"> do efeito direto, a par do </w:t>
      </w:r>
      <w:r w:rsidR="001159D2">
        <w:t>princípio</w:t>
      </w:r>
      <w:r>
        <w:t xml:space="preserve"> do primado, é considerado um passo fundamental na criação de uma nova ordem jurídica europeia, mantendo-se </w:t>
      </w:r>
      <w:r w:rsidR="001159D2">
        <w:t>incontestável ao longo dos anos, sendo universalmente aceite pelos Estados-Membros e pelos seus tribunais nacionais, o que justifica nunca ter existido uma tentativa de abordar este princípio em nenhuma das revisões dos Tratados.</w:t>
      </w:r>
    </w:p>
    <w:p w14:paraId="66D81026" w14:textId="24116689" w:rsidR="001159D2" w:rsidRDefault="001159D2" w:rsidP="001F343D">
      <w:pPr>
        <w:pBdr>
          <w:top w:val="nil"/>
          <w:left w:val="nil"/>
          <w:bottom w:val="nil"/>
          <w:right w:val="nil"/>
          <w:between w:val="nil"/>
        </w:pBdr>
        <w:ind w:right="0"/>
      </w:pPr>
      <w:r>
        <w:t xml:space="preserve">Elaborado pelo Tribunal de Justiça no </w:t>
      </w:r>
      <w:r>
        <w:rPr>
          <w:i/>
          <w:iCs/>
        </w:rPr>
        <w:t>A</w:t>
      </w:r>
      <w:r w:rsidRPr="001159D2">
        <w:rPr>
          <w:i/>
          <w:iCs/>
        </w:rPr>
        <w:t>córdão Van Gend en Loos</w:t>
      </w:r>
      <w:r>
        <w:t xml:space="preserve">, entendeu este que para o artigo 12.º do Tratado CEE (actual artigo 30.º do TFUE) poder ser aplicado, tem que ser reconhecida a primazia das normas europeias sobre as normas nacionais, bem como o seu efeito directo, tornando-se o primado, nada mais do que o corolário do reconhecimento de efeito directo às normas da União, entendendo-se assim, que o efeito </w:t>
      </w:r>
      <w:r w:rsidR="008F70D1">
        <w:t>directo</w:t>
      </w:r>
      <w:r>
        <w:t xml:space="preserve"> e o primado são não só essenciais para garantir a eficácia do direito da União, como</w:t>
      </w:r>
      <w:r w:rsidR="008F70D1">
        <w:t xml:space="preserve"> para garantir a sua sobrevivência </w:t>
      </w:r>
      <w:r w:rsidR="008F70D1">
        <w:rPr>
          <w:rStyle w:val="Refdenotaderodap"/>
        </w:rPr>
        <w:footnoteReference w:id="25"/>
      </w:r>
      <w:r w:rsidR="008F70D1">
        <w:t>.</w:t>
      </w:r>
      <w:r>
        <w:t xml:space="preserve"> </w:t>
      </w:r>
    </w:p>
    <w:p w14:paraId="19C5049A" w14:textId="30EDC217" w:rsidR="00CC23BE" w:rsidRDefault="00B66EAC" w:rsidP="001F343D">
      <w:pPr>
        <w:pBdr>
          <w:top w:val="nil"/>
          <w:left w:val="nil"/>
          <w:bottom w:val="nil"/>
          <w:right w:val="nil"/>
          <w:between w:val="nil"/>
        </w:pBdr>
        <w:ind w:right="0"/>
      </w:pPr>
      <w:r>
        <w:t xml:space="preserve">Ora, caso um Estado-Membro não cumpra o direito </w:t>
      </w:r>
      <w:r w:rsidR="003773E4">
        <w:t>da União</w:t>
      </w:r>
      <w:r>
        <w:t>, tal não implica que estes particulares sejam desprovidos destes direitos</w:t>
      </w:r>
      <w:r w:rsidR="00CC23BE">
        <w:t xml:space="preserve">, até porque no âmbito dos princípios do efeito directo e da prevalência na aplicação, reconhecidos pelo TJUE e aceites pelas ordens jurídicas dos Estados-Membros, os particulares tem este direito de invocar as normas </w:t>
      </w:r>
      <w:r w:rsidR="003773E4">
        <w:t>europeias</w:t>
      </w:r>
      <w:r w:rsidR="00CC23BE">
        <w:t xml:space="preserve"> dotadas de efeito direto.</w:t>
      </w:r>
    </w:p>
    <w:p w14:paraId="37DB3129" w14:textId="4FC6607C" w:rsidR="00CC23BE" w:rsidRDefault="00CC23BE" w:rsidP="001F343D">
      <w:pPr>
        <w:pBdr>
          <w:top w:val="nil"/>
          <w:left w:val="nil"/>
          <w:bottom w:val="nil"/>
          <w:right w:val="nil"/>
          <w:between w:val="nil"/>
        </w:pBdr>
        <w:ind w:right="0"/>
      </w:pPr>
      <w:r>
        <w:t>Porém, esta via nacional de garantia da efectividade do direito europeu não oferece protecção completa aos particulares, especialmente quando as normas não cumpridas pelos Estados-Membros não usufruem de efeito directo, por não serem reconhecidos aos particulares, direitos de forma precisa e incondicional.</w:t>
      </w:r>
    </w:p>
    <w:p w14:paraId="26423B0A" w14:textId="0F5ABB7F" w:rsidR="00CC23BE" w:rsidRDefault="00CC23BE" w:rsidP="001F343D">
      <w:pPr>
        <w:pBdr>
          <w:top w:val="nil"/>
          <w:left w:val="nil"/>
          <w:bottom w:val="nil"/>
          <w:right w:val="nil"/>
          <w:between w:val="nil"/>
        </w:pBdr>
        <w:ind w:right="0"/>
      </w:pPr>
      <w:r>
        <w:t>Por outro lado, mesmo que providas de efeito directo, o reconhecimento judicial pelas jurisdições dos Estados-Membros não permite uma total reparação dos prejuízos sofridos pelos particulares.</w:t>
      </w:r>
    </w:p>
    <w:p w14:paraId="29BA6E1A" w14:textId="0DEA6359" w:rsidR="00CC23BE" w:rsidRDefault="00CC23BE" w:rsidP="001F343D">
      <w:pPr>
        <w:pBdr>
          <w:top w:val="nil"/>
          <w:left w:val="nil"/>
          <w:bottom w:val="nil"/>
          <w:right w:val="nil"/>
          <w:between w:val="nil"/>
        </w:pBdr>
        <w:ind w:right="0"/>
      </w:pPr>
      <w:r>
        <w:t>Assim, o TJUE, de forma a eliminar estas consequências jurídicas resultantes do incumprimento estadual, reconheceu o princípio da responsabilidade do Estado por violação do direito da União.</w:t>
      </w:r>
    </w:p>
    <w:p w14:paraId="3A883CE8" w14:textId="4B02A6B3" w:rsidR="00CC23BE" w:rsidRDefault="00CC23BE" w:rsidP="001F343D">
      <w:pPr>
        <w:pBdr>
          <w:top w:val="nil"/>
          <w:left w:val="nil"/>
          <w:bottom w:val="nil"/>
          <w:right w:val="nil"/>
          <w:between w:val="nil"/>
        </w:pBdr>
        <w:ind w:right="0"/>
      </w:pPr>
      <w:r>
        <w:t>Neste âmbito, o TJUE reconhece aos particulares, um direito subjectivo à reparação, imposto pela obrigação de cooperação leal dos Estados-</w:t>
      </w:r>
      <w:r w:rsidR="00BA73FD">
        <w:t>M</w:t>
      </w:r>
      <w:r>
        <w:t>embros, nos termos do artigo 4.º, n.º 3</w:t>
      </w:r>
      <w:r w:rsidR="003773E4">
        <w:t>,</w:t>
      </w:r>
      <w:r>
        <w:t xml:space="preserve"> do TUE (anterior artigo 10.º da CE).</w:t>
      </w:r>
    </w:p>
    <w:p w14:paraId="2C4D3B5B" w14:textId="59AFF668" w:rsidR="005F4619" w:rsidRDefault="005F4619" w:rsidP="001F343D">
      <w:pPr>
        <w:pBdr>
          <w:top w:val="nil"/>
          <w:left w:val="nil"/>
          <w:bottom w:val="nil"/>
          <w:right w:val="nil"/>
          <w:between w:val="nil"/>
        </w:pBdr>
        <w:ind w:right="0"/>
      </w:pPr>
      <w:r>
        <w:t>Embora não se exija culpa a título de dolo ou negligencia, como pressuposto desta responsabilidade, o TJUE formulou alguns critérios para que esta se verifique.</w:t>
      </w:r>
    </w:p>
    <w:p w14:paraId="13A1802F" w14:textId="36A55B41" w:rsidR="00CC23BE" w:rsidRDefault="005F4619" w:rsidP="001F343D">
      <w:pPr>
        <w:pBdr>
          <w:top w:val="nil"/>
          <w:left w:val="nil"/>
          <w:bottom w:val="nil"/>
          <w:right w:val="nil"/>
          <w:between w:val="nil"/>
        </w:pBdr>
        <w:ind w:right="0"/>
      </w:pPr>
      <w:r>
        <w:t>Deve-se tratar de um violação grave e manifesta dos limites impostos ao seu poder de apreciação, que dependerá, entre outros factores, do grau de clareza e precisão da norma violada, da margem de apreciação das autoridades nacionais, da intencionalidade ou involuntariedade do incumprimento ou do prejuízo, da desculpabilidade ou não de eventual erro de direito e da contribuição dos órgãos da União para o incumprimento estadual</w:t>
      </w:r>
      <w:r>
        <w:rPr>
          <w:rStyle w:val="Refdenotaderodap"/>
        </w:rPr>
        <w:footnoteReference w:id="26"/>
      </w:r>
      <w:r>
        <w:t xml:space="preserve">. </w:t>
      </w:r>
    </w:p>
    <w:p w14:paraId="26C3B5C1" w14:textId="50A0BABB" w:rsidR="005F4619" w:rsidRDefault="005F4619" w:rsidP="001F343D">
      <w:pPr>
        <w:pBdr>
          <w:top w:val="nil"/>
          <w:left w:val="nil"/>
          <w:bottom w:val="nil"/>
          <w:right w:val="nil"/>
          <w:between w:val="nil"/>
        </w:pBdr>
        <w:ind w:right="0"/>
      </w:pPr>
      <w:r>
        <w:t xml:space="preserve">Ou seja, mesmo que os Estados não cumpram com o direito </w:t>
      </w:r>
      <w:r w:rsidR="003773E4">
        <w:t>da UE</w:t>
      </w:r>
      <w:r>
        <w:t>, os particulares não se vêem privados dos direitos que lhes são conferidos pela União, sendo-lhes até atribuído um direito à reparação, quando os seus respectivos Estados-Membros não cumpram com o direito europeu.</w:t>
      </w:r>
    </w:p>
    <w:p w14:paraId="28428393" w14:textId="204ECFFC" w:rsidR="001F343D" w:rsidRDefault="001F343D" w:rsidP="001F343D">
      <w:pPr>
        <w:pBdr>
          <w:top w:val="nil"/>
          <w:left w:val="nil"/>
          <w:bottom w:val="nil"/>
          <w:right w:val="nil"/>
          <w:between w:val="nil"/>
        </w:pBdr>
        <w:ind w:right="0"/>
      </w:pPr>
      <w:r>
        <w:t>Conforme o artigo 17.º</w:t>
      </w:r>
      <w:r w:rsidR="00070F0D">
        <w:t>,</w:t>
      </w:r>
      <w:r>
        <w:t xml:space="preserve"> n.º 2</w:t>
      </w:r>
      <w:r w:rsidR="00510876">
        <w:t>,</w:t>
      </w:r>
      <w:r>
        <w:t xml:space="preserve"> do Tratado de Lisboa, os actos legislativos da União só podem ser adoptados sob proposta da Comissão Europeia, que depois vai apresentar uma proposta legislativa ao Parlamento Europeu e ao Conselho Europeu, que devem aprovar o texto para que este passe a ser um acto legislativo da </w:t>
      </w:r>
      <w:r w:rsidR="00442A3C">
        <w:t>UE</w:t>
      </w:r>
      <w:r>
        <w:t>, conforme artigos 14.º e seguintes do mesmo tratado</w:t>
      </w:r>
      <w:r w:rsidR="00AF7A48">
        <w:rPr>
          <w:rStyle w:val="Refdenotaderodap"/>
        </w:rPr>
        <w:footnoteReference w:id="27"/>
      </w:r>
      <w:r>
        <w:t xml:space="preserve">. </w:t>
      </w:r>
    </w:p>
    <w:p w14:paraId="1ABE62AA" w14:textId="4A5EF682" w:rsidR="001F343D" w:rsidRDefault="001F343D" w:rsidP="001F343D">
      <w:pPr>
        <w:pBdr>
          <w:top w:val="nil"/>
          <w:left w:val="nil"/>
          <w:bottom w:val="nil"/>
          <w:right w:val="nil"/>
          <w:between w:val="nil"/>
        </w:pBdr>
        <w:ind w:right="0"/>
      </w:pPr>
      <w:r>
        <w:t>Tanto na Comissão, como no Parlamento e Conselho, existe uma representação dos diversos Estados-</w:t>
      </w:r>
      <w:r w:rsidR="003773E4">
        <w:t>M</w:t>
      </w:r>
      <w:r>
        <w:t>embros, seja na forma de representantes dos cidadãos da União, eleitos por sufrágio universal, directo, livre e secreto, por um mandato de cinco anos no Parlamento (artigo 14.º</w:t>
      </w:r>
      <w:r w:rsidR="00070F0D">
        <w:t>,</w:t>
      </w:r>
      <w:r>
        <w:t xml:space="preserve"> n.º 2 e 3</w:t>
      </w:r>
      <w:r w:rsidR="003773E4">
        <w:t>,</w:t>
      </w:r>
      <w:r>
        <w:t xml:space="preserve"> do Tratado de Lisboa), na forma de Chefes de Estado ou de Governo dos Estados-Membros no Conselho (artigo 15.º</w:t>
      </w:r>
      <w:r w:rsidR="001E058A">
        <w:t xml:space="preserve">, </w:t>
      </w:r>
      <w:r>
        <w:t>n.º 2</w:t>
      </w:r>
      <w:r w:rsidR="003773E4">
        <w:t>,</w:t>
      </w:r>
      <w:r>
        <w:t xml:space="preserve"> do Tratado de Lisboa), ou por nacionais dos Estados-Membros escolhidos em função da sua competência geral e do seu empenhamento europeu de entre personalidades que ofereçam todas as garantias de independência enquanto membros da Comissão (artigo 17.º</w:t>
      </w:r>
      <w:r w:rsidR="001E058A">
        <w:t xml:space="preserve">, </w:t>
      </w:r>
      <w:r>
        <w:t>n.º 3 e 5</w:t>
      </w:r>
      <w:r w:rsidR="003773E4">
        <w:t>,</w:t>
      </w:r>
      <w:r>
        <w:t xml:space="preserve"> do Tratado de Lisboa).</w:t>
      </w:r>
    </w:p>
    <w:p w14:paraId="14DBD972" w14:textId="63D17DD1" w:rsidR="001F343D" w:rsidRDefault="001F343D" w:rsidP="001F343D">
      <w:pPr>
        <w:pBdr>
          <w:top w:val="nil"/>
          <w:left w:val="nil"/>
          <w:bottom w:val="nil"/>
          <w:right w:val="nil"/>
          <w:between w:val="nil"/>
        </w:pBdr>
        <w:ind w:right="0"/>
      </w:pPr>
      <w:r>
        <w:t>Assim que todos os Estados-</w:t>
      </w:r>
      <w:r w:rsidR="00E524C4">
        <w:t>M</w:t>
      </w:r>
      <w:r>
        <w:t xml:space="preserve">embros são representados na UE e participam </w:t>
      </w:r>
      <w:r w:rsidR="00556F99">
        <w:t>activamente</w:t>
      </w:r>
      <w:r>
        <w:t xml:space="preserve"> no processo legislativo, não só conferindo a estas instituições um nível elevado de poder sobre os países membros da União, mas também realçando o papel unificador da UE, cujas instituições detém agora primazia legislativa sobre os seus Estados-</w:t>
      </w:r>
      <w:r w:rsidR="00E524C4">
        <w:t>M</w:t>
      </w:r>
      <w:r>
        <w:t>embros.</w:t>
      </w:r>
    </w:p>
    <w:p w14:paraId="51319B0B" w14:textId="77777777" w:rsidR="001F343D" w:rsidRDefault="001F343D" w:rsidP="001F343D">
      <w:pPr>
        <w:pBdr>
          <w:top w:val="nil"/>
          <w:left w:val="nil"/>
          <w:bottom w:val="nil"/>
          <w:right w:val="nil"/>
          <w:between w:val="nil"/>
        </w:pBdr>
        <w:ind w:right="0"/>
      </w:pPr>
      <w:r>
        <w:t>Remete-se assim para a ideia tão característica do modelo federalista, de haver um poder de carácter central, assumido neste caso pelas instituições da União e um poder de carácter local, assumido pelas Assembleias nacionais.</w:t>
      </w:r>
    </w:p>
    <w:p w14:paraId="5797F898" w14:textId="0E439986" w:rsidR="002C077E" w:rsidRDefault="001F343D" w:rsidP="001F343D">
      <w:pPr>
        <w:pBdr>
          <w:top w:val="nil"/>
          <w:left w:val="nil"/>
          <w:bottom w:val="nil"/>
          <w:right w:val="nil"/>
          <w:between w:val="nil"/>
        </w:pBdr>
        <w:ind w:right="0"/>
      </w:pPr>
      <w:r>
        <w:t xml:space="preserve">Um exemplo claro desta primazia é o </w:t>
      </w:r>
      <w:r w:rsidR="00442A3C" w:rsidRPr="00BA73FD">
        <w:rPr>
          <w:i/>
          <w:iCs/>
        </w:rPr>
        <w:t>P</w:t>
      </w:r>
      <w:r w:rsidRPr="00BA73FD">
        <w:rPr>
          <w:i/>
          <w:iCs/>
        </w:rPr>
        <w:t>rocesso 6/64</w:t>
      </w:r>
      <w:r w:rsidR="002C077E" w:rsidRPr="00BA73FD">
        <w:rPr>
          <w:i/>
          <w:iCs/>
        </w:rPr>
        <w:t xml:space="preserve"> Costa c. ENEL</w:t>
      </w:r>
      <w:r w:rsidR="00CA5E31">
        <w:rPr>
          <w:rStyle w:val="Refdenotaderodap"/>
        </w:rPr>
        <w:footnoteReference w:id="28"/>
      </w:r>
      <w:r>
        <w:t>,</w:t>
      </w:r>
      <w:r w:rsidR="00442A3C">
        <w:t xml:space="preserve"> que correu termos no </w:t>
      </w:r>
      <w:r w:rsidR="00442A3C" w:rsidRPr="00442A3C">
        <w:t>Tribunal de Justiça das Comunidades Europeias</w:t>
      </w:r>
      <w:r w:rsidR="002C077E">
        <w:t>.</w:t>
      </w:r>
    </w:p>
    <w:p w14:paraId="3080921F" w14:textId="77777777" w:rsidR="002C077E" w:rsidRDefault="002C077E" w:rsidP="001F343D">
      <w:pPr>
        <w:pBdr>
          <w:top w:val="nil"/>
          <w:left w:val="nil"/>
          <w:bottom w:val="nil"/>
          <w:right w:val="nil"/>
          <w:between w:val="nil"/>
        </w:pBdr>
        <w:ind w:right="0"/>
      </w:pPr>
      <w:r>
        <w:t xml:space="preserve">Na sequência da nacionalização do </w:t>
      </w:r>
      <w:r w:rsidRPr="002C077E">
        <w:t>sector da produção e da distribuição da energia eléctrica</w:t>
      </w:r>
      <w:r>
        <w:t xml:space="preserve"> na Itália, </w:t>
      </w:r>
      <w:r w:rsidRPr="002C077E">
        <w:t>Flaminio Costa, que era então accionista da sociedade Edison Volta, uma das sociedades nacionalizadas, perdeu o direito aos dividendos e recusava</w:t>
      </w:r>
      <w:r>
        <w:t>-se a</w:t>
      </w:r>
      <w:r w:rsidRPr="002C077E">
        <w:t xml:space="preserve"> pagar a</w:t>
      </w:r>
      <w:r>
        <w:t>s</w:t>
      </w:r>
      <w:r w:rsidRPr="002C077E">
        <w:t xml:space="preserve"> suas facturas de electricidade.</w:t>
      </w:r>
      <w:r>
        <w:t xml:space="preserve"> Após citação para </w:t>
      </w:r>
      <w:r w:rsidRPr="002C077E">
        <w:t>comparecer perante as jurisdições nacionais, ele alegara que a nacionalização violava</w:t>
      </w:r>
      <w:r>
        <w:t xml:space="preserve"> um conjunto</w:t>
      </w:r>
      <w:r w:rsidRPr="002C077E">
        <w:t xml:space="preserve"> de disposições </w:t>
      </w:r>
      <w:r>
        <w:t>europeias</w:t>
      </w:r>
      <w:r w:rsidRPr="002C077E">
        <w:t>.</w:t>
      </w:r>
    </w:p>
    <w:p w14:paraId="4D0CB846" w14:textId="27CC086C" w:rsidR="002C077E" w:rsidRDefault="002C077E" w:rsidP="001F343D">
      <w:pPr>
        <w:pBdr>
          <w:top w:val="nil"/>
          <w:left w:val="nil"/>
          <w:bottom w:val="nil"/>
          <w:right w:val="nil"/>
          <w:between w:val="nil"/>
        </w:pBdr>
        <w:ind w:right="0"/>
      </w:pPr>
      <w:r w:rsidRPr="002C077E">
        <w:t>O tribunal nacional</w:t>
      </w:r>
      <w:r>
        <w:t xml:space="preserve"> acabou então por fazer</w:t>
      </w:r>
      <w:r w:rsidRPr="002C077E">
        <w:t xml:space="preserve"> um reenvio prejudicial ao Tribunal de Justiça das Comunidades Europeias a fim de lhe perguntar qual a interpretação a dar ao tratado.</w:t>
      </w:r>
    </w:p>
    <w:p w14:paraId="5D1A55D6" w14:textId="24282ADD" w:rsidR="002C077E" w:rsidRDefault="002C077E" w:rsidP="001F343D">
      <w:pPr>
        <w:pBdr>
          <w:top w:val="nil"/>
          <w:left w:val="nil"/>
          <w:bottom w:val="nil"/>
          <w:right w:val="nil"/>
          <w:between w:val="nil"/>
        </w:pBdr>
        <w:ind w:right="0"/>
      </w:pPr>
      <w:r>
        <w:t xml:space="preserve">No final, </w:t>
      </w:r>
      <w:r w:rsidR="001F343D">
        <w:t xml:space="preserve">o Tribunal entendeu que os </w:t>
      </w:r>
      <w:r w:rsidR="00556F99">
        <w:t>objectivos</w:t>
      </w:r>
      <w:r w:rsidR="001F343D">
        <w:t xml:space="preserve"> dos tratados seriam prejudicados se o direito da UE pudesse ser subordinado ao direito nacional, assim que, ao transferirem determinados poderes para a UE, os Estados-</w:t>
      </w:r>
      <w:r w:rsidR="00E524C4">
        <w:t>M</w:t>
      </w:r>
      <w:r w:rsidR="001F343D">
        <w:t>embros limitaram os seus direitos soberanos e, por conseguinte, para que as normas da UE sejam eficazes, devem ter precedência sobre qualquer disposição do direito nacional, incluindo as constituições.</w:t>
      </w:r>
    </w:p>
    <w:p w14:paraId="1FD9D240" w14:textId="4D555401" w:rsidR="00E65422" w:rsidRDefault="009A6CC6" w:rsidP="001F343D">
      <w:pPr>
        <w:pBdr>
          <w:top w:val="nil"/>
          <w:left w:val="nil"/>
          <w:bottom w:val="nil"/>
          <w:right w:val="nil"/>
          <w:between w:val="nil"/>
        </w:pBdr>
        <w:ind w:right="0"/>
      </w:pPr>
      <w:r>
        <w:t>Com este princípio</w:t>
      </w:r>
      <w:r w:rsidR="00E65422" w:rsidRPr="00E65422">
        <w:t xml:space="preserve"> pretende-se uniformizar a aplicação do direito </w:t>
      </w:r>
      <w:r w:rsidR="003773E4">
        <w:t>europeu</w:t>
      </w:r>
      <w:r w:rsidR="00E65422" w:rsidRPr="00E65422">
        <w:t xml:space="preserve"> em todos os Estados da União, sempre sob o primado do direito da União e a aplicabilidade directa de algumas normas, como por exemplo os regulamentos, de forma que seja assumida, ainda que implicitamente, os princípios de direito </w:t>
      </w:r>
      <w:r w:rsidR="00311CD0">
        <w:t>da União</w:t>
      </w:r>
      <w:r w:rsidR="00E65422" w:rsidRPr="00E65422">
        <w:t xml:space="preserve"> nas ordens internas nacionais, através de valores embutidos nas normas aplicadas no quadro jurídico interno</w:t>
      </w:r>
      <w:r>
        <w:rPr>
          <w:rStyle w:val="Refdenotaderodap"/>
        </w:rPr>
        <w:footnoteReference w:id="29"/>
      </w:r>
      <w:r w:rsidR="00E65422" w:rsidRPr="00E65422">
        <w:t>.</w:t>
      </w:r>
    </w:p>
    <w:p w14:paraId="7E35835C" w14:textId="68DB9E35" w:rsidR="00090A65" w:rsidRDefault="00090A65" w:rsidP="001F343D">
      <w:pPr>
        <w:pBdr>
          <w:top w:val="nil"/>
          <w:left w:val="nil"/>
          <w:bottom w:val="nil"/>
          <w:right w:val="nil"/>
          <w:between w:val="nil"/>
        </w:pBdr>
        <w:ind w:right="0"/>
      </w:pPr>
      <w:r>
        <w:t>Este princípio veio porém, revelar-se um verdadeiro desafio à autoridade dos Tribunais constitucionais, que detém a missão de salvaguardar as constituições nacionais face a desafios normativos de fontes internas ou externas.</w:t>
      </w:r>
    </w:p>
    <w:p w14:paraId="121CFAC6" w14:textId="6F4C0E32" w:rsidR="00090A65" w:rsidRDefault="00090A65" w:rsidP="001F343D">
      <w:pPr>
        <w:pBdr>
          <w:top w:val="nil"/>
          <w:left w:val="nil"/>
          <w:bottom w:val="nil"/>
          <w:right w:val="nil"/>
          <w:between w:val="nil"/>
        </w:pBdr>
        <w:ind w:right="0"/>
      </w:pPr>
      <w:r>
        <w:t xml:space="preserve">Porém, veio também garantir a aplicação uniforme do direito </w:t>
      </w:r>
      <w:r w:rsidR="003773E4">
        <w:t>da UE</w:t>
      </w:r>
      <w:r>
        <w:t xml:space="preserve"> nas ordens jurídicas nacionais, que seria e é, um desafio mas também uma importante missão no âmbito da integração europeia, e por esse motivo, </w:t>
      </w:r>
      <w:r w:rsidR="007A301F">
        <w:t xml:space="preserve">no início </w:t>
      </w:r>
      <w:r>
        <w:t xml:space="preserve">o </w:t>
      </w:r>
      <w:r w:rsidR="007A301F">
        <w:t xml:space="preserve">TJUE não lhe associou nenhum tipo de limites, sendo-lhe atribuído um valor </w:t>
      </w:r>
      <w:r w:rsidR="007A301F" w:rsidRPr="00AA14BC">
        <w:t>“incondicional e absoluto”</w:t>
      </w:r>
      <w:r w:rsidR="007A301F">
        <w:t xml:space="preserve"> e tendo sido ordenado aos órgãos jurisdicionais nacionais que fizessem prevalecer a norma da União sobre normas nacionais contrárias.</w:t>
      </w:r>
      <w:r w:rsidR="007A301F">
        <w:rPr>
          <w:rStyle w:val="Refdenotaderodap"/>
        </w:rPr>
        <w:footnoteReference w:id="30"/>
      </w:r>
    </w:p>
    <w:p w14:paraId="3A3EBB53" w14:textId="497D5CF1" w:rsidR="004B3C1E" w:rsidRDefault="004B3C1E" w:rsidP="001F343D">
      <w:pPr>
        <w:pBdr>
          <w:top w:val="nil"/>
          <w:left w:val="nil"/>
          <w:bottom w:val="nil"/>
          <w:right w:val="nil"/>
          <w:between w:val="nil"/>
        </w:pBdr>
        <w:ind w:right="0"/>
      </w:pPr>
      <w:r>
        <w:t xml:space="preserve">Este </w:t>
      </w:r>
      <w:r w:rsidR="002F1E58">
        <w:t>princípio</w:t>
      </w:r>
      <w:r>
        <w:t xml:space="preserve"> também vai ao encontro da noção de lei transnacional, que defende que “está relacionada a um fenómeno legal além da lei do Estado (ou a lei inter-nacional)”, podendo por isso “incluir “regulações privadas transnacionais”, mas também lei supranacional como a lei da União Europeia ou lei da Organização Mundial do Comércio”.</w:t>
      </w:r>
    </w:p>
    <w:p w14:paraId="011FEF18" w14:textId="52EBD6D7" w:rsidR="002F1E58" w:rsidRPr="002F1E58" w:rsidRDefault="002F1E58" w:rsidP="001F343D">
      <w:pPr>
        <w:pBdr>
          <w:top w:val="nil"/>
          <w:left w:val="nil"/>
          <w:bottom w:val="nil"/>
          <w:right w:val="nil"/>
          <w:between w:val="nil"/>
        </w:pBdr>
        <w:ind w:right="0"/>
      </w:pPr>
      <w:r w:rsidRPr="002F1E58">
        <w:t>O Impacto Transnaciona</w:t>
      </w:r>
      <w:r>
        <w:t>l</w:t>
      </w:r>
      <w:r w:rsidRPr="002F1E58">
        <w:t xml:space="preserve"> do </w:t>
      </w:r>
      <w:r>
        <w:t>p</w:t>
      </w:r>
      <w:r w:rsidRPr="002F1E58">
        <w:t xml:space="preserve">rimado do </w:t>
      </w:r>
      <w:r>
        <w:t>d</w:t>
      </w:r>
      <w:r w:rsidRPr="002F1E58">
        <w:t>ireito da União</w:t>
      </w:r>
      <w:r>
        <w:t xml:space="preserve"> pode assim ser analisado à luz do</w:t>
      </w:r>
      <w:r w:rsidRPr="002F1E58">
        <w:t xml:space="preserve"> </w:t>
      </w:r>
      <w:r w:rsidRPr="002F1E58">
        <w:rPr>
          <w:i/>
          <w:iCs/>
        </w:rPr>
        <w:t>Acórdão nº 422/20 do Tribunal Constitucional</w:t>
      </w:r>
      <w:r>
        <w:t>.</w:t>
      </w:r>
    </w:p>
    <w:p w14:paraId="1F24687C" w14:textId="4C02B768" w:rsidR="002F1E58" w:rsidRDefault="002F1E58" w:rsidP="001F343D">
      <w:pPr>
        <w:pBdr>
          <w:top w:val="nil"/>
          <w:left w:val="nil"/>
          <w:bottom w:val="nil"/>
          <w:right w:val="nil"/>
          <w:between w:val="nil"/>
        </w:pBdr>
        <w:ind w:right="0"/>
      </w:pPr>
      <w:r>
        <w:t xml:space="preserve">Esta disputa surgiu quando uma empresa portuguesa exportadora de vinhos para Angola instaurou um processo nos </w:t>
      </w:r>
      <w:r w:rsidRPr="002F1E58">
        <w:t>tribunais nacionais, que chegou ao Supremo Tribunal de Justiça</w:t>
      </w:r>
      <w:r>
        <w:t xml:space="preserve">, no âmbito de </w:t>
      </w:r>
      <w:r w:rsidRPr="002F1E58">
        <w:t xml:space="preserve">uma divergência de opiniões relativamente às condições para a concessão de um subsídio à exportação e à prestação de uma garantia bancária, regidas pelo artigo 19.º do Regulamento (CE) n.º 2220/85 da Comissão, de 2 de </w:t>
      </w:r>
      <w:r w:rsidR="00552919" w:rsidRPr="002F1E58">
        <w:t>Julho</w:t>
      </w:r>
      <w:r>
        <w:t>.</w:t>
      </w:r>
    </w:p>
    <w:p w14:paraId="39EF7708" w14:textId="7ACE80E5" w:rsidR="002F1E58" w:rsidRDefault="002F1E58" w:rsidP="001F343D">
      <w:pPr>
        <w:pBdr>
          <w:top w:val="nil"/>
          <w:left w:val="nil"/>
          <w:bottom w:val="nil"/>
          <w:right w:val="nil"/>
          <w:between w:val="nil"/>
        </w:pBdr>
        <w:ind w:right="0"/>
      </w:pPr>
      <w:r>
        <w:t>A empresa entendia que o direito da União não e</w:t>
      </w:r>
      <w:r w:rsidR="00552919">
        <w:t>sclarecia</w:t>
      </w:r>
      <w:r>
        <w:t xml:space="preserve"> qual o </w:t>
      </w:r>
      <w:r w:rsidR="00552919">
        <w:t>momento</w:t>
      </w:r>
      <w:r>
        <w:t xml:space="preserve"> em que as garantias bancárias se extinguiam e que o </w:t>
      </w:r>
      <w:r w:rsidR="00552919">
        <w:t>acto</w:t>
      </w:r>
      <w:r>
        <w:t xml:space="preserve"> legislativo era discriminatório para com os exportadores.</w:t>
      </w:r>
    </w:p>
    <w:p w14:paraId="5E00A26B" w14:textId="5D48EEA0" w:rsidR="00552919" w:rsidRDefault="002F1E58" w:rsidP="001F343D">
      <w:pPr>
        <w:pBdr>
          <w:top w:val="nil"/>
          <w:left w:val="nil"/>
          <w:bottom w:val="nil"/>
          <w:right w:val="nil"/>
          <w:between w:val="nil"/>
        </w:pBdr>
        <w:ind w:right="0"/>
      </w:pPr>
      <w:r>
        <w:t>No final, os tribunais nacionais, até ao Supremo Tribunal de Justiça, confirmaram que não se verificava nenhum tipo de discriminação entre os exportadores, o que levou a empresa portuguesa a intentar ação no Tribunal Constitucional, neste caso,</w:t>
      </w:r>
      <w:r w:rsidR="00552919">
        <w:t xml:space="preserve"> </w:t>
      </w:r>
      <w:r w:rsidR="00552919" w:rsidRPr="002F1E58">
        <w:t>de uma decisão que aplicava uma norma cuja inconstitucionalidade fora suscitada durante o processo judicial</w:t>
      </w:r>
      <w:r w:rsidR="00552919">
        <w:t>, visto que a decisão do Supremo não</w:t>
      </w:r>
      <w:r w:rsidR="00552919" w:rsidRPr="00552919">
        <w:t xml:space="preserve"> </w:t>
      </w:r>
      <w:r w:rsidR="00552919" w:rsidRPr="002F1E58">
        <w:t>acolheu a sua alegação de que o</w:t>
      </w:r>
      <w:r w:rsidR="00552919">
        <w:t xml:space="preserve"> Regulamento da União violava </w:t>
      </w:r>
      <w:r w:rsidR="00552919" w:rsidRPr="002F1E58">
        <w:t>o artigo 13.º da lei fundamental, que consagra o princípio da igualdade, na medida em que apenas os exportadores que optassem pelo reembolso antecipado do subsídio estariam sujeitos à garantia bancária.</w:t>
      </w:r>
    </w:p>
    <w:p w14:paraId="427B71FC" w14:textId="01B0B440" w:rsidR="00552919" w:rsidRDefault="00552919" w:rsidP="001F343D">
      <w:pPr>
        <w:pBdr>
          <w:top w:val="nil"/>
          <w:left w:val="nil"/>
          <w:bottom w:val="nil"/>
          <w:right w:val="nil"/>
          <w:between w:val="nil"/>
        </w:pBdr>
        <w:ind w:right="0"/>
      </w:pPr>
      <w:r w:rsidRPr="00552919">
        <w:t xml:space="preserve">No </w:t>
      </w:r>
      <w:r w:rsidRPr="00552919">
        <w:rPr>
          <w:i/>
          <w:iCs/>
        </w:rPr>
        <w:t>Acórdão n.º 422/20, de 15 de julho de 2020</w:t>
      </w:r>
      <w:r>
        <w:t xml:space="preserve">, o Tribunal Constitucional entende que a primeira parte do </w:t>
      </w:r>
      <w:r w:rsidRPr="00552919">
        <w:t xml:space="preserve">artigo 8.º, n.º 4, da </w:t>
      </w:r>
      <w:r>
        <w:t xml:space="preserve">Constituição portuguesa </w:t>
      </w:r>
      <w:r w:rsidRPr="00552919">
        <w:t>reconhece o princípio da primazia do direito da UE sobre o direito nacional de natureza não constitucional</w:t>
      </w:r>
      <w:r w:rsidR="003534CE">
        <w:t xml:space="preserve">, porém, a segunda parte acaba por limitar o âmbito de aplicação desta primazia </w:t>
      </w:r>
      <w:r w:rsidR="003534CE" w:rsidRPr="00552919">
        <w:t>ao direito nacional de natureza constitucional</w:t>
      </w:r>
      <w:r w:rsidR="003534CE">
        <w:t>,</w:t>
      </w:r>
      <w:r w:rsidR="003534CE" w:rsidRPr="00552919">
        <w:t xml:space="preserve"> quando este não respeita os princípios fundamentais do Estado de direito democrático.</w:t>
      </w:r>
    </w:p>
    <w:p w14:paraId="6E1016A4" w14:textId="6DE660B9" w:rsidR="003534CE" w:rsidRPr="00552919" w:rsidRDefault="003534CE" w:rsidP="00F26567">
      <w:r>
        <w:t xml:space="preserve">O Tribunal Constitucional apresentou ainda os artigos </w:t>
      </w:r>
      <w:r w:rsidRPr="003534CE">
        <w:t>5.º e 6.º</w:t>
      </w:r>
      <w:r>
        <w:t>,</w:t>
      </w:r>
      <w:r w:rsidRPr="003534CE">
        <w:t xml:space="preserve"> da Constituição, </w:t>
      </w:r>
      <w:r>
        <w:t xml:space="preserve">que definem o território português e caracterizam o Estado como unitário, enquanto exemplos de situações hipotéticas em que a </w:t>
      </w:r>
      <w:r w:rsidRPr="003534CE">
        <w:t>imunidade do direito da UE cessa</w:t>
      </w:r>
      <w:r>
        <w:rPr>
          <w:rStyle w:val="Refdenotaderodap"/>
        </w:rPr>
        <w:footnoteReference w:id="31"/>
      </w:r>
      <w:r>
        <w:t>.</w:t>
      </w:r>
    </w:p>
    <w:p w14:paraId="5F73E58D" w14:textId="22512F80" w:rsidR="003C496D" w:rsidRDefault="003C496D" w:rsidP="001F343D">
      <w:pPr>
        <w:pBdr>
          <w:top w:val="nil"/>
          <w:left w:val="nil"/>
          <w:bottom w:val="nil"/>
          <w:right w:val="nil"/>
          <w:between w:val="nil"/>
        </w:pBdr>
        <w:ind w:right="0"/>
      </w:pPr>
      <w:r>
        <w:t>Por fim, vale salientar o papel</w:t>
      </w:r>
      <w:r w:rsidRPr="003C496D">
        <w:t xml:space="preserve"> </w:t>
      </w:r>
      <w:r>
        <w:t xml:space="preserve">fundamental </w:t>
      </w:r>
      <w:r w:rsidRPr="003C496D">
        <w:t>que os juízes nacionais desempenham</w:t>
      </w:r>
      <w:r>
        <w:t xml:space="preserve"> na aplicação deste direito </w:t>
      </w:r>
      <w:r w:rsidR="00311CD0">
        <w:t>da União</w:t>
      </w:r>
      <w:r>
        <w:t>.</w:t>
      </w:r>
    </w:p>
    <w:p w14:paraId="5E68B9FF" w14:textId="3AA2A98B" w:rsidR="003C496D" w:rsidRDefault="003C496D" w:rsidP="001F343D">
      <w:pPr>
        <w:pBdr>
          <w:top w:val="nil"/>
          <w:left w:val="nil"/>
          <w:bottom w:val="nil"/>
          <w:right w:val="nil"/>
          <w:between w:val="nil"/>
        </w:pBdr>
        <w:ind w:right="0"/>
      </w:pPr>
      <w:r>
        <w:t xml:space="preserve">O juiz nacional </w:t>
      </w:r>
      <w:r w:rsidRPr="003C496D">
        <w:t>ao exercer funções jurisdicionais no âmbito do direito</w:t>
      </w:r>
      <w:r>
        <w:t xml:space="preserve"> </w:t>
      </w:r>
      <w:r w:rsidR="003773E4">
        <w:t>europeu</w:t>
      </w:r>
      <w:r w:rsidRPr="003C496D">
        <w:t>,</w:t>
      </w:r>
      <w:r>
        <w:t xml:space="preserve"> </w:t>
      </w:r>
      <w:r w:rsidRPr="003C496D">
        <w:t xml:space="preserve">torna-se, funcionalmente um juiz europeu, embora permaneça organicamente ligado ao sistema judicial </w:t>
      </w:r>
      <w:r>
        <w:t>do seu</w:t>
      </w:r>
      <w:r w:rsidRPr="003C496D">
        <w:t xml:space="preserve"> Estado-Membro</w:t>
      </w:r>
      <w:r>
        <w:t xml:space="preserve">, tal </w:t>
      </w:r>
      <w:r w:rsidRPr="003C496D">
        <w:t>como o</w:t>
      </w:r>
      <w:r>
        <w:t xml:space="preserve"> próprio</w:t>
      </w:r>
      <w:r w:rsidRPr="003C496D">
        <w:t xml:space="preserve"> TJUE afirmou no caso </w:t>
      </w:r>
      <w:r w:rsidRPr="00BA73FD">
        <w:rPr>
          <w:i/>
          <w:iCs/>
        </w:rPr>
        <w:t>Simmenthal</w:t>
      </w:r>
      <w:r w:rsidRPr="003C496D">
        <w:t>.</w:t>
      </w:r>
    </w:p>
    <w:p w14:paraId="358B488F" w14:textId="7F0E15E4" w:rsidR="003C496D" w:rsidRDefault="003C496D" w:rsidP="001F343D">
      <w:pPr>
        <w:pBdr>
          <w:top w:val="nil"/>
          <w:left w:val="nil"/>
          <w:bottom w:val="nil"/>
          <w:right w:val="nil"/>
          <w:between w:val="nil"/>
        </w:pBdr>
        <w:ind w:right="0"/>
      </w:pPr>
      <w:r>
        <w:t xml:space="preserve">Desta forma, o juiz nacional </w:t>
      </w:r>
      <w:r w:rsidRPr="003C496D">
        <w:t>atua como juiz de direito comum europeu, enquanto o TJUE constitui um órgão jurisdicional de natureza excepcional</w:t>
      </w:r>
      <w:r>
        <w:t>.</w:t>
      </w:r>
    </w:p>
    <w:p w14:paraId="7ADCB87E" w14:textId="2CA9A170" w:rsidR="003C496D" w:rsidRDefault="003C496D" w:rsidP="001F343D">
      <w:pPr>
        <w:pBdr>
          <w:top w:val="nil"/>
          <w:left w:val="nil"/>
          <w:bottom w:val="nil"/>
          <w:right w:val="nil"/>
          <w:between w:val="nil"/>
        </w:pBdr>
        <w:ind w:right="0"/>
      </w:pPr>
      <w:r>
        <w:t>Desta forma,</w:t>
      </w:r>
      <w:r w:rsidRPr="003C496D">
        <w:t xml:space="preserve"> o sistema jurisdicional estabelecido pelos Tratados constitui uma verdadeira comunidade de juízes, vinculada pela obrigação de garantir a eficácia do direito</w:t>
      </w:r>
      <w:r>
        <w:t xml:space="preserve"> </w:t>
      </w:r>
      <w:r w:rsidR="00311CD0">
        <w:t>da União</w:t>
      </w:r>
      <w:r w:rsidRPr="003C496D">
        <w:t>.</w:t>
      </w:r>
      <w:r>
        <w:rPr>
          <w:rStyle w:val="Refdenotaderodap"/>
        </w:rPr>
        <w:footnoteReference w:id="32"/>
      </w:r>
    </w:p>
    <w:p w14:paraId="558B50AF" w14:textId="77777777" w:rsidR="00AD6FFE" w:rsidRDefault="00AD6FFE" w:rsidP="00AD6FFE">
      <w:pPr>
        <w:pBdr>
          <w:top w:val="nil"/>
          <w:left w:val="nil"/>
          <w:bottom w:val="nil"/>
          <w:right w:val="nil"/>
          <w:between w:val="nil"/>
        </w:pBdr>
        <w:ind w:right="0"/>
      </w:pPr>
      <w:r>
        <w:t xml:space="preserve">Outro exemplo desta vinculação dos Estados-Membros, ao direito da União, é o que resulta do </w:t>
      </w:r>
      <w:r w:rsidRPr="00AD6FFE">
        <w:rPr>
          <w:i/>
          <w:iCs/>
        </w:rPr>
        <w:t>Caso Gavanozov</w:t>
      </w:r>
      <w:r>
        <w:t xml:space="preserve">, que estabeleceu que os Estados-Membros e as autoridades judiciais nacionais estão vinculados à Carta dos Direitos Fundamentais da União Europeia quando tiverem que adoptar legislação e tomarem decisões relativas à emissão, ao reconhecimento e à execução </w:t>
      </w:r>
      <w:r w:rsidRPr="00AD6FFE">
        <w:t>Decisão Europeia de Investigação</w:t>
      </w:r>
      <w:r>
        <w:t>.</w:t>
      </w:r>
    </w:p>
    <w:p w14:paraId="116B9B2E" w14:textId="77777777" w:rsidR="000A6DD7" w:rsidRDefault="00AD6FFE" w:rsidP="00AD6FFE">
      <w:pPr>
        <w:pBdr>
          <w:top w:val="nil"/>
          <w:left w:val="nil"/>
          <w:bottom w:val="nil"/>
          <w:right w:val="nil"/>
          <w:between w:val="nil"/>
        </w:pBdr>
        <w:ind w:right="0"/>
      </w:pPr>
      <w:r>
        <w:t>Isto significa que toda a decisão tomada ao abrigo dos actos normativos nacionais que transpuseram a Decisão Europeia de Investigação deve estar em conformidade com os direitos fundamentais consagrados na Carta</w:t>
      </w:r>
      <w:r w:rsidR="000A6DD7">
        <w:t>.</w:t>
      </w:r>
    </w:p>
    <w:p w14:paraId="54D694C5" w14:textId="2C55F0DB" w:rsidR="00AD6FFE" w:rsidRDefault="000A6DD7" w:rsidP="00AD6FFE">
      <w:pPr>
        <w:pBdr>
          <w:top w:val="nil"/>
          <w:left w:val="nil"/>
          <w:bottom w:val="nil"/>
          <w:right w:val="nil"/>
          <w:between w:val="nil"/>
        </w:pBdr>
        <w:ind w:right="0"/>
      </w:pPr>
      <w:r w:rsidRPr="000A6DD7">
        <w:t>Após a decisão do Tribunal de Justiça da União Europeia</w:t>
      </w:r>
      <w:r>
        <w:t>, já</w:t>
      </w:r>
      <w:r w:rsidRPr="000A6DD7">
        <w:t xml:space="preserve"> no </w:t>
      </w:r>
      <w:r w:rsidRPr="000A6DD7">
        <w:rPr>
          <w:i/>
          <w:iCs/>
        </w:rPr>
        <w:t>Caso Gavanozov II</w:t>
      </w:r>
      <w:r w:rsidRPr="000A6DD7">
        <w:t xml:space="preserve">, as autoridades judiciais nacionais </w:t>
      </w:r>
      <w:r>
        <w:t>passaram a ter</w:t>
      </w:r>
      <w:r w:rsidRPr="000A6DD7">
        <w:t xml:space="preserve"> de analisar as suas leis</w:t>
      </w:r>
      <w:r>
        <w:t>,</w:t>
      </w:r>
      <w:r w:rsidRPr="000A6DD7">
        <w:t xml:space="preserve"> e verificar se </w:t>
      </w:r>
      <w:r>
        <w:t>estas consagram</w:t>
      </w:r>
      <w:r w:rsidRPr="000A6DD7">
        <w:t xml:space="preserve"> o direito a um recurso legal quando uma medida investigativa é ordenada, especialmente se for considerada intrusiva ou coerciva</w:t>
      </w:r>
      <w:r>
        <w:t>, e caso não haja</w:t>
      </w:r>
      <w:r w:rsidRPr="000A6DD7">
        <w:t xml:space="preserve"> qualquer recurso legal previsto na ordem jurídica nacional, uma Decisão Europeia de Investigação não pode ser emitida</w:t>
      </w:r>
      <w:r>
        <w:t xml:space="preserve"> </w:t>
      </w:r>
      <w:r w:rsidR="00AD6FFE">
        <w:rPr>
          <w:rStyle w:val="Refdenotaderodap"/>
        </w:rPr>
        <w:footnoteReference w:id="33"/>
      </w:r>
      <w:r w:rsidR="00AD6FFE">
        <w:t xml:space="preserve">. </w:t>
      </w:r>
    </w:p>
    <w:p w14:paraId="6B6370B5" w14:textId="4A97D2ED" w:rsidR="008142A4" w:rsidRDefault="008142A4" w:rsidP="00AD6FFE">
      <w:pPr>
        <w:pBdr>
          <w:top w:val="nil"/>
          <w:left w:val="nil"/>
          <w:bottom w:val="nil"/>
          <w:right w:val="nil"/>
          <w:between w:val="nil"/>
        </w:pBdr>
        <w:ind w:right="0"/>
      </w:pPr>
      <w:r>
        <w:t>A primazia do direito da União serve também como ferramenta uniformizadora da ideologia política da União, assente em valores como</w:t>
      </w:r>
      <w:r w:rsidRPr="008142A4">
        <w:t xml:space="preserve"> o respeito pela dignidade humana, </w:t>
      </w:r>
      <w:r>
        <w:t xml:space="preserve">a </w:t>
      </w:r>
      <w:r w:rsidRPr="008142A4">
        <w:t>liberdade, democracia, igualdade, Estado de direito e respeito pelos direitos humanos</w:t>
      </w:r>
      <w:r>
        <w:t>, nos termos do artigo 2.º do TUE</w:t>
      </w:r>
      <w:r w:rsidRPr="008142A4">
        <w:t xml:space="preserve">, </w:t>
      </w:r>
      <w:r>
        <w:t xml:space="preserve">tornando estes </w:t>
      </w:r>
      <w:r w:rsidRPr="008142A4">
        <w:t>valores comuns a</w:t>
      </w:r>
      <w:r>
        <w:t xml:space="preserve"> todos os</w:t>
      </w:r>
      <w:r w:rsidRPr="008142A4">
        <w:t xml:space="preserve"> Estados-Membros.</w:t>
      </w:r>
    </w:p>
    <w:p w14:paraId="292BE347" w14:textId="476A0BA1" w:rsidR="00CF3D3A" w:rsidRDefault="00CF3D3A" w:rsidP="00AD6FFE">
      <w:pPr>
        <w:pBdr>
          <w:top w:val="nil"/>
          <w:left w:val="nil"/>
          <w:bottom w:val="nil"/>
          <w:right w:val="nil"/>
          <w:between w:val="nil"/>
        </w:pBdr>
        <w:ind w:right="0"/>
      </w:pPr>
      <w:r>
        <w:t xml:space="preserve">Visto que a União vê-se, acima de tudo, como uma comunidade de valores, cujas instituições são regidas por princípios baseados em valores fundamentais, conclui-se que </w:t>
      </w:r>
      <w:r w:rsidRPr="00CF3D3A">
        <w:t>as acções da União estão sujeitas ao Direito</w:t>
      </w:r>
      <w:r>
        <w:t xml:space="preserve">, motivo pelo qual, </w:t>
      </w:r>
      <w:r w:rsidRPr="00CF3D3A">
        <w:t>o valor do Estado de Direito assume</w:t>
      </w:r>
      <w:r>
        <w:t xml:space="preserve"> tamanha</w:t>
      </w:r>
      <w:r w:rsidRPr="00CF3D3A">
        <w:t xml:space="preserve"> importância no sistema jurídico da UE.</w:t>
      </w:r>
    </w:p>
    <w:p w14:paraId="3BE2273E" w14:textId="1DA25F22" w:rsidR="00B0429F" w:rsidRDefault="00B0429F" w:rsidP="00AD6FFE">
      <w:pPr>
        <w:pBdr>
          <w:top w:val="nil"/>
          <w:left w:val="nil"/>
          <w:bottom w:val="nil"/>
          <w:right w:val="nil"/>
          <w:between w:val="nil"/>
        </w:pBdr>
        <w:ind w:right="0"/>
      </w:pPr>
      <w:r>
        <w:t xml:space="preserve">Segundo </w:t>
      </w:r>
      <w:r w:rsidRPr="00B0429F">
        <w:t>Gonçalo Martins de Matos</w:t>
      </w:r>
      <w:r>
        <w:t>, o</w:t>
      </w:r>
      <w:r w:rsidRPr="00B0429F">
        <w:t xml:space="preserve"> Estado de Direito</w:t>
      </w:r>
      <w:r>
        <w:t>,</w:t>
      </w:r>
      <w:r w:rsidRPr="00B0429F">
        <w:t xml:space="preserve"> </w:t>
      </w:r>
      <w:r>
        <w:t xml:space="preserve">enquanto </w:t>
      </w:r>
      <w:r w:rsidRPr="00B0429F">
        <w:t>princípio jurídico que assegura a submissão do poder público a normas jurídicas vinculativas que o limitam e legitimam</w:t>
      </w:r>
      <w:r>
        <w:t>, tem d</w:t>
      </w:r>
      <w:r w:rsidRPr="00B0429F">
        <w:t>uas dimensões complementares</w:t>
      </w:r>
      <w:r>
        <w:t xml:space="preserve"> que</w:t>
      </w:r>
      <w:r w:rsidRPr="00B0429F">
        <w:t xml:space="preserve"> emergem des</w:t>
      </w:r>
      <w:r>
        <w:t>t</w:t>
      </w:r>
      <w:r w:rsidRPr="00B0429F">
        <w:t>a noção</w:t>
      </w:r>
      <w:r>
        <w:t>:</w:t>
      </w:r>
    </w:p>
    <w:p w14:paraId="20A0E608" w14:textId="77777777" w:rsidR="00B0429F" w:rsidRDefault="00B0429F" w:rsidP="00AD6FFE">
      <w:pPr>
        <w:pBdr>
          <w:top w:val="nil"/>
          <w:left w:val="nil"/>
          <w:bottom w:val="nil"/>
          <w:right w:val="nil"/>
          <w:between w:val="nil"/>
        </w:pBdr>
        <w:ind w:right="0"/>
      </w:pPr>
    </w:p>
    <w:p w14:paraId="06428DD0" w14:textId="4AC6C201" w:rsidR="00B0429F" w:rsidRPr="00B0429F" w:rsidRDefault="00B0429F" w:rsidP="00B0429F">
      <w:pPr>
        <w:pBdr>
          <w:top w:val="nil"/>
          <w:left w:val="nil"/>
          <w:bottom w:val="nil"/>
          <w:right w:val="nil"/>
          <w:between w:val="nil"/>
        </w:pBdr>
        <w:spacing w:line="240" w:lineRule="auto"/>
        <w:ind w:left="567" w:right="0"/>
        <w:rPr>
          <w:sz w:val="20"/>
          <w:szCs w:val="20"/>
        </w:rPr>
      </w:pPr>
      <w:r w:rsidRPr="00B0429F">
        <w:rPr>
          <w:sz w:val="20"/>
          <w:szCs w:val="20"/>
        </w:rPr>
        <w:t>Na dimensão formal, o Estado de Direito garante a primazia da lei fundamental, a legalidade da administração, a separação de poderes, a independência dos tribunais e a efectiva protecção judicial. A dimensão material do Estado de Direito relaciona-se aos valores fundamentais que estruturam a ordem jurídica à qual esse princípio se refere, correspondendo aos valores humanistas da dignidade humana, igualdade, liberdade, justiça e segurança. No âmbito da UE, o mesmo se aplica, embora adaptado à realidade jurídica e política supranacional que representa. No contexto da ordem jurídica da União, identificamos os principais aspectos que definem o Estado de Direito. A primazia do direito fundamental da UE (ou seja, os Tratados), a separação de poderes buscada pelo equilíbrio institucional, a observância do princípio da legalidade em todos os procedimentos decisórios, a independência do Tribunal de Justiça da União Europeia (TJUE) e o estabelecimento de uma protecção judicial efectiva por meio de litígios na UE, tudo isso dentro da estrutura de valores como a democracia e os direitos fundamentais, revelam uma verdade bastante óbvia: a UE é uma comunidade política que observa e defende activamente o Estado de Direito. É por isso que a UE se caracteriza como uma União baseada no Estado de Direito</w:t>
      </w:r>
      <w:r>
        <w:rPr>
          <w:rStyle w:val="Refdenotaderodap"/>
          <w:sz w:val="20"/>
          <w:szCs w:val="20"/>
        </w:rPr>
        <w:footnoteReference w:id="34"/>
      </w:r>
      <w:r w:rsidRPr="00B0429F">
        <w:rPr>
          <w:sz w:val="20"/>
          <w:szCs w:val="20"/>
        </w:rPr>
        <w:t>.</w:t>
      </w:r>
    </w:p>
    <w:p w14:paraId="07BD83B1" w14:textId="77777777" w:rsidR="00CF3D3A" w:rsidRDefault="00CF3D3A" w:rsidP="00AD6FFE">
      <w:pPr>
        <w:pBdr>
          <w:top w:val="nil"/>
          <w:left w:val="nil"/>
          <w:bottom w:val="nil"/>
          <w:right w:val="nil"/>
          <w:between w:val="nil"/>
        </w:pBdr>
        <w:ind w:right="0"/>
      </w:pPr>
    </w:p>
    <w:p w14:paraId="4F69467E" w14:textId="2F32CBF2" w:rsidR="00B0429F" w:rsidRDefault="00B0429F" w:rsidP="00AD6FFE">
      <w:pPr>
        <w:pBdr>
          <w:top w:val="nil"/>
          <w:left w:val="nil"/>
          <w:bottom w:val="nil"/>
          <w:right w:val="nil"/>
          <w:between w:val="nil"/>
        </w:pBdr>
        <w:ind w:right="0"/>
      </w:pPr>
      <w:r>
        <w:t>Ou seja, o primado do direito da União age também como um dos principais mecanismos de salvaguarda do Estado de Direito europeu.</w:t>
      </w:r>
    </w:p>
    <w:p w14:paraId="57FED1B2" w14:textId="550DAB5E" w:rsidR="00C511B0" w:rsidRDefault="00C511B0" w:rsidP="00AD6FFE">
      <w:pPr>
        <w:pBdr>
          <w:top w:val="nil"/>
          <w:left w:val="nil"/>
          <w:bottom w:val="nil"/>
          <w:right w:val="nil"/>
          <w:between w:val="nil"/>
        </w:pBdr>
        <w:ind w:right="0"/>
      </w:pPr>
      <w:r>
        <w:t>Para tal, desenvolveu um conjunto de mecanismos com vista a protegê-lo.</w:t>
      </w:r>
    </w:p>
    <w:p w14:paraId="50F06EF1" w14:textId="297DF2CE" w:rsidR="00C511B0" w:rsidRDefault="00C511B0" w:rsidP="00C511B0">
      <w:pPr>
        <w:pBdr>
          <w:top w:val="nil"/>
          <w:left w:val="nil"/>
          <w:bottom w:val="nil"/>
          <w:right w:val="nil"/>
          <w:between w:val="nil"/>
        </w:pBdr>
        <w:ind w:right="0"/>
      </w:pPr>
      <w:r>
        <w:t>Um desses mecanismo é, quando um dos valores da União Europeia é de alguma forma violado, o Estado incorre no não cumprimento do princípio a que se obriga, conforme o artigo 4.º, n.º 3, do TUE, o que pode resultar no procedimento que conduz a aplicação da acção por incumprimento dos artigos 258.º, a 260.º, do TFUE.</w:t>
      </w:r>
    </w:p>
    <w:p w14:paraId="7574644B" w14:textId="031F7146" w:rsidR="00C511B0" w:rsidRDefault="00C511B0" w:rsidP="00C511B0">
      <w:pPr>
        <w:pBdr>
          <w:top w:val="nil"/>
          <w:left w:val="nil"/>
          <w:bottom w:val="nil"/>
          <w:right w:val="nil"/>
          <w:between w:val="nil"/>
        </w:pBdr>
        <w:ind w:right="0"/>
      </w:pPr>
      <w:r>
        <w:t xml:space="preserve">Outro mecanismo, é o estabelecido no artigo 7.º do TUE, que </w:t>
      </w:r>
      <w:r w:rsidRPr="00C511B0">
        <w:t xml:space="preserve">permite </w:t>
      </w:r>
      <w:r>
        <w:t>a</w:t>
      </w:r>
      <w:r w:rsidRPr="00C511B0">
        <w:t xml:space="preserve"> suspensão dos direitos de </w:t>
      </w:r>
      <w:r>
        <w:t xml:space="preserve">um </w:t>
      </w:r>
      <w:r w:rsidRPr="00C511B0">
        <w:t xml:space="preserve">membro da União (tais como o direito de voto no Conselho da União Europeia) em caso de violação grave e persistente, dos princípios em que </w:t>
      </w:r>
      <w:r>
        <w:t xml:space="preserve">a UE </w:t>
      </w:r>
      <w:r w:rsidRPr="00C511B0">
        <w:t>se funda</w:t>
      </w:r>
      <w:r>
        <w:t>.</w:t>
      </w:r>
      <w:r w:rsidRPr="00C511B0">
        <w:t xml:space="preserve"> </w:t>
      </w:r>
    </w:p>
    <w:p w14:paraId="5DBBD4BD" w14:textId="651458FA" w:rsidR="00C511B0" w:rsidRDefault="00C511B0" w:rsidP="00C511B0">
      <w:pPr>
        <w:pBdr>
          <w:top w:val="nil"/>
          <w:left w:val="nil"/>
          <w:bottom w:val="nil"/>
          <w:right w:val="nil"/>
          <w:between w:val="nil"/>
        </w:pBdr>
        <w:ind w:right="0"/>
      </w:pPr>
      <w:r>
        <w:t>Mais recentemente surgiu um novo mecanismo na convicção de que a aplicação dos recursos financeiros da União deve acompanhar os valores institutivos, surge o recurso ao regime geral de condicionalidade para a</w:t>
      </w:r>
      <w:r w:rsidR="00AD2C36">
        <w:t xml:space="preserve"> protecção</w:t>
      </w:r>
      <w:r>
        <w:t xml:space="preserve"> do orçamento da União, criado pelo Regulamento (UE, Euratom)</w:t>
      </w:r>
      <w:r w:rsidR="00AD2C36">
        <w:t xml:space="preserve"> </w:t>
      </w:r>
      <w:r>
        <w:t>2020/2092 do Parlamento Europeu e do Conselho, de 16 de dezembro</w:t>
      </w:r>
      <w:r w:rsidRPr="00C511B0">
        <w:t xml:space="preserve"> </w:t>
      </w:r>
      <w:r>
        <w:t>de 2020</w:t>
      </w:r>
      <w:r w:rsidR="00AD2C36">
        <w:t>,</w:t>
      </w:r>
      <w:r>
        <w:t xml:space="preserve"> que introduz a condição e respeito pelo princípio e a execução do orçamento da UE.</w:t>
      </w:r>
    </w:p>
    <w:p w14:paraId="03E9EBC3" w14:textId="7385C92F" w:rsidR="00AD2C36" w:rsidRDefault="00AD2C36" w:rsidP="00AD2C36">
      <w:pPr>
        <w:pBdr>
          <w:top w:val="nil"/>
          <w:left w:val="nil"/>
          <w:bottom w:val="nil"/>
          <w:right w:val="nil"/>
          <w:between w:val="nil"/>
        </w:pBdr>
        <w:ind w:right="0"/>
      </w:pPr>
      <w:r>
        <w:t xml:space="preserve">Outro destes mecanismos de protecção do Estado de direito inclui um relatório anual sobre o Estado de direito em todos os Estados-Membros da UE e as </w:t>
      </w:r>
      <w:r w:rsidRPr="00AD2C36">
        <w:t>recomendações do Semestre Europeu</w:t>
      </w:r>
      <w:r>
        <w:rPr>
          <w:rStyle w:val="Refdenotaderodap"/>
        </w:rPr>
        <w:footnoteReference w:id="35"/>
      </w:r>
      <w:r>
        <w:t>.</w:t>
      </w:r>
    </w:p>
    <w:p w14:paraId="062FE973" w14:textId="09C55CCD" w:rsidR="00C511B0" w:rsidRDefault="00AD2C36" w:rsidP="003773E4">
      <w:pPr>
        <w:pBdr>
          <w:top w:val="nil"/>
          <w:left w:val="nil"/>
          <w:bottom w:val="nil"/>
          <w:right w:val="nil"/>
          <w:between w:val="nil"/>
        </w:pBdr>
        <w:ind w:right="0"/>
      </w:pPr>
      <w:r>
        <w:t>Desta forma, a própria União pretende preservar o respeito do Estado de Direito dentro dos seus Estados-Membros, mediante mecanismos criados exactamente para esse efeito, de forma a melhor prosseguir os objectivos e manter os valores europeus.</w:t>
      </w:r>
    </w:p>
    <w:p w14:paraId="0517896D" w14:textId="09DD3466" w:rsidR="001F343D" w:rsidRDefault="003773E4" w:rsidP="003773E4">
      <w:pPr>
        <w:pBdr>
          <w:top w:val="nil"/>
          <w:left w:val="nil"/>
          <w:bottom w:val="nil"/>
          <w:right w:val="nil"/>
          <w:between w:val="nil"/>
        </w:pBdr>
        <w:ind w:right="0"/>
      </w:pPr>
      <w:r>
        <w:t>Outra característica de âmbito federalista é a c</w:t>
      </w:r>
      <w:r w:rsidR="001F343D">
        <w:t>idadania europeia</w:t>
      </w:r>
      <w:r>
        <w:t>.</w:t>
      </w:r>
    </w:p>
    <w:p w14:paraId="72FFD9AF" w14:textId="78648B19" w:rsidR="001F343D" w:rsidRPr="00556F99" w:rsidRDefault="001F343D" w:rsidP="001F343D">
      <w:pPr>
        <w:pBdr>
          <w:top w:val="nil"/>
          <w:left w:val="nil"/>
          <w:bottom w:val="nil"/>
          <w:right w:val="nil"/>
          <w:between w:val="nil"/>
        </w:pBdr>
        <w:ind w:right="0"/>
        <w:rPr>
          <w:i/>
          <w:iCs/>
        </w:rPr>
      </w:pPr>
      <w:r>
        <w:t xml:space="preserve">Conforme o artigo 9.º do </w:t>
      </w:r>
      <w:r w:rsidR="005C14F8">
        <w:t>TUE</w:t>
      </w:r>
      <w:r>
        <w:t xml:space="preserve"> explicita</w:t>
      </w:r>
      <w:r w:rsidRPr="00AA14BC">
        <w:t>, “é cidadão da União qualquer pessoa que tenha a nacionalidade de um Estado-Membro. A cidadania da União acresce à cidadania nacional e não a substitui.”</w:t>
      </w:r>
    </w:p>
    <w:p w14:paraId="5C4F0C87" w14:textId="77777777" w:rsidR="001F343D" w:rsidRDefault="001F343D" w:rsidP="001F343D">
      <w:pPr>
        <w:pBdr>
          <w:top w:val="nil"/>
          <w:left w:val="nil"/>
          <w:bottom w:val="nil"/>
          <w:right w:val="nil"/>
          <w:between w:val="nil"/>
        </w:pBdr>
        <w:ind w:right="0"/>
      </w:pPr>
      <w:r>
        <w:t>Pelo que os cidadãos europeus, além de terem a sua cidadania nacional, partilham todos entre si, uma cidadania europeia, que lhes confere um conjunto de direitos.</w:t>
      </w:r>
    </w:p>
    <w:p w14:paraId="3C1CBE28" w14:textId="7FADF549" w:rsidR="00E825C7" w:rsidRDefault="00E825C7" w:rsidP="00E825C7">
      <w:pPr>
        <w:pBdr>
          <w:top w:val="nil"/>
          <w:left w:val="nil"/>
          <w:bottom w:val="nil"/>
          <w:right w:val="nil"/>
          <w:between w:val="nil"/>
        </w:pBdr>
        <w:ind w:right="0"/>
      </w:pPr>
      <w:r>
        <w:t xml:space="preserve">Ora, esta cidadania europeia, nos moldes em que foi estabelecida e idealizada pelo direito </w:t>
      </w:r>
      <w:r w:rsidR="00311CD0">
        <w:t>da União</w:t>
      </w:r>
      <w:r>
        <w:t>, foi concebida para ser supranacional</w:t>
      </w:r>
      <w:r w:rsidR="008134D8">
        <w:t>.</w:t>
      </w:r>
    </w:p>
    <w:p w14:paraId="16494484" w14:textId="77777777" w:rsidR="004A5D56" w:rsidRDefault="00E825C7" w:rsidP="00E825C7">
      <w:pPr>
        <w:pBdr>
          <w:top w:val="nil"/>
          <w:left w:val="nil"/>
          <w:bottom w:val="nil"/>
          <w:right w:val="nil"/>
          <w:between w:val="nil"/>
        </w:pBdr>
        <w:ind w:right="0"/>
      </w:pPr>
      <w:r>
        <w:t xml:space="preserve">Ou seja, acaba por conceder aos cidadãos europeus um conjunto de direitos, sejam eles cívicos, políticos, sociais ou económicos, bem como responsabilidades além das fronteiras nacionais, funcionando além da autoridade de uma única nação. </w:t>
      </w:r>
    </w:p>
    <w:p w14:paraId="4889C878" w14:textId="4DB12880" w:rsidR="00E825C7" w:rsidRDefault="004A5D56" w:rsidP="00E825C7">
      <w:pPr>
        <w:pBdr>
          <w:top w:val="nil"/>
          <w:left w:val="nil"/>
          <w:bottom w:val="nil"/>
          <w:right w:val="nil"/>
          <w:between w:val="nil"/>
        </w:pBdr>
        <w:ind w:right="0"/>
      </w:pPr>
      <w:r>
        <w:t>Acaba então por ser</w:t>
      </w:r>
      <w:r w:rsidR="00E825C7">
        <w:t xml:space="preserve"> regida pelo direito europeu, com base nos princípios da </w:t>
      </w:r>
      <w:r w:rsidR="00E825C7" w:rsidRPr="00AA14BC">
        <w:t>“subsidiariedade” e da “proporcionalidade”</w:t>
      </w:r>
      <w:r w:rsidRPr="00AA14BC">
        <w:t xml:space="preserve">, </w:t>
      </w:r>
      <w:r w:rsidR="00E825C7" w:rsidRPr="00AA14BC">
        <w:t>salvaguardada</w:t>
      </w:r>
      <w:r w:rsidR="00E825C7">
        <w:t xml:space="preserve"> por instituições supranacionais, que </w:t>
      </w:r>
      <w:r>
        <w:t>actuam</w:t>
      </w:r>
      <w:r w:rsidR="00E825C7">
        <w:t xml:space="preserve"> independentemente dos interesses dos governos nacionais, em favor do</w:t>
      </w:r>
      <w:r>
        <w:t>s cidadãos europeus.</w:t>
      </w:r>
    </w:p>
    <w:p w14:paraId="0AE5DB7C" w14:textId="6B5684BD" w:rsidR="004A5D56" w:rsidRDefault="004A5D56" w:rsidP="00E825C7">
      <w:pPr>
        <w:pBdr>
          <w:top w:val="nil"/>
          <w:left w:val="nil"/>
          <w:bottom w:val="nil"/>
          <w:right w:val="nil"/>
          <w:between w:val="nil"/>
        </w:pBdr>
        <w:ind w:right="0"/>
      </w:pPr>
      <w:r>
        <w:t>Idealizada como uma ferramenta para politizar o projecto europeu, avançar com o processo de integração e promover maior unidade e identificação entre os cidadãos da União, na prática, tem-se manifestado através de interacções transnacionais baseadas mais num estatuto privilegiado do que numa entidade política europeia enraizada</w:t>
      </w:r>
      <w:r>
        <w:rPr>
          <w:rStyle w:val="Refdenotaderodap"/>
        </w:rPr>
        <w:footnoteReference w:id="36"/>
      </w:r>
      <w:r>
        <w:t>.</w:t>
      </w:r>
    </w:p>
    <w:p w14:paraId="5FA07DEB" w14:textId="77777777" w:rsidR="001F343D" w:rsidRDefault="001F343D" w:rsidP="001F343D">
      <w:pPr>
        <w:pBdr>
          <w:top w:val="nil"/>
          <w:left w:val="nil"/>
          <w:bottom w:val="nil"/>
          <w:right w:val="nil"/>
          <w:between w:val="nil"/>
        </w:pBdr>
        <w:ind w:right="0"/>
      </w:pPr>
      <w:r>
        <w:t xml:space="preserve">Esta forma de cidadania, é algo que apesar de ser num nível completamente diferente do americano, revê-se um bocado no seu exemplo, onde a cidadania é concedida tanto pelo governo federal dos Estados Unidos da América, como pelo próprio estado em que a pessoa reside. </w:t>
      </w:r>
    </w:p>
    <w:p w14:paraId="749E014B" w14:textId="4E4871CE" w:rsidR="001F343D" w:rsidRDefault="001F343D" w:rsidP="001F343D">
      <w:pPr>
        <w:pBdr>
          <w:top w:val="nil"/>
          <w:left w:val="nil"/>
          <w:bottom w:val="nil"/>
          <w:right w:val="nil"/>
          <w:between w:val="nil"/>
        </w:pBdr>
        <w:ind w:right="0"/>
      </w:pPr>
      <w:r>
        <w:t xml:space="preserve">A </w:t>
      </w:r>
      <w:r w:rsidR="00E40479">
        <w:t xml:space="preserve">secção 1.ª, da </w:t>
      </w:r>
      <w:r>
        <w:t>14</w:t>
      </w:r>
      <w:r w:rsidR="00AA14BC">
        <w:t>.</w:t>
      </w:r>
      <w:r>
        <w:t>ª Emenda da sua Constituição estabelece que qualquer pessoa nascida ou naturalizada nos EUA e sujeita à sua jurisdição, é cidadã tanto dos EUA quanto do estado onde reside</w:t>
      </w:r>
      <w:r w:rsidR="00E40479">
        <w:rPr>
          <w:rStyle w:val="Refdenotaderodap"/>
        </w:rPr>
        <w:footnoteReference w:id="37"/>
      </w:r>
      <w:r>
        <w:t>. Isso significa que um cidadão americano possui direitos e deveres tanto ao nível federal quanto estadual.</w:t>
      </w:r>
    </w:p>
    <w:p w14:paraId="6CA4834B" w14:textId="2A5E2994" w:rsidR="001F343D" w:rsidRDefault="001F343D" w:rsidP="001F343D">
      <w:pPr>
        <w:pBdr>
          <w:top w:val="nil"/>
          <w:left w:val="nil"/>
          <w:bottom w:val="nil"/>
          <w:right w:val="nil"/>
          <w:between w:val="nil"/>
        </w:pBdr>
        <w:ind w:right="0"/>
      </w:pPr>
      <w:r>
        <w:t>Neste caso, temos um modelo semelhante, em que os cidadãos europeus disfrutam de direitos a nível europeu</w:t>
      </w:r>
      <w:r w:rsidR="00E40479">
        <w:t xml:space="preserve">, </w:t>
      </w:r>
      <w:r>
        <w:t xml:space="preserve">como dos </w:t>
      </w:r>
      <w:r w:rsidR="00556F99">
        <w:t>respectivos</w:t>
      </w:r>
      <w:r>
        <w:t xml:space="preserve"> direitos a nível nacional, conferidos pela sua nacionalidade.</w:t>
      </w:r>
    </w:p>
    <w:p w14:paraId="7E4DC78F" w14:textId="64B827DD" w:rsidR="001F343D" w:rsidRDefault="001F343D" w:rsidP="001F343D">
      <w:pPr>
        <w:pBdr>
          <w:top w:val="nil"/>
          <w:left w:val="nil"/>
          <w:bottom w:val="nil"/>
          <w:right w:val="nil"/>
          <w:between w:val="nil"/>
        </w:pBdr>
        <w:ind w:right="0"/>
      </w:pPr>
      <w:r>
        <w:t xml:space="preserve">Um exemplo claro desta cidadania europeia é a </w:t>
      </w:r>
      <w:r w:rsidR="00556F99">
        <w:t>protecção</w:t>
      </w:r>
      <w:r>
        <w:t xml:space="preserve"> consular conferida a todos os cidadãos europeus que se encontrem fora da União Europeia e não tenham representação diplomática do seu país, podendo assim recorrer a um consulado ou embaixada de outro Estado-Membro da UE para assistência. </w:t>
      </w:r>
    </w:p>
    <w:p w14:paraId="21089A9E" w14:textId="77777777" w:rsidR="00724407" w:rsidRDefault="001F343D" w:rsidP="001F343D">
      <w:pPr>
        <w:pBdr>
          <w:top w:val="nil"/>
          <w:left w:val="nil"/>
          <w:bottom w:val="nil"/>
          <w:right w:val="nil"/>
          <w:between w:val="nil"/>
        </w:pBdr>
        <w:ind w:right="0"/>
      </w:pPr>
      <w:r>
        <w:t xml:space="preserve">Este apoio consular é um direito dos cidadãos da UE, garantindo que todos os cidadãos europeus são tratados de forma igual, independentemente do seu país de origem, no âmbito do direito à igualdade de tratamento, que é um dos direitos fundamentais dos cidadãos da União. </w:t>
      </w:r>
    </w:p>
    <w:p w14:paraId="45C9158A" w14:textId="4DC26505" w:rsidR="004A5D56" w:rsidRDefault="001F343D" w:rsidP="001F343D">
      <w:pPr>
        <w:pBdr>
          <w:top w:val="nil"/>
          <w:left w:val="nil"/>
          <w:bottom w:val="nil"/>
          <w:right w:val="nil"/>
          <w:between w:val="nil"/>
        </w:pBdr>
        <w:ind w:right="0"/>
      </w:pPr>
      <w:r>
        <w:t>Está consagrado no artigo 20.º, n.º 2, alínea c), e no artigo 23.º</w:t>
      </w:r>
      <w:r w:rsidR="00E40479">
        <w:t>,</w:t>
      </w:r>
      <w:r>
        <w:t xml:space="preserve"> do Tratado sobre o Funcionamento da UE</w:t>
      </w:r>
      <w:r w:rsidR="00383E43">
        <w:rPr>
          <w:rStyle w:val="Refdenotaderodap"/>
        </w:rPr>
        <w:footnoteReference w:id="38"/>
      </w:r>
      <w:r>
        <w:t>, bem como no artigo 46.º</w:t>
      </w:r>
      <w:r w:rsidR="00E40479">
        <w:t>,</w:t>
      </w:r>
      <w:r>
        <w:t xml:space="preserve"> da Carta dos Direitos Fundamentais da UE</w:t>
      </w:r>
      <w:r w:rsidR="00383E43">
        <w:rPr>
          <w:rStyle w:val="Refdenotaderodap"/>
        </w:rPr>
        <w:footnoteReference w:id="39"/>
      </w:r>
      <w:r>
        <w:t>.</w:t>
      </w:r>
    </w:p>
    <w:p w14:paraId="74670783" w14:textId="68AECD62" w:rsidR="00572248" w:rsidRDefault="00572248" w:rsidP="001F343D">
      <w:pPr>
        <w:pBdr>
          <w:top w:val="nil"/>
          <w:left w:val="nil"/>
          <w:bottom w:val="nil"/>
          <w:right w:val="nil"/>
          <w:between w:val="nil"/>
        </w:pBdr>
        <w:ind w:right="0"/>
      </w:pPr>
      <w:r>
        <w:t xml:space="preserve">A cidadania europeia confere também o poder de </w:t>
      </w:r>
      <w:r w:rsidRPr="00572248">
        <w:t>iniciativa de cidadania europeia</w:t>
      </w:r>
      <w:r>
        <w:t>, enquanto mecanismo que contribui para a criação de políticas da União, mediante a recolha de um milhão de assinaturas</w:t>
      </w:r>
      <w:r w:rsidR="00904F29">
        <w:t xml:space="preserve"> </w:t>
      </w:r>
      <w:r>
        <w:t>pelos cidadãos europeus</w:t>
      </w:r>
      <w:r w:rsidR="00904F29">
        <w:t xml:space="preserve"> de sete Estados-Membros, de uma sugestão sem efeito vinculativo</w:t>
      </w:r>
      <w:r>
        <w:t>, entregues à Comissão Europeia, que prontamente deve decidir o próximo passo a seguir.</w:t>
      </w:r>
    </w:p>
    <w:p w14:paraId="52290476" w14:textId="7D43132E" w:rsidR="00572248" w:rsidRDefault="00572248" w:rsidP="001F343D">
      <w:pPr>
        <w:pBdr>
          <w:top w:val="nil"/>
          <w:left w:val="nil"/>
          <w:bottom w:val="nil"/>
          <w:right w:val="nil"/>
          <w:between w:val="nil"/>
        </w:pBdr>
        <w:ind w:right="0"/>
      </w:pPr>
      <w:r>
        <w:t>Esta iniciativa surge como um</w:t>
      </w:r>
      <w:r w:rsidRPr="00572248">
        <w:t xml:space="preserve"> instrumento de democracia participativa da Uniã</w:t>
      </w:r>
      <w:r w:rsidR="006C39BD">
        <w:t>o, em concordância com o estabelecido n</w:t>
      </w:r>
      <w:r w:rsidRPr="00572248">
        <w:t>o artigo 11</w:t>
      </w:r>
      <w:r w:rsidR="006C39BD">
        <w:t>.</w:t>
      </w:r>
      <w:r w:rsidRPr="00572248">
        <w:t>º, n.º 4, do TUE</w:t>
      </w:r>
      <w:r w:rsidR="006C39BD">
        <w:t>, que visa reforçar a democracia dentro da União.</w:t>
      </w:r>
    </w:p>
    <w:p w14:paraId="49EC41B3" w14:textId="77777777" w:rsidR="00904F29" w:rsidRDefault="006C39BD" w:rsidP="006C39BD">
      <w:pPr>
        <w:pBdr>
          <w:top w:val="nil"/>
          <w:left w:val="nil"/>
          <w:bottom w:val="nil"/>
          <w:right w:val="nil"/>
          <w:between w:val="nil"/>
        </w:pBdr>
        <w:ind w:right="0"/>
      </w:pPr>
      <w:r>
        <w:t xml:space="preserve">A democracia participativa, em complemento à democracia representativa, cria um procedimento capaz de mobilizar cidadãos europeus, de diversos Estados-Membros, que juntos vão, de forma democrática, definir as trajectórias da política da UE, bem como mostrar à Comissão Europeia, qual a posição dos cidadãos em relação a determinadas matérias, permitindo a </w:t>
      </w:r>
      <w:r w:rsidRPr="006C39BD">
        <w:t>adopção de actos normativos pel</w:t>
      </w:r>
      <w:r>
        <w:t>os órgãos d</w:t>
      </w:r>
      <w:r w:rsidRPr="006C39BD">
        <w:t>a União responsáveis pelo processo legislativo</w:t>
      </w:r>
      <w:r>
        <w:t>.</w:t>
      </w:r>
      <w:r w:rsidR="00904F29">
        <w:t xml:space="preserve"> </w:t>
      </w:r>
    </w:p>
    <w:p w14:paraId="25690B12" w14:textId="128F43E9" w:rsidR="006C39BD" w:rsidRDefault="00904F29" w:rsidP="001F343D">
      <w:pPr>
        <w:pBdr>
          <w:top w:val="nil"/>
          <w:left w:val="nil"/>
          <w:bottom w:val="nil"/>
          <w:right w:val="nil"/>
          <w:between w:val="nil"/>
        </w:pBdr>
        <w:ind w:right="0"/>
      </w:pPr>
      <w:r>
        <w:t>A</w:t>
      </w:r>
      <w:r w:rsidR="006C39BD">
        <w:t xml:space="preserve"> </w:t>
      </w:r>
      <w:r>
        <w:t>Iniciativa do Cidadão Europeu</w:t>
      </w:r>
      <w:r w:rsidR="006C39BD">
        <w:t xml:space="preserve"> </w:t>
      </w:r>
      <w:r>
        <w:t>revela-se assim,</w:t>
      </w:r>
      <w:r w:rsidR="006C39BD">
        <w:t xml:space="preserve"> </w:t>
      </w:r>
      <w:r>
        <w:t xml:space="preserve">num instrumento de </w:t>
      </w:r>
      <w:r w:rsidR="006C39BD">
        <w:t>uma União</w:t>
      </w:r>
      <w:r>
        <w:t xml:space="preserve"> não só democrática, como uma focada no</w:t>
      </w:r>
      <w:r w:rsidR="006C39BD">
        <w:t xml:space="preserve"> cidadão</w:t>
      </w:r>
      <w:r>
        <w:rPr>
          <w:rStyle w:val="Refdenotaderodap"/>
        </w:rPr>
        <w:footnoteReference w:id="40"/>
      </w:r>
      <w:r w:rsidR="006C39BD">
        <w:t>.</w:t>
      </w:r>
    </w:p>
    <w:p w14:paraId="10262C84" w14:textId="31CB0944" w:rsidR="00E40479" w:rsidRDefault="00E40479" w:rsidP="001F343D">
      <w:pPr>
        <w:pBdr>
          <w:top w:val="nil"/>
          <w:left w:val="nil"/>
          <w:bottom w:val="nil"/>
          <w:right w:val="nil"/>
          <w:between w:val="nil"/>
        </w:pBdr>
        <w:ind w:right="0"/>
      </w:pPr>
      <w:r>
        <w:t>A existência de instituições supranacionais no âmbito da União, também confere à mesma, elementos típicos de um Estado federal.</w:t>
      </w:r>
    </w:p>
    <w:p w14:paraId="5C79F3AB" w14:textId="4A210908" w:rsidR="001F343D" w:rsidRDefault="001F343D" w:rsidP="001F343D">
      <w:pPr>
        <w:pBdr>
          <w:top w:val="nil"/>
          <w:left w:val="nil"/>
          <w:bottom w:val="nil"/>
          <w:right w:val="nil"/>
          <w:between w:val="nil"/>
        </w:pBdr>
        <w:ind w:right="0"/>
      </w:pPr>
      <w:r>
        <w:t>Os Estados-</w:t>
      </w:r>
      <w:r w:rsidR="00E524C4">
        <w:t>M</w:t>
      </w:r>
      <w:r>
        <w:t>embros da União, apesar de soberanos, com culturas, governos e credos políticos e religiosos diferentes, mantêm uma submissão</w:t>
      </w:r>
      <w:r w:rsidR="00AC759A">
        <w:t xml:space="preserve"> parcial</w:t>
      </w:r>
      <w:r>
        <w:t xml:space="preserve"> a instituições políticas supranacionais de carácter europeu, </w:t>
      </w:r>
      <w:r w:rsidR="00AC759A">
        <w:t xml:space="preserve">como o </w:t>
      </w:r>
      <w:r>
        <w:t>Parlamento Europeu</w:t>
      </w:r>
      <w:r w:rsidR="00AC759A">
        <w:t xml:space="preserve">, o </w:t>
      </w:r>
      <w:r>
        <w:t>Conselho Europeu</w:t>
      </w:r>
      <w:r w:rsidR="00AC759A">
        <w:t xml:space="preserve">, o </w:t>
      </w:r>
      <w:r>
        <w:t>Conselho da União Europei</w:t>
      </w:r>
      <w:r w:rsidR="00AC759A">
        <w:t xml:space="preserve">a e a </w:t>
      </w:r>
      <w:r>
        <w:t>Comissão Europeia</w:t>
      </w:r>
      <w:r w:rsidR="00AC759A">
        <w:t>.</w:t>
      </w:r>
      <w:r>
        <w:t xml:space="preserve"> </w:t>
      </w:r>
    </w:p>
    <w:p w14:paraId="4D85CC6C" w14:textId="77777777" w:rsidR="001F343D" w:rsidRDefault="001F343D" w:rsidP="001F343D">
      <w:pPr>
        <w:pBdr>
          <w:top w:val="nil"/>
          <w:left w:val="nil"/>
          <w:bottom w:val="nil"/>
          <w:right w:val="nil"/>
          <w:between w:val="nil"/>
        </w:pBdr>
        <w:ind w:right="0"/>
      </w:pPr>
      <w:r>
        <w:t>Estas instituições cooperam amplamente com uma rede de agências e organizações da UE em toda a União Europeia, como o Tribunal de Justiça da União Europeia, Banco Central Europeu, Tribunal de Contas Europeu, etc.</w:t>
      </w:r>
    </w:p>
    <w:p w14:paraId="51ECB233" w14:textId="77777777" w:rsidR="00AA14BC" w:rsidRDefault="00AA14BC" w:rsidP="001F343D">
      <w:pPr>
        <w:pBdr>
          <w:top w:val="nil"/>
          <w:left w:val="nil"/>
          <w:bottom w:val="nil"/>
          <w:right w:val="nil"/>
          <w:between w:val="nil"/>
        </w:pBdr>
        <w:ind w:right="0"/>
      </w:pPr>
    </w:p>
    <w:p w14:paraId="20EDF54C" w14:textId="0110D45C" w:rsidR="001F343D" w:rsidRDefault="001F343D" w:rsidP="00AA14BC">
      <w:pPr>
        <w:pBdr>
          <w:top w:val="nil"/>
          <w:left w:val="nil"/>
          <w:bottom w:val="nil"/>
          <w:right w:val="nil"/>
          <w:between w:val="nil"/>
        </w:pBdr>
        <w:spacing w:line="240" w:lineRule="auto"/>
        <w:ind w:left="567" w:right="0"/>
        <w:rPr>
          <w:sz w:val="20"/>
          <w:szCs w:val="20"/>
        </w:rPr>
      </w:pPr>
      <w:r w:rsidRPr="00AA14BC">
        <w:rPr>
          <w:sz w:val="20"/>
          <w:szCs w:val="20"/>
        </w:rPr>
        <w:t xml:space="preserve">As instituições políticas supranacionais transcendem, em teoria, a referida lógica de coordenação – no limite, correspondem-lhes interesses </w:t>
      </w:r>
      <w:r w:rsidR="00556F99" w:rsidRPr="00AA14BC">
        <w:rPr>
          <w:sz w:val="20"/>
          <w:szCs w:val="20"/>
        </w:rPr>
        <w:t>supra-estaduais</w:t>
      </w:r>
      <w:r w:rsidRPr="00AA14BC">
        <w:rPr>
          <w:sz w:val="20"/>
          <w:szCs w:val="20"/>
        </w:rPr>
        <w:t xml:space="preserve"> cujo preciso alcance é por si mesmas definido. Reflexamente, a tomada de decisões vinculativas no âmbito de instituições supranacionais não depende de uma anuência continuamente expressa por parte de todos ou de alguns dos Estados, o que se </w:t>
      </w:r>
      <w:r w:rsidR="00556F99" w:rsidRPr="00AA14BC">
        <w:rPr>
          <w:sz w:val="20"/>
          <w:szCs w:val="20"/>
        </w:rPr>
        <w:t>reflecte</w:t>
      </w:r>
      <w:r w:rsidRPr="00AA14BC">
        <w:rPr>
          <w:sz w:val="20"/>
          <w:szCs w:val="20"/>
        </w:rPr>
        <w:t xml:space="preserve"> na não exigência de unanimidade (democrática ou oligárquica) ao nível dos processos decisórios. A acrescer, uma estrutura organizatória supranacional inclui tipicamente órgãos cujos titulares têm um vínculo de representatividade dos povos e não dos Estados e/ou que se encontram vinculados ao interesse </w:t>
      </w:r>
      <w:r w:rsidR="00556F99" w:rsidRPr="00AA14BC">
        <w:rPr>
          <w:sz w:val="20"/>
          <w:szCs w:val="20"/>
        </w:rPr>
        <w:t>supra-estadual</w:t>
      </w:r>
      <w:r w:rsidRPr="00AA14BC">
        <w:rPr>
          <w:sz w:val="20"/>
          <w:szCs w:val="20"/>
        </w:rPr>
        <w:t xml:space="preserve"> no confronto com os interesses dos Estados</w:t>
      </w:r>
      <w:r w:rsidR="00EA36EF" w:rsidRPr="00AA14BC">
        <w:rPr>
          <w:rStyle w:val="Refdenotaderodap"/>
          <w:sz w:val="20"/>
          <w:szCs w:val="20"/>
        </w:rPr>
        <w:footnoteReference w:id="41"/>
      </w:r>
      <w:r w:rsidRPr="00AA14BC">
        <w:rPr>
          <w:sz w:val="20"/>
          <w:szCs w:val="20"/>
        </w:rPr>
        <w:t>.</w:t>
      </w:r>
    </w:p>
    <w:p w14:paraId="5DFAFEE1" w14:textId="77777777" w:rsidR="00AA14BC" w:rsidRPr="00AA14BC" w:rsidRDefault="00AA14BC" w:rsidP="00AA14BC">
      <w:pPr>
        <w:pBdr>
          <w:top w:val="nil"/>
          <w:left w:val="nil"/>
          <w:bottom w:val="nil"/>
          <w:right w:val="nil"/>
          <w:between w:val="nil"/>
        </w:pBdr>
        <w:spacing w:line="240" w:lineRule="auto"/>
        <w:ind w:left="567" w:right="0"/>
        <w:rPr>
          <w:sz w:val="20"/>
          <w:szCs w:val="20"/>
        </w:rPr>
      </w:pPr>
    </w:p>
    <w:p w14:paraId="63E81F6D" w14:textId="24737AE3" w:rsidR="001F343D" w:rsidRDefault="001F343D" w:rsidP="001F343D">
      <w:pPr>
        <w:pBdr>
          <w:top w:val="nil"/>
          <w:left w:val="nil"/>
          <w:bottom w:val="nil"/>
          <w:right w:val="nil"/>
          <w:between w:val="nil"/>
        </w:pBdr>
        <w:ind w:right="0"/>
      </w:pPr>
      <w:r>
        <w:t>Estas instituições são por isso, organizações internacionais onde os Estados-</w:t>
      </w:r>
      <w:r w:rsidR="00E524C4">
        <w:t>M</w:t>
      </w:r>
      <w:r>
        <w:t xml:space="preserve">embros transferem parte da sua soberania para uma entidade superior, que toma decisões que </w:t>
      </w:r>
      <w:r w:rsidR="00556F99">
        <w:t>afectam</w:t>
      </w:r>
      <w:r>
        <w:t xml:space="preserve"> todos os membros, tendo em vista procurar atingir interesses </w:t>
      </w:r>
      <w:r w:rsidR="00556F99">
        <w:t>supra-estaduais</w:t>
      </w:r>
      <w:r>
        <w:t xml:space="preserve"> por meio de mecanismos e consoante limites à sua </w:t>
      </w:r>
      <w:r w:rsidR="00556F99">
        <w:t>actuação</w:t>
      </w:r>
      <w:r>
        <w:t>, pré-estabelecidos pelos Estados-</w:t>
      </w:r>
      <w:r w:rsidR="00E524C4">
        <w:t>M</w:t>
      </w:r>
      <w:r>
        <w:t>embros.</w:t>
      </w:r>
    </w:p>
    <w:p w14:paraId="5B0A88FD" w14:textId="77777777" w:rsidR="001F343D" w:rsidRDefault="001F343D" w:rsidP="001F343D">
      <w:pPr>
        <w:pBdr>
          <w:top w:val="nil"/>
          <w:left w:val="nil"/>
          <w:bottom w:val="nil"/>
          <w:right w:val="nil"/>
          <w:between w:val="nil"/>
        </w:pBdr>
        <w:ind w:right="0"/>
      </w:pPr>
      <w:r>
        <w:t>Os representantes nessas instituições europeias, ao contrário dos representantes em órgãos nacionais (Exemplo português: juntas de freguesia, câmaras municipais, Assembleia da República), não se encontram vinculados aos interesses nacionais dos Estado, da mesma forma que um deputado da Assembleia da República deve procurar atingir medidas benéficas para os cidadãos portugueses, mas devem antes visar o interesse do bloco como um todo.</w:t>
      </w:r>
    </w:p>
    <w:p w14:paraId="41DF97E7" w14:textId="526EB8EF" w:rsidR="001F343D" w:rsidRDefault="001F343D" w:rsidP="001F343D">
      <w:pPr>
        <w:pBdr>
          <w:top w:val="nil"/>
          <w:left w:val="nil"/>
          <w:bottom w:val="nil"/>
          <w:right w:val="nil"/>
          <w:between w:val="nil"/>
        </w:pBdr>
        <w:ind w:right="0"/>
      </w:pPr>
      <w:r>
        <w:t>Os Estados-</w:t>
      </w:r>
      <w:r w:rsidR="00E524C4">
        <w:t>M</w:t>
      </w:r>
      <w:r>
        <w:t>embros que se encontram representados nestas instituições não são totalmente soberanos, visto que parte da sua soberania foi transferida para as organizações supra, devendo obedecer às decisões destes órgãos, a quem foram conferidos poderes com âmbito em todo o território da União.</w:t>
      </w:r>
    </w:p>
    <w:p w14:paraId="2A6ED188" w14:textId="4143001D" w:rsidR="001F343D" w:rsidRDefault="00AC759A" w:rsidP="001F343D">
      <w:pPr>
        <w:pBdr>
          <w:top w:val="nil"/>
          <w:left w:val="nil"/>
          <w:bottom w:val="nil"/>
          <w:right w:val="nil"/>
          <w:between w:val="nil"/>
        </w:pBdr>
        <w:ind w:right="0"/>
      </w:pPr>
      <w:r>
        <w:t>Analisando agora a moeda única, enquanto uma</w:t>
      </w:r>
      <w:r w:rsidR="001F343D">
        <w:t xml:space="preserve"> das características mais </w:t>
      </w:r>
      <w:r>
        <w:t>particulares</w:t>
      </w:r>
      <w:r w:rsidR="001F343D">
        <w:t xml:space="preserve"> do bloco europeu</w:t>
      </w:r>
      <w:r>
        <w:t>, é de realçar que a</w:t>
      </w:r>
      <w:r w:rsidR="001F343D">
        <w:t>pesar dos 27 países da União serem soberanos, 2</w:t>
      </w:r>
      <w:r w:rsidR="00556F99">
        <w:t>1</w:t>
      </w:r>
      <w:r w:rsidR="001F343D">
        <w:t xml:space="preserve"> destes partilham uma moeda comum, o Euro, abdicando das suas moedas nacionais, como o franco, escudo, marco, lira italiana, etc.</w:t>
      </w:r>
    </w:p>
    <w:p w14:paraId="786923BF" w14:textId="75B3AFF5" w:rsidR="001F343D" w:rsidRDefault="001F343D" w:rsidP="001F343D">
      <w:pPr>
        <w:pBdr>
          <w:top w:val="nil"/>
          <w:left w:val="nil"/>
          <w:bottom w:val="nil"/>
          <w:right w:val="nil"/>
          <w:between w:val="nil"/>
        </w:pBdr>
        <w:ind w:right="0"/>
      </w:pPr>
      <w:r>
        <w:t>Isto revelou ser um passo extraordinário no processo unificador europeu, visto que agora estes Estados-</w:t>
      </w:r>
      <w:r w:rsidR="00E524C4">
        <w:t>M</w:t>
      </w:r>
      <w:r>
        <w:t>embros (Áustria, Bélgica,</w:t>
      </w:r>
      <w:r w:rsidR="00556F99">
        <w:t xml:space="preserve"> Bulgária,</w:t>
      </w:r>
      <w:r>
        <w:t xml:space="preserve"> Croácia, Chipre, Estónia, Finlândia, França, Alemanha, Grécia, Irlanda, Itália, Letónia, Lituânia, Luxemburgo, Malta, Países Baixos, Portugal, Eslováquia, Eslovénia e Espanha), constituem conjuntamente a área do euro, unidos na sua política monetária.</w:t>
      </w:r>
    </w:p>
    <w:p w14:paraId="748D5251" w14:textId="75189267" w:rsidR="001F343D" w:rsidRDefault="001F343D" w:rsidP="001F343D">
      <w:pPr>
        <w:pBdr>
          <w:top w:val="nil"/>
          <w:left w:val="nil"/>
          <w:bottom w:val="nil"/>
          <w:right w:val="nil"/>
          <w:between w:val="nil"/>
        </w:pBdr>
        <w:ind w:right="0"/>
      </w:pPr>
      <w:r>
        <w:t>A gestão das operações diárias de transferência e de câmbio de moedas é assegurada pelo Banco Central Europeu, enquanto banco central dos 2</w:t>
      </w:r>
      <w:r w:rsidR="00556F99">
        <w:t>1</w:t>
      </w:r>
      <w:r>
        <w:t xml:space="preserve"> países da União Europeia que </w:t>
      </w:r>
      <w:r w:rsidR="00556F99">
        <w:t>adoptaram</w:t>
      </w:r>
      <w:r>
        <w:t xml:space="preserve"> o euro e tem como função assegurar a estabilidade dos preços e preservar o poder de compra da moeda única.</w:t>
      </w:r>
    </w:p>
    <w:p w14:paraId="6C9BD80C" w14:textId="2EC29D9D" w:rsidR="001F343D" w:rsidRDefault="001F343D" w:rsidP="001F343D">
      <w:pPr>
        <w:pBdr>
          <w:top w:val="nil"/>
          <w:left w:val="nil"/>
          <w:bottom w:val="nil"/>
          <w:right w:val="nil"/>
          <w:between w:val="nil"/>
        </w:pBdr>
        <w:ind w:right="0"/>
      </w:pPr>
      <w:r>
        <w:t xml:space="preserve">Esta agência da União assume uma posição de relevo na política monetária centralizada europeia, enquanto gestor da moeda única </w:t>
      </w:r>
      <w:r w:rsidR="00556F99">
        <w:t>adoptada</w:t>
      </w:r>
      <w:r>
        <w:t xml:space="preserve"> por 2</w:t>
      </w:r>
      <w:r w:rsidR="00556F99">
        <w:t>1</w:t>
      </w:r>
      <w:r>
        <w:t xml:space="preserve"> membros da União.</w:t>
      </w:r>
    </w:p>
    <w:p w14:paraId="31BC307B" w14:textId="348AD339" w:rsidR="001F343D" w:rsidRDefault="001F343D" w:rsidP="001F343D">
      <w:pPr>
        <w:pBdr>
          <w:top w:val="nil"/>
          <w:left w:val="nil"/>
          <w:bottom w:val="nil"/>
          <w:right w:val="nil"/>
          <w:between w:val="nil"/>
        </w:pBdr>
        <w:ind w:right="0"/>
      </w:pPr>
      <w:r>
        <w:t xml:space="preserve">É por isso um passo na </w:t>
      </w:r>
      <w:r w:rsidR="00556F99">
        <w:t>direcção</w:t>
      </w:r>
      <w:r>
        <w:t xml:space="preserve"> do federalismo e da aproximação dos Estados europeus, visto que uma união deste tipo, além de implicar a coordenação das políticas económicas e orçamentais, uma política monetária comum e uma moeda comum, representa também uma cedência da soberania monetária dos Estados a favor de uma agencia supranacional, com vista a facilitar as trocas comerciais entre empresas de países diferentes, melhorar o desempenho económico e possibilitar uma maior escolha e mais oportunidades aos consumidores.</w:t>
      </w:r>
    </w:p>
    <w:p w14:paraId="1B9CBCB9" w14:textId="77777777" w:rsidR="001F343D" w:rsidRDefault="001F343D" w:rsidP="001F343D">
      <w:pPr>
        <w:pBdr>
          <w:top w:val="nil"/>
          <w:left w:val="nil"/>
          <w:bottom w:val="nil"/>
          <w:right w:val="nil"/>
          <w:between w:val="nil"/>
        </w:pBdr>
        <w:ind w:right="0"/>
      </w:pPr>
      <w:r>
        <w:t>A intenção dos Estados que aderiram à zona euro foi então, promover em conjunto e enquanto bloco, o crescimento económico dos mesmos.</w:t>
      </w:r>
    </w:p>
    <w:p w14:paraId="6EB03AE4" w14:textId="017B9AA9" w:rsidR="0019302D" w:rsidRDefault="001F343D" w:rsidP="001F343D">
      <w:pPr>
        <w:pBdr>
          <w:top w:val="nil"/>
          <w:left w:val="nil"/>
          <w:bottom w:val="nil"/>
          <w:right w:val="nil"/>
          <w:between w:val="nil"/>
        </w:pBdr>
        <w:ind w:right="0"/>
      </w:pPr>
      <w:r>
        <w:t>Não obstante, qualquer perda de soberania a favor de uma agência de uma organização com poder central face ao poder local dos Estados-</w:t>
      </w:r>
      <w:r w:rsidR="00E524C4">
        <w:t>M</w:t>
      </w:r>
      <w:r>
        <w:t>embros, é sem sombra de dúvida o tipo de aproximação ao modelo federalista que tem se vindo a verificar nas últimas etapas da evolução da União.</w:t>
      </w:r>
    </w:p>
    <w:p w14:paraId="55375FC9" w14:textId="77777777" w:rsidR="00465D91" w:rsidRDefault="00465D91" w:rsidP="001F343D">
      <w:pPr>
        <w:pBdr>
          <w:top w:val="nil"/>
          <w:left w:val="nil"/>
          <w:bottom w:val="nil"/>
          <w:right w:val="nil"/>
          <w:between w:val="nil"/>
        </w:pBdr>
        <w:ind w:right="0"/>
      </w:pPr>
    </w:p>
    <w:p w14:paraId="182DBB6F" w14:textId="178956CA" w:rsidR="00556F99" w:rsidRPr="00787C75" w:rsidRDefault="00556F99" w:rsidP="00787C75">
      <w:pPr>
        <w:pStyle w:val="PargrafodaLista"/>
        <w:numPr>
          <w:ilvl w:val="2"/>
          <w:numId w:val="1"/>
        </w:numPr>
        <w:ind w:left="1077" w:right="17"/>
        <w:outlineLvl w:val="2"/>
      </w:pPr>
      <w:bookmarkStart w:id="23" w:name="_Toc221648069"/>
      <w:r w:rsidRPr="00787C75">
        <w:t>Características confederadas</w:t>
      </w:r>
      <w:bookmarkEnd w:id="23"/>
    </w:p>
    <w:p w14:paraId="739C8413" w14:textId="77777777" w:rsidR="00AC759A" w:rsidRDefault="00AC759A" w:rsidP="00556F99">
      <w:pPr>
        <w:pBdr>
          <w:top w:val="nil"/>
          <w:left w:val="nil"/>
          <w:bottom w:val="nil"/>
          <w:right w:val="nil"/>
          <w:between w:val="nil"/>
        </w:pBdr>
        <w:ind w:right="0"/>
      </w:pPr>
      <w:r>
        <w:t>No âmbito das características confederadas da União, é de analisar a preservação que ainda existe da soberania nacional dos Estados.</w:t>
      </w:r>
    </w:p>
    <w:p w14:paraId="7D5A9B2B" w14:textId="703D1D5E" w:rsidR="00AA14BC" w:rsidRDefault="00556F99" w:rsidP="00556F99">
      <w:pPr>
        <w:pBdr>
          <w:top w:val="nil"/>
          <w:left w:val="nil"/>
          <w:bottom w:val="nil"/>
          <w:right w:val="nil"/>
          <w:between w:val="nil"/>
        </w:pBdr>
        <w:ind w:right="0"/>
      </w:pPr>
      <w:r>
        <w:t>O conceito de soberania nacional tem sofrido uma evolução constante, verificando-se, nas palavras de Stephen Krasner, que</w:t>
      </w:r>
      <w:r w:rsidR="00AA14BC">
        <w:t xml:space="preserve">: </w:t>
      </w:r>
    </w:p>
    <w:p w14:paraId="48A97B01" w14:textId="77777777" w:rsidR="00AA14BC" w:rsidRDefault="00AA14BC" w:rsidP="00556F99">
      <w:pPr>
        <w:pBdr>
          <w:top w:val="nil"/>
          <w:left w:val="nil"/>
          <w:bottom w:val="nil"/>
          <w:right w:val="nil"/>
          <w:between w:val="nil"/>
        </w:pBdr>
        <w:ind w:right="0"/>
      </w:pPr>
    </w:p>
    <w:p w14:paraId="1838DF4E" w14:textId="00034E7B" w:rsidR="00556F99" w:rsidRDefault="00AA14BC" w:rsidP="00AA14BC">
      <w:pPr>
        <w:pBdr>
          <w:top w:val="nil"/>
          <w:left w:val="nil"/>
          <w:bottom w:val="nil"/>
          <w:right w:val="nil"/>
          <w:between w:val="nil"/>
        </w:pBdr>
        <w:spacing w:line="240" w:lineRule="auto"/>
        <w:ind w:left="567" w:right="0"/>
        <w:rPr>
          <w:sz w:val="20"/>
          <w:szCs w:val="20"/>
        </w:rPr>
      </w:pPr>
      <w:r w:rsidRPr="00AA14BC">
        <w:rPr>
          <w:sz w:val="20"/>
          <w:szCs w:val="20"/>
        </w:rPr>
        <w:t>O</w:t>
      </w:r>
      <w:r w:rsidR="00556F99" w:rsidRPr="00AA14BC">
        <w:rPr>
          <w:sz w:val="20"/>
          <w:szCs w:val="20"/>
        </w:rPr>
        <w:t xml:space="preserve"> termo soberania tem sido usado com quatro acepções distintas — soberania internacional legal, soberania de Vestefália, soberania interna e soberania interdependente. A soberana legal internacional refere-se às práticas associadas ao reconhecimento mútuo entre entidades territoriais que têm uma independência jurídica formal. A soberania de Vestefália refere-se à organização política baseada na exclusão de actores externos das estruturas de autoridade dentro de um dado território. A soberania interna refere-se à organização formal da autoridade política no interior do Estado — monarquia versus república, ou unitário versus federal, por exemplo — e à capacidade de as autoridades públicas exercerem um controlo efectivo dentro das fronteiras dessa entidade política.</w:t>
      </w:r>
      <w:r>
        <w:rPr>
          <w:sz w:val="20"/>
          <w:szCs w:val="20"/>
        </w:rPr>
        <w:t xml:space="preserve"> </w:t>
      </w:r>
      <w:r w:rsidR="00556F99" w:rsidRPr="00AA14BC">
        <w:rPr>
          <w:sz w:val="20"/>
          <w:szCs w:val="20"/>
        </w:rPr>
        <w:t>Finalmente, a soberania interdependente refere-se à capacidade das autoridades públicas de regularem o fluxo de informação, ideias, bens, pessoas, poluentes, ou capital, através das fronteiras do seu Estado</w:t>
      </w:r>
      <w:r w:rsidRPr="00AA14BC">
        <w:rPr>
          <w:sz w:val="20"/>
          <w:szCs w:val="20"/>
        </w:rPr>
        <w:t xml:space="preserve"> </w:t>
      </w:r>
      <w:r w:rsidR="00EA36EF" w:rsidRPr="00AA14BC">
        <w:rPr>
          <w:rStyle w:val="Refdenotaderodap"/>
          <w:sz w:val="20"/>
          <w:szCs w:val="20"/>
        </w:rPr>
        <w:footnoteReference w:id="42"/>
      </w:r>
      <w:r w:rsidR="00556F99" w:rsidRPr="00AA14BC">
        <w:rPr>
          <w:sz w:val="20"/>
          <w:szCs w:val="20"/>
        </w:rPr>
        <w:t xml:space="preserve">. </w:t>
      </w:r>
    </w:p>
    <w:p w14:paraId="6555B055" w14:textId="77777777" w:rsidR="00AA14BC" w:rsidRPr="00AA14BC" w:rsidRDefault="00AA14BC" w:rsidP="00AA14BC">
      <w:pPr>
        <w:pBdr>
          <w:top w:val="nil"/>
          <w:left w:val="nil"/>
          <w:bottom w:val="nil"/>
          <w:right w:val="nil"/>
          <w:between w:val="nil"/>
        </w:pBdr>
        <w:spacing w:line="240" w:lineRule="auto"/>
        <w:ind w:left="567" w:right="0"/>
        <w:rPr>
          <w:sz w:val="20"/>
          <w:szCs w:val="20"/>
        </w:rPr>
      </w:pPr>
    </w:p>
    <w:p w14:paraId="58DB708D" w14:textId="216199CF" w:rsidR="00556F99" w:rsidRDefault="00556F99" w:rsidP="00556F99">
      <w:pPr>
        <w:pBdr>
          <w:top w:val="nil"/>
          <w:left w:val="nil"/>
          <w:bottom w:val="nil"/>
          <w:right w:val="nil"/>
          <w:between w:val="nil"/>
        </w:pBdr>
        <w:ind w:right="0"/>
      </w:pPr>
      <w:r>
        <w:t>No caso dos Estados-</w:t>
      </w:r>
      <w:r w:rsidR="00E524C4">
        <w:t>M</w:t>
      </w:r>
      <w:r>
        <w:t>embros da União Europeia, verifica-se, apesar de uma notória cedência de poderes dos Estados ao poder central europeu, uma preservação da soberania dos Estados.</w:t>
      </w:r>
    </w:p>
    <w:p w14:paraId="7579BA6B" w14:textId="6E0819DB" w:rsidR="00556F99" w:rsidRDefault="00556F99" w:rsidP="00556F99">
      <w:pPr>
        <w:pBdr>
          <w:top w:val="nil"/>
          <w:left w:val="nil"/>
          <w:bottom w:val="nil"/>
          <w:right w:val="nil"/>
          <w:between w:val="nil"/>
        </w:pBdr>
        <w:ind w:right="0"/>
      </w:pPr>
      <w:r>
        <w:t>Não obstante as diversas transferências de poder para os órgãos da UE por parte dos países membros, estes sempre retiveram a sua soberania em matéria de defesa, impostos, educação, cultura, saúde, segurança social, justiça, entre outros, sendo as competências da UE limitadas aos tratados em vigor, nunca tendo extrapolando o necessário à prossecução dos objectivos do bloco.</w:t>
      </w:r>
    </w:p>
    <w:p w14:paraId="59F19BF9" w14:textId="37A7B819" w:rsidR="00556F99" w:rsidRDefault="00556F99" w:rsidP="00556F99">
      <w:pPr>
        <w:pBdr>
          <w:top w:val="nil"/>
          <w:left w:val="nil"/>
          <w:bottom w:val="nil"/>
          <w:right w:val="nil"/>
          <w:between w:val="nil"/>
        </w:pBdr>
        <w:ind w:right="0"/>
      </w:pPr>
      <w:r>
        <w:t>Os órgãos da União gozam assim da prerrogativa de intervir directamente na ordem político-jurídico interna dos seus membros, mas isso não invalida a sua soberania.</w:t>
      </w:r>
    </w:p>
    <w:p w14:paraId="24F97819" w14:textId="5A2C6213" w:rsidR="00556F99" w:rsidRDefault="00556F99" w:rsidP="00556F99">
      <w:pPr>
        <w:pBdr>
          <w:top w:val="nil"/>
          <w:left w:val="nil"/>
          <w:bottom w:val="nil"/>
          <w:right w:val="nil"/>
          <w:between w:val="nil"/>
        </w:pBdr>
        <w:ind w:right="0"/>
      </w:pPr>
      <w:r>
        <w:t>Na realidade, os Estados-</w:t>
      </w:r>
      <w:r w:rsidR="00E524C4">
        <w:t>M</w:t>
      </w:r>
      <w:r>
        <w:t>embros mantém a sua soberania, conforme as quatro acepções supra, verificando-se tanto um reconhecimento mútuo entre Estados, uma exclusão de actores externos nas estruturas de autoridade dos Estados, uma organização formal interna da autoridade política dos Estados bem como a capacidade de este exercer controlo efectivo dentro das suas fronteiras e por fim, verifica-se uma capacidade das autoridades públicas dos Estados-</w:t>
      </w:r>
      <w:r w:rsidR="00E524C4">
        <w:t>M</w:t>
      </w:r>
      <w:r>
        <w:t xml:space="preserve">embros, de regularem o fluxo de informação, ideias, bens, pessoas, poluentes, ou capital, através das fronteiras do seu Estado. </w:t>
      </w:r>
    </w:p>
    <w:p w14:paraId="35BFF736" w14:textId="759B2E40" w:rsidR="00D23399" w:rsidRDefault="00556F99" w:rsidP="00D23399">
      <w:pPr>
        <w:pBdr>
          <w:top w:val="nil"/>
          <w:left w:val="nil"/>
          <w:bottom w:val="nil"/>
          <w:right w:val="nil"/>
          <w:between w:val="nil"/>
        </w:pBdr>
        <w:ind w:right="0"/>
      </w:pPr>
      <w:r>
        <w:t>A questão da soberania nem pode sequer ser colocada em causa, visto que não existe um Estado europeu ao qual os Estados-</w:t>
      </w:r>
      <w:r w:rsidR="00E524C4">
        <w:t>M</w:t>
      </w:r>
      <w:r>
        <w:t>embros da UE se sujeitam, mas antes a uma organização supranacional, da qual, diga-se de passagem, os países membros podem sair a qualquer momento, levantando-se mesmo a questão, de se existe sequer qualquer tipo de transferência parcial de soberania e não se tratará somente de uma delegação da mesma.</w:t>
      </w:r>
    </w:p>
    <w:p w14:paraId="165B1EAB" w14:textId="51FAD38F" w:rsidR="00D23399" w:rsidRDefault="00D23399" w:rsidP="00D23399">
      <w:pPr>
        <w:pBdr>
          <w:top w:val="nil"/>
          <w:left w:val="nil"/>
          <w:bottom w:val="nil"/>
          <w:right w:val="nil"/>
          <w:between w:val="nil"/>
        </w:pBdr>
        <w:ind w:right="0"/>
      </w:pPr>
      <w:r>
        <w:t>Ainda que se trate de uma transferência parcial de soberania, não podemos alegar uma inexistência total de soberania por parte dos Estados.</w:t>
      </w:r>
    </w:p>
    <w:p w14:paraId="43053D2C" w14:textId="05B7D38D" w:rsidR="00D23399" w:rsidRDefault="0054362C" w:rsidP="00D23399">
      <w:pPr>
        <w:pBdr>
          <w:top w:val="nil"/>
          <w:left w:val="nil"/>
          <w:bottom w:val="nil"/>
          <w:right w:val="nil"/>
          <w:between w:val="nil"/>
        </w:pBdr>
        <w:ind w:right="0"/>
      </w:pPr>
      <w:r>
        <w:t>O que podemos alegar, é que</w:t>
      </w:r>
      <w:r w:rsidR="00D23399">
        <w:t xml:space="preserve"> os Estados que assumem o estatuto de membros da</w:t>
      </w:r>
      <w:r>
        <w:t xml:space="preserve"> União</w:t>
      </w:r>
      <w:r w:rsidR="00D23399">
        <w:t>, renuncia</w:t>
      </w:r>
      <w:r>
        <w:t>m inevitavelmente</w:t>
      </w:r>
      <w:r w:rsidR="00D23399">
        <w:t xml:space="preserve"> a uma parcela das suas competências, conferindo</w:t>
      </w:r>
      <w:r>
        <w:t xml:space="preserve"> consequentemente</w:t>
      </w:r>
      <w:r w:rsidR="00D23399">
        <w:t xml:space="preserve"> às instituições </w:t>
      </w:r>
      <w:r w:rsidR="00311CD0">
        <w:t>europeias</w:t>
      </w:r>
      <w:r w:rsidR="00D23399">
        <w:t xml:space="preserve">, o exercício de poderes mais vastos tanto de carácter legislativo, como executivo, jurisdicional e até político, com vista prossecução dos interesses e objectivos da União Europeia. </w:t>
      </w:r>
    </w:p>
    <w:p w14:paraId="70199709" w14:textId="77777777" w:rsidR="00D23399" w:rsidRDefault="00D23399" w:rsidP="00D23399">
      <w:pPr>
        <w:pBdr>
          <w:top w:val="nil"/>
          <w:left w:val="nil"/>
          <w:bottom w:val="nil"/>
          <w:right w:val="nil"/>
          <w:between w:val="nil"/>
        </w:pBdr>
        <w:ind w:right="0"/>
      </w:pPr>
      <w:r>
        <w:t>Assim, a conclusão dos tratados implicou para os Estados uma autolimitação da soberania nacional e mais do que isso a transferência do exercício de poderes soberanos do Estado.</w:t>
      </w:r>
    </w:p>
    <w:p w14:paraId="40C256A3" w14:textId="569238B8" w:rsidR="00D23399" w:rsidRDefault="00D23399" w:rsidP="00D23399">
      <w:pPr>
        <w:pBdr>
          <w:top w:val="nil"/>
          <w:left w:val="nil"/>
          <w:bottom w:val="nil"/>
          <w:right w:val="nil"/>
          <w:between w:val="nil"/>
        </w:pBdr>
        <w:ind w:right="0"/>
      </w:pPr>
      <w:r>
        <w:t>Ora, ainda que se admitindo esta transferência, os Estados permanecem soberanos e qualquer autolimitação da soberania não corresponde a uma renúncia total dela.</w:t>
      </w:r>
    </w:p>
    <w:p w14:paraId="28D6EFD1" w14:textId="74E6258E" w:rsidR="00D23399" w:rsidRDefault="00D23399" w:rsidP="00D23399">
      <w:pPr>
        <w:pBdr>
          <w:top w:val="nil"/>
          <w:left w:val="nil"/>
          <w:bottom w:val="nil"/>
          <w:right w:val="nil"/>
          <w:between w:val="nil"/>
        </w:pBdr>
        <w:ind w:right="0"/>
      </w:pPr>
      <w:r>
        <w:t>Este acaba até por ser um elemento-chave no debate do processo de integração europeu.</w:t>
      </w:r>
    </w:p>
    <w:p w14:paraId="3D5175F6" w14:textId="77777777" w:rsidR="00AA14BC" w:rsidRDefault="00D23399" w:rsidP="00D23399">
      <w:pPr>
        <w:pBdr>
          <w:top w:val="nil"/>
          <w:left w:val="nil"/>
          <w:bottom w:val="nil"/>
          <w:right w:val="nil"/>
          <w:between w:val="nil"/>
        </w:pBdr>
        <w:ind w:right="0"/>
      </w:pPr>
      <w:r>
        <w:t>Nas palavras de Paulo de Pitta e Cunha</w:t>
      </w:r>
      <w:r w:rsidR="00AA14BC">
        <w:t>:</w:t>
      </w:r>
    </w:p>
    <w:p w14:paraId="76085473" w14:textId="77777777" w:rsidR="00AA14BC" w:rsidRDefault="00AA14BC" w:rsidP="00D23399">
      <w:pPr>
        <w:pBdr>
          <w:top w:val="nil"/>
          <w:left w:val="nil"/>
          <w:bottom w:val="nil"/>
          <w:right w:val="nil"/>
          <w:between w:val="nil"/>
        </w:pBdr>
        <w:ind w:right="0"/>
      </w:pPr>
    </w:p>
    <w:p w14:paraId="267DC944" w14:textId="57C4DFCE" w:rsidR="00D23399" w:rsidRDefault="00AA14BC" w:rsidP="00AA14BC">
      <w:pPr>
        <w:pBdr>
          <w:top w:val="nil"/>
          <w:left w:val="nil"/>
          <w:bottom w:val="nil"/>
          <w:right w:val="nil"/>
          <w:between w:val="nil"/>
        </w:pBdr>
        <w:spacing w:line="240" w:lineRule="auto"/>
        <w:ind w:left="567" w:right="0"/>
        <w:rPr>
          <w:sz w:val="20"/>
          <w:szCs w:val="20"/>
        </w:rPr>
      </w:pPr>
      <w:r w:rsidRPr="00AA14BC">
        <w:rPr>
          <w:sz w:val="20"/>
          <w:szCs w:val="20"/>
        </w:rPr>
        <w:t>A</w:t>
      </w:r>
      <w:r w:rsidR="00D23399" w:rsidRPr="00AA14BC">
        <w:rPr>
          <w:sz w:val="20"/>
          <w:szCs w:val="20"/>
        </w:rPr>
        <w:t xml:space="preserve"> soberania nacional não é um simples artifício formal, não é um anacronismo em pleno século XX. Se o dogma da soberania absoluta deve ser posto de lado sem hesitações, há que reconhecer e aceitar a profunda diversidade dos povos europeus – a divergência de concepções políticas, a disparidade de culturas e de hábitos de vida, as diferenças de aspirações e tradições</w:t>
      </w:r>
      <w:r w:rsidRPr="00AA14BC">
        <w:rPr>
          <w:sz w:val="20"/>
          <w:szCs w:val="20"/>
        </w:rPr>
        <w:t xml:space="preserve"> </w:t>
      </w:r>
      <w:r w:rsidR="00D23399" w:rsidRPr="00AA14BC">
        <w:rPr>
          <w:rStyle w:val="Refdenotaderodap"/>
          <w:sz w:val="20"/>
          <w:szCs w:val="20"/>
        </w:rPr>
        <w:footnoteReference w:id="43"/>
      </w:r>
      <w:r w:rsidR="00D23399" w:rsidRPr="00AA14BC">
        <w:rPr>
          <w:sz w:val="20"/>
          <w:szCs w:val="20"/>
        </w:rPr>
        <w:t>.</w:t>
      </w:r>
    </w:p>
    <w:p w14:paraId="6D13F93E" w14:textId="77777777" w:rsidR="00AA14BC" w:rsidRPr="00AA14BC" w:rsidRDefault="00AA14BC" w:rsidP="00AA14BC">
      <w:pPr>
        <w:pBdr>
          <w:top w:val="nil"/>
          <w:left w:val="nil"/>
          <w:bottom w:val="nil"/>
          <w:right w:val="nil"/>
          <w:between w:val="nil"/>
        </w:pBdr>
        <w:spacing w:line="240" w:lineRule="auto"/>
        <w:ind w:left="567" w:right="0"/>
        <w:rPr>
          <w:sz w:val="20"/>
          <w:szCs w:val="20"/>
        </w:rPr>
      </w:pPr>
    </w:p>
    <w:p w14:paraId="59719C10" w14:textId="04BE4195" w:rsidR="0004609A" w:rsidRDefault="00D23399" w:rsidP="00D23399">
      <w:pPr>
        <w:pBdr>
          <w:top w:val="nil"/>
          <w:left w:val="nil"/>
          <w:bottom w:val="nil"/>
          <w:right w:val="nil"/>
          <w:between w:val="nil"/>
        </w:pBdr>
        <w:ind w:right="0"/>
      </w:pPr>
      <w:r>
        <w:t>Ou seja, antes de sequer ponderarmos colocar a importância da soberania dos Estados-</w:t>
      </w:r>
      <w:r w:rsidR="00E524C4">
        <w:t>M</w:t>
      </w:r>
      <w:r>
        <w:t>embros de lado, temos de considerar as consequência que isso traria na vida dos cidadãos europeus, diversos entre si de todas as formas possíveis, reconhecendo estas diferenças e procurando preservar e respeitar esta diversidade.</w:t>
      </w:r>
    </w:p>
    <w:p w14:paraId="354073D7" w14:textId="211C7013" w:rsidR="00556F99" w:rsidRDefault="00AC759A" w:rsidP="00556F99">
      <w:pPr>
        <w:pBdr>
          <w:top w:val="nil"/>
          <w:left w:val="nil"/>
          <w:bottom w:val="nil"/>
          <w:right w:val="nil"/>
          <w:between w:val="nil"/>
        </w:pBdr>
        <w:ind w:right="0"/>
      </w:pPr>
      <w:r>
        <w:t>Relativamente ao direito de secessão, esta é u</w:t>
      </w:r>
      <w:r w:rsidR="00556F99">
        <w:t>ma característica d</w:t>
      </w:r>
      <w:r>
        <w:t>a UE</w:t>
      </w:r>
      <w:r w:rsidR="00556F99">
        <w:t xml:space="preserve"> que a separa de qualquer modelo federal, é a possibilidade dos seus Estados-</w:t>
      </w:r>
      <w:r w:rsidR="00E524C4">
        <w:t>M</w:t>
      </w:r>
      <w:r w:rsidR="00556F99">
        <w:t>embros secederem da U</w:t>
      </w:r>
      <w:r>
        <w:t>nião</w:t>
      </w:r>
      <w:r w:rsidR="00556F99">
        <w:t>.</w:t>
      </w:r>
    </w:p>
    <w:p w14:paraId="04A8E1DD" w14:textId="77777777" w:rsidR="00556F99" w:rsidRDefault="00556F99" w:rsidP="00556F99">
      <w:pPr>
        <w:pBdr>
          <w:top w:val="nil"/>
          <w:left w:val="nil"/>
          <w:bottom w:val="nil"/>
          <w:right w:val="nil"/>
          <w:between w:val="nil"/>
        </w:pBdr>
        <w:ind w:right="0"/>
      </w:pPr>
      <w:r>
        <w:t>Conforme verificado supra, uma federação (ao contrário de uma confederação), não permite os seus membros de abandonar o Estado federal, enquanto na União Europeia, não existe essa privação.</w:t>
      </w:r>
    </w:p>
    <w:p w14:paraId="5DED9E32" w14:textId="5504BE6B" w:rsidR="00556F99" w:rsidRDefault="00556F99" w:rsidP="00556F99">
      <w:pPr>
        <w:pBdr>
          <w:top w:val="nil"/>
          <w:left w:val="nil"/>
          <w:bottom w:val="nil"/>
          <w:right w:val="nil"/>
          <w:between w:val="nil"/>
        </w:pBdr>
        <w:ind w:right="0"/>
      </w:pPr>
      <w:r>
        <w:t>Segundo o artigo 50.º</w:t>
      </w:r>
      <w:r w:rsidR="001E058A">
        <w:t>,</w:t>
      </w:r>
      <w:r>
        <w:t xml:space="preserve"> n.º 1</w:t>
      </w:r>
      <w:r w:rsidR="003773E4">
        <w:t>,</w:t>
      </w:r>
      <w:r>
        <w:t xml:space="preserve"> do Tratado de </w:t>
      </w:r>
      <w:r w:rsidRPr="00AA14BC">
        <w:t>Lisboa, “qualquer Estado-Membro pode decidir, em conformidade com as respectivas normas constitucionais, retirar-se da União”, devendo</w:t>
      </w:r>
      <w:r>
        <w:t xml:space="preserve"> para tal, notificar a sua intenção ao Conselho Europeu e em função das orientações deste, a União negocia e celebra com esse Estado um acordo que estabeleça as condições da sua saída, tendo em conta o quadro das suas futuras relações com a União.</w:t>
      </w:r>
    </w:p>
    <w:p w14:paraId="7FDAC5DE" w14:textId="77777777" w:rsidR="00556F99" w:rsidRDefault="00556F99" w:rsidP="00556F99">
      <w:pPr>
        <w:pBdr>
          <w:top w:val="nil"/>
          <w:left w:val="nil"/>
          <w:bottom w:val="nil"/>
          <w:right w:val="nil"/>
          <w:between w:val="nil"/>
        </w:pBdr>
        <w:ind w:right="0"/>
      </w:pPr>
      <w:r>
        <w:t>Temos um exemplo recente de que este mecanismo não só existe como funciona, no caso Brexit, onde o Reino Unido da Grã-Bretanha e Irlanda do Norte abandonou a União após um referendo em 2016.</w:t>
      </w:r>
    </w:p>
    <w:p w14:paraId="397AE741" w14:textId="79474BB7" w:rsidR="00556F99" w:rsidRDefault="00556F99" w:rsidP="00556F99">
      <w:pPr>
        <w:pBdr>
          <w:top w:val="nil"/>
          <w:left w:val="nil"/>
          <w:bottom w:val="nil"/>
          <w:right w:val="nil"/>
          <w:between w:val="nil"/>
        </w:pBdr>
        <w:ind w:right="0"/>
      </w:pPr>
      <w:r>
        <w:t>Em nenhum momento, os membros da UE foram proibidos de abandonar a organização, consoante alguma norma estabelecida num tratado, muito pelo contrário, estes sempre se sentiram à vontade de afirmar que caso a União tomasse determinadas proporções ou adoptasse determinadas medidas, que os Estados abandonariam a organização.</w:t>
      </w:r>
    </w:p>
    <w:p w14:paraId="307647C0" w14:textId="07C4EE8D" w:rsidR="00606794" w:rsidRDefault="00606794" w:rsidP="00606794">
      <w:pPr>
        <w:pBdr>
          <w:top w:val="nil"/>
          <w:left w:val="nil"/>
          <w:bottom w:val="nil"/>
          <w:right w:val="nil"/>
          <w:between w:val="nil"/>
        </w:pBdr>
        <w:ind w:right="0"/>
      </w:pPr>
      <w:r>
        <w:t>Este direito de saída da União realça a autoridade soberana dos Estados-Membros, demonstrando que o processo de integração não é irreversível, sendo que a continuidade ou não de um Estado-Membro na União resulta do livre exercício da sua vontade.</w:t>
      </w:r>
    </w:p>
    <w:p w14:paraId="06454EBB" w14:textId="77777777" w:rsidR="00606794" w:rsidRDefault="00606794" w:rsidP="00606794">
      <w:pPr>
        <w:pBdr>
          <w:top w:val="nil"/>
          <w:left w:val="nil"/>
          <w:bottom w:val="nil"/>
          <w:right w:val="nil"/>
          <w:between w:val="nil"/>
        </w:pBdr>
        <w:ind w:right="0"/>
      </w:pPr>
      <w:r>
        <w:t xml:space="preserve">A questão colocou-se pela primeira vez com supra referido referendo quanto à permanência do país na EU, pelo Reino Unido e prolongou-se durante anos para se efectivar nas mais variadas vertentes jurídicas. </w:t>
      </w:r>
    </w:p>
    <w:p w14:paraId="034ECEF9" w14:textId="70E95657" w:rsidR="00606794" w:rsidRDefault="00606794" w:rsidP="00556F99">
      <w:pPr>
        <w:pBdr>
          <w:top w:val="nil"/>
          <w:left w:val="nil"/>
          <w:bottom w:val="nil"/>
          <w:right w:val="nil"/>
          <w:between w:val="nil"/>
        </w:pBdr>
        <w:ind w:right="0"/>
      </w:pPr>
      <w:r>
        <w:t>Ainda que o próprio Reino Unido sempre fosse uma espécie de “participante especial”, esta saída trouxe imensos custos, que foram imediatamente avaliados e permitiu aos Estados-Membros perceber as consequências reais de não pertença à União</w:t>
      </w:r>
      <w:r>
        <w:rPr>
          <w:rStyle w:val="Refdenotaderodap"/>
        </w:rPr>
        <w:footnoteReference w:id="44"/>
      </w:r>
      <w:r>
        <w:t>.</w:t>
      </w:r>
    </w:p>
    <w:p w14:paraId="033A9427" w14:textId="3C32C8D1" w:rsidR="00556F99" w:rsidRDefault="00AC759A" w:rsidP="00556F99">
      <w:pPr>
        <w:pBdr>
          <w:top w:val="nil"/>
          <w:left w:val="nil"/>
          <w:bottom w:val="nil"/>
          <w:right w:val="nil"/>
          <w:between w:val="nil"/>
        </w:pBdr>
        <w:ind w:right="0"/>
      </w:pPr>
      <w:r>
        <w:t>Além disto, a</w:t>
      </w:r>
      <w:r w:rsidR="00556F99">
        <w:t xml:space="preserve"> União Europeia é uma organização, que ao contrário de um Estado federal, não tem uma </w:t>
      </w:r>
      <w:r w:rsidR="00273018">
        <w:t>C</w:t>
      </w:r>
      <w:r w:rsidR="00556F99">
        <w:t>onstituição como lei suprema e base de toda a sua estrutura.</w:t>
      </w:r>
    </w:p>
    <w:p w14:paraId="7952594E" w14:textId="2B95DFBC" w:rsidR="00556F99" w:rsidRDefault="00556F99" w:rsidP="00556F99">
      <w:pPr>
        <w:pBdr>
          <w:top w:val="nil"/>
          <w:left w:val="nil"/>
          <w:bottom w:val="nil"/>
          <w:right w:val="nil"/>
          <w:between w:val="nil"/>
        </w:pBdr>
        <w:ind w:right="0"/>
      </w:pPr>
      <w:r>
        <w:t>Tem em vez disso tratados, que são acordos fundamentais que estabelecem as bases jurídicas e políticas da UE, definindo os seus objectivos, funcionamento e as relações entre os Estados-</w:t>
      </w:r>
      <w:r w:rsidR="00E524C4">
        <w:t>M</w:t>
      </w:r>
      <w:r>
        <w:t>embros.</w:t>
      </w:r>
    </w:p>
    <w:p w14:paraId="67390DEE" w14:textId="77777777" w:rsidR="00556F99" w:rsidRDefault="00556F99" w:rsidP="00556F99">
      <w:pPr>
        <w:pBdr>
          <w:top w:val="nil"/>
          <w:left w:val="nil"/>
          <w:bottom w:val="nil"/>
          <w:right w:val="nil"/>
          <w:between w:val="nil"/>
        </w:pBdr>
        <w:ind w:right="0"/>
      </w:pPr>
      <w:r>
        <w:t>Estes tratados são aprovados voluntária e democraticamente por todos os países da UE e podem ser alterados mediante a entrada em vigor de um novo tratado.</w:t>
      </w:r>
    </w:p>
    <w:p w14:paraId="12D85954" w14:textId="751F5A93" w:rsidR="00556F99" w:rsidRDefault="00556F99" w:rsidP="00556F99">
      <w:pPr>
        <w:pBdr>
          <w:top w:val="nil"/>
          <w:left w:val="nil"/>
          <w:bottom w:val="nil"/>
          <w:right w:val="nil"/>
          <w:between w:val="nil"/>
        </w:pBdr>
        <w:ind w:right="0"/>
      </w:pPr>
      <w:r>
        <w:t>Assim que, apesar de existirem tratados adoptados pelos membros da União, estes não tem a mesma natureza duma Constituição</w:t>
      </w:r>
      <w:r w:rsidR="00CA7020">
        <w:rPr>
          <w:rStyle w:val="Refdenotaderodap"/>
        </w:rPr>
        <w:footnoteReference w:id="45"/>
      </w:r>
      <w:r>
        <w:t xml:space="preserve">. </w:t>
      </w:r>
    </w:p>
    <w:p w14:paraId="10E79448" w14:textId="4E380061" w:rsidR="00556F99" w:rsidRDefault="00556F99" w:rsidP="00556F99">
      <w:pPr>
        <w:pBdr>
          <w:top w:val="nil"/>
          <w:left w:val="nil"/>
          <w:bottom w:val="nil"/>
          <w:right w:val="nil"/>
          <w:between w:val="nil"/>
        </w:pBdr>
        <w:ind w:right="0"/>
      </w:pPr>
      <w:r>
        <w:t>Os tratados da UE para entrarem em vigor, precisam de ser negociados, assinados e ratificados individualmente por todos os Estados-</w:t>
      </w:r>
      <w:r w:rsidR="00E524C4">
        <w:t>M</w:t>
      </w:r>
      <w:r>
        <w:t>embros, conforme os seus próprios procedimentos constitucionais internos, podendo envolver referendos nacionais.</w:t>
      </w:r>
    </w:p>
    <w:p w14:paraId="1F303A71" w14:textId="0DADCC8E" w:rsidR="00556F99" w:rsidRDefault="00556F99" w:rsidP="00556F99">
      <w:pPr>
        <w:pBdr>
          <w:top w:val="nil"/>
          <w:left w:val="nil"/>
          <w:bottom w:val="nil"/>
          <w:right w:val="nil"/>
          <w:between w:val="nil"/>
        </w:pBdr>
        <w:ind w:right="0"/>
      </w:pPr>
      <w:r>
        <w:t>Um exemplo disso foi a Irlanda, que em 2009 realizou um referendo relacionado à aprovação do Tratado de Lisboa, após uma primeira tentativa fracassada em 2008</w:t>
      </w:r>
      <w:r w:rsidR="00022B17">
        <w:rPr>
          <w:rStyle w:val="Refdenotaderodap"/>
        </w:rPr>
        <w:footnoteReference w:id="46"/>
      </w:r>
      <w:r>
        <w:t xml:space="preserve">. </w:t>
      </w:r>
    </w:p>
    <w:p w14:paraId="183EC1F1" w14:textId="475C200C" w:rsidR="00556F99" w:rsidRDefault="00556F99" w:rsidP="00556F99">
      <w:pPr>
        <w:pBdr>
          <w:top w:val="nil"/>
          <w:left w:val="nil"/>
          <w:bottom w:val="nil"/>
          <w:right w:val="nil"/>
          <w:between w:val="nil"/>
        </w:pBdr>
        <w:ind w:right="0"/>
      </w:pPr>
      <w:r>
        <w:t xml:space="preserve">Há ainda a questão da cláusula de isenção (também chamada de </w:t>
      </w:r>
      <w:r w:rsidRPr="0066560C">
        <w:rPr>
          <w:i/>
          <w:iCs/>
        </w:rPr>
        <w:t>Opting out</w:t>
      </w:r>
      <w:r>
        <w:t>), segundo a qual alguns Estados-</w:t>
      </w:r>
      <w:r w:rsidR="00E524C4">
        <w:t>M</w:t>
      </w:r>
      <w:r>
        <w:t>embros da União Europeia, caso não desejem associar-se a outros num domínio específico da política da UE, podem optar pela sua isenção, evitando assim um bloqueio geral.</w:t>
      </w:r>
    </w:p>
    <w:p w14:paraId="3AA2F991" w14:textId="6EEB1A7C" w:rsidR="00556F99" w:rsidRDefault="00556F99" w:rsidP="00556F99">
      <w:pPr>
        <w:pBdr>
          <w:top w:val="nil"/>
          <w:left w:val="nil"/>
          <w:bottom w:val="nil"/>
          <w:right w:val="nil"/>
          <w:between w:val="nil"/>
        </w:pBdr>
        <w:ind w:right="0"/>
      </w:pPr>
      <w:r>
        <w:t xml:space="preserve">Alguns exemplos destas cláusulas de isenção são o acordo de Schengen, do qual a Irlanda não faz parte, a União Económica e Monetária da qual a Dinamarca se recusou a aderir, a Carta dos Direitos Fundamentais da UE, que a Polónia não </w:t>
      </w:r>
      <w:r w:rsidR="0091082D">
        <w:t>rectificou</w:t>
      </w:r>
      <w:r>
        <w:t xml:space="preserve"> e as políticas de espaço de liberdade, segurança e justiça, que tanto a Dinamarca como a Irlanda não aceitaram, ainda que este último possa optar por participar em determinadas iniciativas, se assim o entender</w:t>
      </w:r>
      <w:r w:rsidR="00022B17">
        <w:rPr>
          <w:rStyle w:val="Refdenotaderodap"/>
        </w:rPr>
        <w:footnoteReference w:id="47"/>
      </w:r>
      <w:r>
        <w:t xml:space="preserve">. </w:t>
      </w:r>
    </w:p>
    <w:p w14:paraId="194D004D" w14:textId="39680BCF" w:rsidR="00556F99" w:rsidRDefault="00556F99" w:rsidP="00556F99">
      <w:pPr>
        <w:pBdr>
          <w:top w:val="nil"/>
          <w:left w:val="nil"/>
          <w:bottom w:val="nil"/>
          <w:right w:val="nil"/>
          <w:between w:val="nil"/>
        </w:pBdr>
        <w:ind w:right="0"/>
      </w:pPr>
      <w:r>
        <w:t>Ou seja, ao contrário de uma Constituição, que é totalmente vinculativa e inegociável, existe aqui imensa margem de manobra na aderência dos Estados-</w:t>
      </w:r>
      <w:r w:rsidR="00E524C4">
        <w:t>M</w:t>
      </w:r>
      <w:r>
        <w:t xml:space="preserve">embros aos </w:t>
      </w:r>
      <w:r w:rsidR="0066560C">
        <w:t>t</w:t>
      </w:r>
      <w:r>
        <w:t>ratados da União.</w:t>
      </w:r>
    </w:p>
    <w:p w14:paraId="3A114E88" w14:textId="324DB90F" w:rsidR="00556F99" w:rsidRDefault="00556F99" w:rsidP="00556F99">
      <w:pPr>
        <w:pBdr>
          <w:top w:val="nil"/>
          <w:left w:val="nil"/>
          <w:bottom w:val="nil"/>
          <w:right w:val="nil"/>
          <w:between w:val="nil"/>
        </w:pBdr>
        <w:ind w:right="0"/>
      </w:pPr>
      <w:r>
        <w:t>Em suma, a União Europeia pode ser caracterizada como um modelo híbrido, com um carácter progressiv</w:t>
      </w:r>
      <w:r w:rsidR="003A0C73">
        <w:t>amente</w:t>
      </w:r>
      <w:r>
        <w:t xml:space="preserve"> federalista que confere poderes a instituições supranacionais em áreas como justiça, controlo de fronteiras e política monetária, enquanto as resistências confederadas dos líderes nacionais rejeitam a perda de soberania dos seus </w:t>
      </w:r>
      <w:r w:rsidR="0091082D">
        <w:t>respectivos</w:t>
      </w:r>
      <w:r>
        <w:t xml:space="preserve"> Estados, motivo pelo qual a União preserva a independência dos mesmo, de forma a apaziguar estes receios.</w:t>
      </w:r>
    </w:p>
    <w:p w14:paraId="33A4506E" w14:textId="001040B5" w:rsidR="0091082D" w:rsidRDefault="00556F99" w:rsidP="0091082D">
      <w:pPr>
        <w:pBdr>
          <w:top w:val="nil"/>
          <w:left w:val="nil"/>
          <w:bottom w:val="nil"/>
          <w:right w:val="nil"/>
          <w:between w:val="nil"/>
        </w:pBdr>
        <w:ind w:right="0"/>
      </w:pPr>
      <w:r>
        <w:t>No geral esta falta de uma real natureza federal da União Europeia pode ser efectivamente denotada pelo</w:t>
      </w:r>
      <w:r w:rsidR="00934B7D">
        <w:t xml:space="preserve"> p</w:t>
      </w:r>
      <w:r>
        <w:t>oder dos Estados-</w:t>
      </w:r>
      <w:r w:rsidR="00E524C4">
        <w:t>M</w:t>
      </w:r>
      <w:r>
        <w:t>embros de revisão dos tratados</w:t>
      </w:r>
      <w:r w:rsidR="00934B7D">
        <w:t xml:space="preserve">, pela </w:t>
      </w:r>
      <w:r>
        <w:t>competência legislativa estar limitada a certas áreas e não abranger matéria fiscal, de despesas, relações exteriores e diplomacia</w:t>
      </w:r>
      <w:r w:rsidR="00934B7D">
        <w:t>, pela União n</w:t>
      </w:r>
      <w:r>
        <w:t>ão ter autonomia ou solidariedade financeira</w:t>
      </w:r>
      <w:r w:rsidR="00934B7D">
        <w:t>, n</w:t>
      </w:r>
      <w:r>
        <w:t>ão existir uma repartição clara das competências exclusivas entre a União e os Estados</w:t>
      </w:r>
      <w:r w:rsidR="00E524C4">
        <w:t>-M</w:t>
      </w:r>
      <w:r>
        <w:t>embros</w:t>
      </w:r>
      <w:r w:rsidR="00934B7D">
        <w:t>, pela União n</w:t>
      </w:r>
      <w:r>
        <w:t>ão deter o poder legítimo do uso da força</w:t>
      </w:r>
      <w:r w:rsidR="00934B7D">
        <w:t>, por n</w:t>
      </w:r>
      <w:r>
        <w:t>ão existir um governo europeu</w:t>
      </w:r>
      <w:r w:rsidR="00934B7D">
        <w:t>,</w:t>
      </w:r>
      <w:r>
        <w:t xml:space="preserve"> estando a função governativa repartida pelo Conselho Europeu, Conselho e Comissão</w:t>
      </w:r>
      <w:r w:rsidR="00934B7D">
        <w:t>, por n</w:t>
      </w:r>
      <w:r>
        <w:t>ão existirem partidos políticos europeus nem uma consciência política europeia</w:t>
      </w:r>
      <w:r w:rsidR="00934B7D">
        <w:t>, por e</w:t>
      </w:r>
      <w:r>
        <w:t>xistir um défice democrático que diminui sua legitimidade</w:t>
      </w:r>
      <w:r w:rsidR="00934B7D">
        <w:t xml:space="preserve">, pela </w:t>
      </w:r>
      <w:r>
        <w:t>natureza não constitucional do dos tratados</w:t>
      </w:r>
      <w:r w:rsidR="00934B7D">
        <w:t>, pela</w:t>
      </w:r>
      <w:r>
        <w:t xml:space="preserve"> origem da competência dos Estados não provir de uma Constituição Europeia mas sim de uma Constituição nacional</w:t>
      </w:r>
      <w:r w:rsidR="00934B7D">
        <w:t>, pela</w:t>
      </w:r>
      <w:r>
        <w:t xml:space="preserve"> não existência de um Estado, de um território ou de um povo</w:t>
      </w:r>
      <w:r w:rsidR="00934B7D">
        <w:t xml:space="preserve">, pela </w:t>
      </w:r>
      <w:r>
        <w:t>falta de estruturas que obriguem ao cumprimento das obrigações assumidas</w:t>
      </w:r>
      <w:r w:rsidR="00934B7D">
        <w:t xml:space="preserve">, pela </w:t>
      </w:r>
      <w:r>
        <w:t>não existência de uma polícia ou exército europeu</w:t>
      </w:r>
      <w:r w:rsidR="00934B7D">
        <w:t xml:space="preserve">, pela </w:t>
      </w:r>
      <w:r>
        <w:t>reduzida capacidade em matéria de relações externas e da máquina burocrática</w:t>
      </w:r>
      <w:r w:rsidR="00934B7D">
        <w:t xml:space="preserve"> e pela </w:t>
      </w:r>
      <w:r>
        <w:t>falta de um tribunal superior que assegure o controlo da repartição das competências entre Estados e o Estado federal</w:t>
      </w:r>
      <w:r w:rsidR="00934B7D">
        <w:t xml:space="preserve"> </w:t>
      </w:r>
      <w:r w:rsidR="005747DA">
        <w:rPr>
          <w:rStyle w:val="Refdenotaderodap"/>
        </w:rPr>
        <w:footnoteReference w:id="48"/>
      </w:r>
      <w:r w:rsidR="00934B7D">
        <w:t>.</w:t>
      </w:r>
    </w:p>
    <w:p w14:paraId="5649A4E0" w14:textId="77777777" w:rsidR="0091082D" w:rsidRDefault="0091082D" w:rsidP="0091082D">
      <w:pPr>
        <w:pBdr>
          <w:top w:val="nil"/>
          <w:left w:val="nil"/>
          <w:bottom w:val="nil"/>
          <w:right w:val="nil"/>
          <w:between w:val="nil"/>
        </w:pBdr>
        <w:ind w:right="0"/>
      </w:pPr>
    </w:p>
    <w:p w14:paraId="0BEDA98F" w14:textId="5D526A68" w:rsidR="0019302D" w:rsidRDefault="0091082D" w:rsidP="00787C75">
      <w:pPr>
        <w:pStyle w:val="Ttulo1"/>
        <w:numPr>
          <w:ilvl w:val="0"/>
          <w:numId w:val="1"/>
        </w:numPr>
        <w:ind w:left="714" w:hanging="357"/>
      </w:pPr>
      <w:bookmarkStart w:id="24" w:name="_Toc221648070"/>
      <w:r>
        <w:t>O processo de federalização</w:t>
      </w:r>
      <w:bookmarkEnd w:id="24"/>
    </w:p>
    <w:p w14:paraId="5F58661E" w14:textId="3EA699BA" w:rsidR="0091082D" w:rsidRPr="00787C75" w:rsidRDefault="0091082D" w:rsidP="00787C75">
      <w:pPr>
        <w:pStyle w:val="Ttulo2"/>
        <w:spacing w:before="200"/>
        <w:rPr>
          <w:b w:val="0"/>
          <w:bCs w:val="0"/>
          <w:sz w:val="18"/>
          <w:szCs w:val="18"/>
        </w:rPr>
      </w:pPr>
      <w:bookmarkStart w:id="25" w:name="_Toc221648071"/>
      <w:r w:rsidRPr="00787C75">
        <w:rPr>
          <w:b w:val="0"/>
          <w:bCs w:val="0"/>
        </w:rPr>
        <w:t>3.1. Análise de propostas e debates de carácter federalista na UE</w:t>
      </w:r>
      <w:bookmarkEnd w:id="25"/>
    </w:p>
    <w:p w14:paraId="2B1FC5C1" w14:textId="0F473E13" w:rsidR="0091082D" w:rsidRDefault="0091082D" w:rsidP="0091082D">
      <w:r>
        <w:t>Tem sido diversas as propostas que ao longo dos anos tem demonstrado a intenção clara dos organismos da UE, em se moverem em direcção a uma União cada vez mais federalista.</w:t>
      </w:r>
    </w:p>
    <w:p w14:paraId="7CF25886" w14:textId="6E75FE1A" w:rsidR="0091082D" w:rsidRDefault="0091082D" w:rsidP="0091082D">
      <w:r>
        <w:t>Independentemente dos obstáculos que se tem verificado e que serão estudados de seguida, é importante ter em conta alguns exemplos destes passos tomados pela União, de forma a percebermos melhor de que forma esta pretende assumir as suas responsabilidades no panorama internacional e em relação aos seus Estados-</w:t>
      </w:r>
      <w:r w:rsidR="00E524C4">
        <w:t>M</w:t>
      </w:r>
      <w:r>
        <w:t>embros.</w:t>
      </w:r>
    </w:p>
    <w:p w14:paraId="783AFD98" w14:textId="2E221937" w:rsidR="0091082D" w:rsidRDefault="0091082D" w:rsidP="0091082D">
      <w:r>
        <w:t xml:space="preserve">Na resolução do Parlamento Europeu de 29 de Fevereiro de 2024 sobre o aprofundamento da integração da </w:t>
      </w:r>
      <w:r w:rsidR="005C14F8">
        <w:t>UE</w:t>
      </w:r>
      <w:r>
        <w:t xml:space="preserve"> com vista ao futuro alargamento</w:t>
      </w:r>
      <w:r w:rsidR="005747DA">
        <w:rPr>
          <w:rStyle w:val="Refdenotaderodap"/>
        </w:rPr>
        <w:footnoteReference w:id="49"/>
      </w:r>
      <w:r>
        <w:t xml:space="preserve"> , o PE instou reformas institucionais e financeiras, não só das instituições da União como também dos Estados-</w:t>
      </w:r>
      <w:r w:rsidR="00E524C4">
        <w:t>Me</w:t>
      </w:r>
      <w:r>
        <w:t>mbros, de forma a conseguirem fazer frente ao processo alargador da UE.</w:t>
      </w:r>
    </w:p>
    <w:p w14:paraId="0A1FA63C" w14:textId="154E5AA3" w:rsidR="0091082D" w:rsidRDefault="0091082D" w:rsidP="0091082D">
      <w:r>
        <w:t xml:space="preserve">Nesse âmbito e de forma a conseguirem </w:t>
      </w:r>
      <w:r w:rsidRPr="00AA14BC">
        <w:t>“fortalecer a UE e as suas instituições de modo a promover a legitimidade democrática, a boa governação, a funcionalidade, a responsabilização, a transparência e a sustentabilidade”,</w:t>
      </w:r>
      <w:r>
        <w:t xml:space="preserve"> o Parlamento Europeu reiterou os seus apelos para que lhe seja concedido um direito geral e directo de iniciativa legislativa.</w:t>
      </w:r>
    </w:p>
    <w:p w14:paraId="7B390291" w14:textId="77777777" w:rsidR="0091082D" w:rsidRDefault="0091082D" w:rsidP="0091082D">
      <w:r>
        <w:t>Este apelo, se concedido, transformaria radicalmente a estrutura da União Europeia, visto que até agora o PE, enquanto órgão legislativo da UE, tinha em conjunto com o Conselho da União Europeia, a função de aprovar a legislação europeia, normalmente sob proposta da Comissão.</w:t>
      </w:r>
    </w:p>
    <w:p w14:paraId="55246C69" w14:textId="77777777" w:rsidR="0091082D" w:rsidRDefault="0091082D" w:rsidP="0091082D">
      <w:r>
        <w:t>Este poder de iniciativa legislativa aproximaria a estrutura do Parlamento Europeu da dos Parlamentos nacionais, nos quais geralmente, o direito de propor projectos de lei pode ser exercido por deputados ou grupos parlamentares.</w:t>
      </w:r>
    </w:p>
    <w:p w14:paraId="715FDC2C" w14:textId="77777777" w:rsidR="0091082D" w:rsidRDefault="0091082D" w:rsidP="0091082D">
      <w:r>
        <w:t>Apesar deste poder até hoje ainda não ter sido concedido ao PE, é uma prova da necessidade que este sente, face às circunstâncias actuais da União (bloco político-económico com uma direcção expansionista e uma necessidade de procedimentos de tomada de decisão simplificados, mais eficazes e democráticos) e que tendo em conta a actual estrutura da UE, é totalmente compreensível.</w:t>
      </w:r>
    </w:p>
    <w:p w14:paraId="058E70A2" w14:textId="1FF020A9" w:rsidR="0091082D" w:rsidRDefault="0091082D" w:rsidP="0091082D">
      <w:r>
        <w:t>Cada vez mais, a União assume relevo na vida dos seus Estados-</w:t>
      </w:r>
      <w:r w:rsidR="00E524C4">
        <w:t>M</w:t>
      </w:r>
      <w:r>
        <w:t>embros e neste momento as suas instituições encontram-se num certo estado de limbo entre uma posição mais federal e confederal.</w:t>
      </w:r>
    </w:p>
    <w:p w14:paraId="4483B903" w14:textId="5B69E3E2" w:rsidR="0091082D" w:rsidRDefault="0091082D" w:rsidP="0091082D">
      <w:r>
        <w:t>Esta hesitação, em grande parte motivada por receios de perda de soberania dos Estados-</w:t>
      </w:r>
      <w:r w:rsidR="00E524C4">
        <w:t>M</w:t>
      </w:r>
      <w:r>
        <w:t>embros, previne a evolução das instituições europeias e evita que estas atinjam os moldes necessários para poderem fazer cumprir, ainda que diligentemente e eficazmente, os objectivos a que se propuseram.</w:t>
      </w:r>
    </w:p>
    <w:p w14:paraId="0C5D90D8" w14:textId="77777777" w:rsidR="0091082D" w:rsidRDefault="0091082D" w:rsidP="0091082D">
      <w:r>
        <w:t>Apesar do Parlamento Europeu na sua estrutura actual não ser de todo um instrumento antiquado ou ineficaz, poderia beneficiar do poder de iniciativa legislativa para agilizar a tomada de decisões, sem ter de esperar pelas propostas da Comissão.</w:t>
      </w:r>
    </w:p>
    <w:p w14:paraId="7C8A5F65" w14:textId="632F4589" w:rsidR="0091082D" w:rsidRDefault="0091082D" w:rsidP="0091082D">
      <w:r>
        <w:t>Mas sem sombra de dúvida, a resolução mais interessante no âmbito da revisão da estrutura das organizações europeias, é a resolução de 9 de Junho de 2022 sobre o apelo a uma Convenção para a revisão dos Tratados</w:t>
      </w:r>
      <w:r w:rsidR="001A7126">
        <w:rPr>
          <w:rStyle w:val="Refdenotaderodap"/>
        </w:rPr>
        <w:footnoteReference w:id="50"/>
      </w:r>
      <w:r>
        <w:t>.</w:t>
      </w:r>
    </w:p>
    <w:p w14:paraId="637A96FB" w14:textId="04379EA5" w:rsidR="0091082D" w:rsidRDefault="0091082D" w:rsidP="0091082D">
      <w:r>
        <w:t>A 9 de Maio de 2022, um relatório titu</w:t>
      </w:r>
      <w:r w:rsidRPr="00AA14BC">
        <w:t>lado de “Conferência sobre o Futuro da Europa, Relatório sobre o resultado final”</w:t>
      </w:r>
      <w:r w:rsidR="004161AF" w:rsidRPr="00AA14BC">
        <w:rPr>
          <w:rStyle w:val="Refdenotaderodap"/>
        </w:rPr>
        <w:t xml:space="preserve"> </w:t>
      </w:r>
      <w:r w:rsidR="004161AF" w:rsidRPr="00AA14BC">
        <w:rPr>
          <w:rStyle w:val="Refdenotaderodap"/>
        </w:rPr>
        <w:footnoteReference w:id="51"/>
      </w:r>
      <w:r w:rsidRPr="00AA14BC">
        <w:t>, propôs</w:t>
      </w:r>
      <w:r>
        <w:t xml:space="preserve"> alterar nada menos do que 267 passagens dos tratados da UE. </w:t>
      </w:r>
    </w:p>
    <w:p w14:paraId="70FF0D99" w14:textId="52243170" w:rsidR="0091082D" w:rsidRDefault="0091082D" w:rsidP="0091082D">
      <w:r>
        <w:t>Ao contrário do anterior Relatório Verhofstadt de 2017 (Resolução de 16 de Fevereiro de 2017 sobre possíveis evoluções e ajustamentos à actual estrutura institucional da União Europeia)</w:t>
      </w:r>
      <w:r w:rsidR="00F80BC6">
        <w:rPr>
          <w:rStyle w:val="Refdenotaderodap"/>
        </w:rPr>
        <w:footnoteReference w:id="52"/>
      </w:r>
      <w:r>
        <w:t>, que apresento</w:t>
      </w:r>
      <w:r w:rsidRPr="000915B2">
        <w:t>u “possíveis evoluções e ajustes à actual estrutura institucional da UE”,</w:t>
      </w:r>
      <w:r>
        <w:t xml:space="preserve"> o relatório de 9 de Maio de 2022, também chamado de Relatório do Artigo 48.º, não se limitou a fazer sugestões nem exigências gerais, mas apresentou um novo tratado completamente definido.</w:t>
      </w:r>
    </w:p>
    <w:p w14:paraId="03B98E70" w14:textId="77777777" w:rsidR="0091082D" w:rsidRDefault="0091082D" w:rsidP="0091082D">
      <w:r>
        <w:t>Algumas dessas mudanças eram correcções menores, enquanto outras teriam um impacto profundo no sistema político, como a parlamentarização dos procedimentos eleitorais e decisórios, bem como a transferência de novos poderes legislativos para a UE, especialmente em áreas políticas como a saúde e a defesa.</w:t>
      </w:r>
    </w:p>
    <w:p w14:paraId="009A08E0" w14:textId="7A060BEF" w:rsidR="0091082D" w:rsidRDefault="0091082D" w:rsidP="000915B2">
      <w:pPr>
        <w:ind w:right="17"/>
      </w:pPr>
      <w:r>
        <w:t>Um elemento importante deste relatório, seria o recurso ao artigo 48.º</w:t>
      </w:r>
      <w:r w:rsidR="001E058A">
        <w:t>,</w:t>
      </w:r>
      <w:r>
        <w:t xml:space="preserve"> n.º 1</w:t>
      </w:r>
      <w:r w:rsidR="003773E4">
        <w:t>,</w:t>
      </w:r>
      <w:r>
        <w:t xml:space="preserve"> do Tratado da União </w:t>
      </w:r>
      <w:r w:rsidRPr="000915B2">
        <w:t>Europeia</w:t>
      </w:r>
      <w:r w:rsidR="00F80BC6" w:rsidRPr="000915B2">
        <w:rPr>
          <w:rStyle w:val="Refdenotaderodap"/>
        </w:rPr>
        <w:footnoteReference w:id="53"/>
      </w:r>
      <w:r w:rsidRPr="000915B2">
        <w:t xml:space="preserve">  (“os Tratados podem ser alterados de acordo com um processo de revisão ordinário. Podem igualmente ser alterados de acordo com processos de revisão simplificados”), para</w:t>
      </w:r>
      <w:r>
        <w:t xml:space="preserve"> se proceder à alteração dos tratados da União e consequentemente ao seu funcionamento.</w:t>
      </w:r>
    </w:p>
    <w:p w14:paraId="194ACF7C" w14:textId="77777777" w:rsidR="00FE6B68" w:rsidRDefault="0091082D" w:rsidP="0091082D">
      <w:r>
        <w:t>O conjunto mais notório destas alterações seriam as diversas propostas para atribuir mais poder ao Parlamento Europeu</w:t>
      </w:r>
      <w:r w:rsidR="00FE6B68">
        <w:t>, tendo sido, para tal, proposto a</w:t>
      </w:r>
      <w:r>
        <w:t>lterar o estabelecido no artigo 17.º</w:t>
      </w:r>
      <w:r w:rsidR="001E058A">
        <w:t>,</w:t>
      </w:r>
      <w:r>
        <w:t xml:space="preserve"> n.º 7</w:t>
      </w:r>
      <w:r w:rsidR="003773E4">
        <w:t>,</w:t>
      </w:r>
      <w:r>
        <w:t xml:space="preserve"> do TUE, segundo o qual o Presidente da Comissão Europeia é primeiro "proposto" pelo Conselho Europeu e depois </w:t>
      </w:r>
      <w:r w:rsidRPr="000915B2">
        <w:t>"eleito"</w:t>
      </w:r>
      <w:r>
        <w:t xml:space="preserve"> pelo Parlamento, de forma que o Presidente passasse antes a ser “proposto” pelo Parlamento e </w:t>
      </w:r>
      <w:r w:rsidRPr="000915B2">
        <w:t>“eleito”</w:t>
      </w:r>
      <w:r>
        <w:t xml:space="preserve"> pelo Conselho</w:t>
      </w:r>
      <w:r w:rsidR="00FE6B68">
        <w:t>.</w:t>
      </w:r>
    </w:p>
    <w:p w14:paraId="0F0798C8" w14:textId="1B835B1B" w:rsidR="0091082D" w:rsidRDefault="0091082D" w:rsidP="0091082D">
      <w:r>
        <w:t>Isto conferiria mais poder ao Parlamento, que teria a primeira palavra no que toca à nomeação do Presidente da Comissão e portanto, deteria mais controlo sobre o processo, num claro passo à parlamentarização da Comissão</w:t>
      </w:r>
      <w:r w:rsidR="00FE6B68">
        <w:t>.</w:t>
      </w:r>
    </w:p>
    <w:p w14:paraId="2191B3B5" w14:textId="034A678B" w:rsidR="0091082D" w:rsidRDefault="00FE6B68" w:rsidP="00FE6B68">
      <w:pPr>
        <w:ind w:right="17"/>
      </w:pPr>
      <w:r>
        <w:t>Foi ainda proposto, c</w:t>
      </w:r>
      <w:r w:rsidR="0091082D">
        <w:t xml:space="preserve">onferir um reforço ao direito de iniciativa do Parlamento, previsto no </w:t>
      </w:r>
      <w:r w:rsidR="00ED127A">
        <w:t>artigo</w:t>
      </w:r>
      <w:r w:rsidR="0091082D">
        <w:t xml:space="preserve"> 225.º do </w:t>
      </w:r>
      <w:r w:rsidR="005C14F8">
        <w:t>TFUE</w:t>
      </w:r>
      <w:r w:rsidR="000915B2">
        <w:t>, de forma a atribuir poder de co-decisão legislativa ao Parlamento, que acreditam dever ter o direito de iniciativa legislativa, a fim de propor os temas a serem discutidos e, posteriormente, adoptar os textos necessários para dar seguimento às recomendações que surjam das deliberações</w:t>
      </w:r>
      <w:r>
        <w:t>, bem como, d</w:t>
      </w:r>
      <w:r w:rsidR="0091082D">
        <w:t>ar voz ao Parlamento em muitas áreas onde anteriormente era apenas consultado ou totalmente excluído, como o Semestre Europeu ( a</w:t>
      </w:r>
      <w:r w:rsidR="00ED127A">
        <w:t>rtigo</w:t>
      </w:r>
      <w:r w:rsidR="0091082D">
        <w:t xml:space="preserve"> 121.º do TFUE ), a política de segurança e defesa ( art</w:t>
      </w:r>
      <w:r w:rsidR="00ED127A">
        <w:t>igo</w:t>
      </w:r>
      <w:r w:rsidR="0091082D">
        <w:t xml:space="preserve"> 42.º do TUE ), medidas de emergência em caso de catástrofes ( art</w:t>
      </w:r>
      <w:r w:rsidR="00ED127A">
        <w:t>igo</w:t>
      </w:r>
      <w:r w:rsidR="0091082D">
        <w:t xml:space="preserve"> 222.º do TFUE ) e crises económicas ( art</w:t>
      </w:r>
      <w:r w:rsidR="00ED127A">
        <w:t>igo</w:t>
      </w:r>
      <w:r w:rsidR="0091082D">
        <w:t xml:space="preserve"> 122.º do TFUE ). </w:t>
      </w:r>
    </w:p>
    <w:p w14:paraId="6DA7F251" w14:textId="5E4F163B" w:rsidR="0091082D" w:rsidRDefault="00FE6B68" w:rsidP="0091082D">
      <w:r>
        <w:t>Por fim, propôs-se ainda que a</w:t>
      </w:r>
      <w:r w:rsidR="0091082D">
        <w:t>s quotas nacionais de lugares nas eleições europeias ( art</w:t>
      </w:r>
      <w:r w:rsidR="00ED127A">
        <w:t>igo</w:t>
      </w:r>
      <w:r w:rsidR="0091082D">
        <w:t xml:space="preserve"> 14.º, n.º 2, do TUE ) deixariam de ser decididas pelo Conselho Europeu, mas apenas pelo Parlamento.</w:t>
      </w:r>
    </w:p>
    <w:p w14:paraId="5F080187" w14:textId="1BEC87B4" w:rsidR="0091082D" w:rsidRDefault="0091082D" w:rsidP="0091082D">
      <w:r>
        <w:t>Estas foram algumas das várias propostas da resolução supra e que procuraram atribuir mais poder ao Parlamento Europeu, efectivamente aproximando-o dos parlamentos nacionais.</w:t>
      </w:r>
    </w:p>
    <w:p w14:paraId="512F7015" w14:textId="77777777" w:rsidR="0091082D" w:rsidRDefault="0091082D" w:rsidP="0091082D">
      <w:r>
        <w:t xml:space="preserve">Esta semelhança é notória se tivermos em conta que caso estas propostas fossem aceites, a União teria um Parlamento, com representação partidária dos cidadãos europeus, com iniciativa e poder legislativo, nomeadamente em áreas críticas como a defesa. </w:t>
      </w:r>
    </w:p>
    <w:p w14:paraId="23EBBFE1" w14:textId="19FCF88F" w:rsidR="0091082D" w:rsidRDefault="0091082D" w:rsidP="0091082D">
      <w:r>
        <w:t xml:space="preserve">Outra alteração sugerida e levada a debate no Relatório do </w:t>
      </w:r>
      <w:r w:rsidR="00ED127A">
        <w:t>art</w:t>
      </w:r>
      <w:r w:rsidR="00070F0D">
        <w:t>igo</w:t>
      </w:r>
      <w:r>
        <w:t xml:space="preserve"> 48.º foi a criação de uma </w:t>
      </w:r>
      <w:r w:rsidRPr="000915B2">
        <w:t>"União Europeia da Defesa",</w:t>
      </w:r>
      <w:r>
        <w:t xml:space="preserve"> cujo objectivo seria a criação de unidades militares conjuntas sob um comando operacional europeu.</w:t>
      </w:r>
    </w:p>
    <w:p w14:paraId="262CE3F2" w14:textId="0ADB174F" w:rsidR="0091082D" w:rsidRDefault="0091082D" w:rsidP="0091082D">
      <w:r>
        <w:t>Esta sugestão faz um certo sentido tendo em conta as questões geopolíticas actuais, como por exemplo a Guerra Russo-Ucraniana e permitiria uma mobilização militar bem mais eficaz na defesa da União, na eventualidade de algum ataque externo.</w:t>
      </w:r>
    </w:p>
    <w:p w14:paraId="01CED21A" w14:textId="6E7D632A" w:rsidR="00F26567" w:rsidRDefault="00F26567" w:rsidP="0091082D">
      <w:r>
        <w:t>Esta necessidade emergente de maior coesão na área da defesa advém de 3 factores.</w:t>
      </w:r>
    </w:p>
    <w:p w14:paraId="1AD3D53D" w14:textId="33785545" w:rsidR="00F26567" w:rsidRDefault="00F26567" w:rsidP="0091082D">
      <w:r>
        <w:t xml:space="preserve">Primeiro, a “lei do mais forte” cada vez mais sobrepõe-se à noção de que desavenças entre Estados, podem ser regidas pelo direito internacional, organizações internacionais como as Nações Unidas, ou pela cooperação entre Estados, o que pode ver-se em conflitos na Ucrânia, Gaza e até mesmo no rapto do presidente Nicolás Maduro e na ameaça de </w:t>
      </w:r>
      <w:r w:rsidR="00A96848">
        <w:t xml:space="preserve">uma </w:t>
      </w:r>
      <w:r>
        <w:t xml:space="preserve">invasão americana </w:t>
      </w:r>
      <w:r w:rsidR="00A96848">
        <w:t>à</w:t>
      </w:r>
      <w:r>
        <w:t xml:space="preserve"> Gronelândia.</w:t>
      </w:r>
    </w:p>
    <w:p w14:paraId="442D5DB9" w14:textId="016BE654" w:rsidR="00A96848" w:rsidRDefault="00A96848" w:rsidP="0091082D">
      <w:r>
        <w:t>Segundo, os conflitos armados são agora vistos como um negócio, que leva o poder militar a andar lado a lado com o poder económico do Estado.</w:t>
      </w:r>
    </w:p>
    <w:p w14:paraId="136DAC15" w14:textId="711EE7D5" w:rsidR="00A96848" w:rsidRDefault="00A96848" w:rsidP="0091082D">
      <w:r>
        <w:t>A invasão do Iraque, fora também motivada pelas reservas de petróleo no país, e mais recentemente, Donald Trump pretendia transformar Gaza num enorme empreendimento imobiliário, explorar as reservas minerais ucranianas e entregar o controlo das reservas de petróleo venezuelanas a empresas americanas.</w:t>
      </w:r>
    </w:p>
    <w:p w14:paraId="64BA8303" w14:textId="4E61CAF6" w:rsidR="00A96848" w:rsidRDefault="00A96848" w:rsidP="0091082D">
      <w:r>
        <w:t>Por fim,</w:t>
      </w:r>
      <w:r w:rsidRPr="00A96848">
        <w:t xml:space="preserve"> </w:t>
      </w:r>
      <w:r>
        <w:t>o</w:t>
      </w:r>
      <w:r w:rsidRPr="00A96848">
        <w:t xml:space="preserve"> comércio internacional</w:t>
      </w:r>
      <w:r>
        <w:t xml:space="preserve"> tornou-se uma ferramenta dos Estados mais fortes, para controlar os mais fracos, como pode ver-se no uso de tarifas comerciais como forma de ameaçar e negociar apoio militar (temos aqui o exemplo da Rússia, que criou uma dependência da União em </w:t>
      </w:r>
      <w:r w:rsidRPr="00A96848">
        <w:t>gás natural e petróleo</w:t>
      </w:r>
      <w:r>
        <w:t xml:space="preserve"> russo)</w:t>
      </w:r>
      <w:r w:rsidR="00534DC2">
        <w:rPr>
          <w:rStyle w:val="Refdenotaderodap"/>
        </w:rPr>
        <w:footnoteReference w:id="54"/>
      </w:r>
      <w:r>
        <w:t>.</w:t>
      </w:r>
    </w:p>
    <w:p w14:paraId="1309CEEE" w14:textId="5E250C9D" w:rsidR="00F26567" w:rsidRDefault="00A96848" w:rsidP="0091082D">
      <w:r>
        <w:t xml:space="preserve">Ou seja, cada vez mais surge a necessidade da União se unir e investir na defesa, de forma a conseguir fazer frente a um conjunto de </w:t>
      </w:r>
      <w:r w:rsidR="00534DC2">
        <w:t>actores</w:t>
      </w:r>
      <w:r>
        <w:t xml:space="preserve"> que, sem qualquer respeito pela paz ou ordem internacional, tentam impor à força os seus interesses, devendo os Estados-Membros da União, não só investir no reforço das suas capacidades militares, como</w:t>
      </w:r>
      <w:r w:rsidR="00534DC2">
        <w:t>, caso tal se mostre necessário e seja apoiado pelos Estados da UE,</w:t>
      </w:r>
      <w:r>
        <w:t xml:space="preserve"> criar </w:t>
      </w:r>
      <w:r w:rsidR="00534DC2">
        <w:t>um sistema de defesa comum a todos os países da União, como um exército europeu.</w:t>
      </w:r>
      <w:r>
        <w:t xml:space="preserve"> </w:t>
      </w:r>
    </w:p>
    <w:p w14:paraId="23318026" w14:textId="77777777" w:rsidR="0091082D" w:rsidRDefault="0091082D" w:rsidP="0091082D">
      <w:r>
        <w:t>Tanto as missões como o orçamento deste exército europeu seriam decididos conjuntamente pelo Conselho e pelo Parlamento.</w:t>
      </w:r>
    </w:p>
    <w:p w14:paraId="68C85B21" w14:textId="63941818" w:rsidR="00D57335" w:rsidRDefault="00D57335" w:rsidP="0091082D">
      <w:r>
        <w:t>Esta torna-se ainda mais relevante nos dias actuais, com a ascensão da</w:t>
      </w:r>
      <w:r w:rsidRPr="00D57335">
        <w:t xml:space="preserve"> nova estratégia dos EUA para a ordem mundial</w:t>
      </w:r>
      <w:r>
        <w:t>, que reconhece a existência de zonas de interesse estratégico vital para os EUA (como a Gronelândia), dos quais este pode usufruir, numa espécie de</w:t>
      </w:r>
      <w:r w:rsidRPr="00D57335">
        <w:t xml:space="preserve"> ressurgimento da tese</w:t>
      </w:r>
      <w:r>
        <w:t xml:space="preserve"> alemã de </w:t>
      </w:r>
      <w:r w:rsidRPr="00D57335">
        <w:t>“espaço vital” (</w:t>
      </w:r>
      <w:r w:rsidRPr="00D57335">
        <w:rPr>
          <w:i/>
          <w:iCs/>
        </w:rPr>
        <w:t>Lebensraum</w:t>
      </w:r>
      <w:r w:rsidRPr="00D57335">
        <w:t>)</w:t>
      </w:r>
      <w:r>
        <w:t>.</w:t>
      </w:r>
    </w:p>
    <w:p w14:paraId="50D2416B" w14:textId="014EB065" w:rsidR="00D57335" w:rsidRDefault="00D57335" w:rsidP="0091082D">
      <w:r>
        <w:t>Isto claramente ameaça a própria Europa, visto que a visão americano-cêntrica de Donald Trump, sustentada no uso da força (seja esta militar ou económica), ao invés do recurso ao direito internacional, ignora os direitos de soberania dos restantes Estados.</w:t>
      </w:r>
    </w:p>
    <w:p w14:paraId="22EC8AF9" w14:textId="7642ABF2" w:rsidR="00D57335" w:rsidRDefault="00D57335" w:rsidP="0091082D">
      <w:r>
        <w:t xml:space="preserve">Esta nova </w:t>
      </w:r>
      <w:r w:rsidRPr="00D57335">
        <w:t>Estratégia de Segurança Nacional dos EUA</w:t>
      </w:r>
      <w:r>
        <w:t xml:space="preserve"> prova-se ser ainda mais relevante quando considerarmos que a Europa encontra-se naquilo que os EUA entendem ser a sua esfera de </w:t>
      </w:r>
      <w:r w:rsidR="00B622F9">
        <w:t>influência</w:t>
      </w:r>
      <w:r>
        <w:t xml:space="preserve">, o “Hemisfério Ocidental”, não podendo ignorar a mesma, visto que isto seria </w:t>
      </w:r>
      <w:r w:rsidRPr="00D57335">
        <w:t xml:space="preserve">contraproducente para os </w:t>
      </w:r>
      <w:r>
        <w:t xml:space="preserve">seus </w:t>
      </w:r>
      <w:r w:rsidRPr="00D57335">
        <w:t>objectivos</w:t>
      </w:r>
      <w:r>
        <w:t>.</w:t>
      </w:r>
    </w:p>
    <w:p w14:paraId="37E7720B" w14:textId="152664EC" w:rsidR="00D57335" w:rsidRDefault="00D57335" w:rsidP="0091082D">
      <w:r>
        <w:t xml:space="preserve">Isto leva-nos a crer que os EUA poderão tentar controlar a </w:t>
      </w:r>
      <w:r w:rsidR="00B622F9">
        <w:t>trajectória</w:t>
      </w:r>
      <w:r>
        <w:t xml:space="preserve"> europeia, mediante interferência em eleições europeias e na </w:t>
      </w:r>
      <w:r w:rsidR="00B622F9">
        <w:t>política</w:t>
      </w:r>
      <w:r>
        <w:t xml:space="preserve"> interna, bem como,</w:t>
      </w:r>
      <w:r w:rsidR="00B622F9">
        <w:t xml:space="preserve"> incentivar partidos eurocépticos e populistas europeus</w:t>
      </w:r>
      <w:r w:rsidR="00B622F9">
        <w:rPr>
          <w:rStyle w:val="Refdenotaderodap"/>
        </w:rPr>
        <w:footnoteReference w:id="55"/>
      </w:r>
      <w:r w:rsidR="00B622F9">
        <w:t>.</w:t>
      </w:r>
    </w:p>
    <w:p w14:paraId="278312EA" w14:textId="2FD29212" w:rsidR="00D57335" w:rsidRDefault="00B622F9" w:rsidP="0091082D">
      <w:r>
        <w:t>Mais uma vez, é possível notar que tanto do lado russo como do americano, a Europa vê-se ameaçada, devendo para tal, promover a integração e cooperação dos seus membros, de forma a conseguir construir um bloco capaz de resistir nestas duas frentes.</w:t>
      </w:r>
    </w:p>
    <w:p w14:paraId="32095162" w14:textId="069D34BB" w:rsidR="000915B2" w:rsidRDefault="0091082D" w:rsidP="0091082D">
      <w:r>
        <w:t>Além d</w:t>
      </w:r>
      <w:r w:rsidR="00172311">
        <w:t>a questão do</w:t>
      </w:r>
      <w:r>
        <w:t xml:space="preserve"> exército comum, a cláusula de assistência mútua estabelecida no artigo 42.º</w:t>
      </w:r>
      <w:r w:rsidR="003773E4">
        <w:t>,</w:t>
      </w:r>
      <w:r>
        <w:t xml:space="preserve"> n.º 7</w:t>
      </w:r>
      <w:r w:rsidR="003773E4">
        <w:t>,</w:t>
      </w:r>
      <w:r>
        <w:t xml:space="preserve"> do TUE</w:t>
      </w:r>
      <w:r w:rsidR="000915B2">
        <w:t>,</w:t>
      </w:r>
      <w:r w:rsidR="000915B2" w:rsidRPr="000915B2">
        <w:t xml:space="preserve"> </w:t>
      </w:r>
      <w:r w:rsidR="000915B2">
        <w:t>seria reforçada e alterada para que um ataque armado a um Estado-Membro fosse considerado um ataque a todos os Estados-Membros.</w:t>
      </w:r>
    </w:p>
    <w:p w14:paraId="5DF0157A" w14:textId="3C927BFF" w:rsidR="0091082D" w:rsidRDefault="0091082D" w:rsidP="0091082D">
      <w:r>
        <w:t>Escusado será dizer que um exército comum é algo que mais se assemelha a um Estado federal, com forças militares estatais e depois com forças sujeitas a controlo do Estado central federal, como é o caso dos Estados Unidos da América, com militares efectivos na Guarda Nacional, que obedece ao Governador do Estado e depois existem militares pertencentes ao Exercito dos Estados Unidos, que obedecem ao Comandante em Chefe, neste caso, o Presidente dos EUA, chefe de Estado e do governo que lidera o poder executivo do governo federal.</w:t>
      </w:r>
    </w:p>
    <w:p w14:paraId="5E74C39B" w14:textId="306548EF" w:rsidR="0091082D" w:rsidRDefault="0091082D" w:rsidP="0091082D">
      <w:r>
        <w:t xml:space="preserve">A política de </w:t>
      </w:r>
      <w:r w:rsidRPr="000915B2">
        <w:t>“um ataque a um é um ataque a todos</w:t>
      </w:r>
      <w:r w:rsidRPr="009B1B8B">
        <w:rPr>
          <w:i/>
          <w:iCs/>
        </w:rPr>
        <w:t>”</w:t>
      </w:r>
      <w:r>
        <w:t xml:space="preserve"> também se assemelha ao modelo federal, no sentido de que deixando de lado quaisquer dúvidas sobre a inquestionabilidade dos Estados-</w:t>
      </w:r>
      <w:r w:rsidR="002A3C6D">
        <w:t>M</w:t>
      </w:r>
      <w:r>
        <w:t>embros prestarem assistência mútua uns aos outros, estabelece-se o princípio de que os membros estão unificados no quadro defensivo, ainda mais se o supra referido exército europeu se concretizar.</w:t>
      </w:r>
    </w:p>
    <w:p w14:paraId="40810CCA" w14:textId="77777777" w:rsidR="0091082D" w:rsidRDefault="0091082D" w:rsidP="0091082D">
      <w:r>
        <w:t>Estes são alguns exemplos de um único relatório, mas que na sua essência permite-nos verificar que tem existido cada vez mais um sentimento de unificação e aproximação europeu.</w:t>
      </w:r>
    </w:p>
    <w:p w14:paraId="36D5096F" w14:textId="2E510863" w:rsidR="009B1B8B" w:rsidRDefault="0091082D" w:rsidP="009B1B8B">
      <w:r>
        <w:t>O simples facto de em 2017 ter sido publicado o Relatório Verhofstadt, com meras sugestões de carácter unificador, para 5 anos depois ser publicado o Relatório do Artigo 48.º, claramente inspirado no primeiro e que ao contrário deste não se remeteu a fazer sugestões mas antes a apresentar também soluções, demonstra que o sentimento de aproximação europeu está a crescer no seio político da União, que vê o trabalho conjunto dos Estados-</w:t>
      </w:r>
      <w:r w:rsidR="002A3C6D">
        <w:t>M</w:t>
      </w:r>
      <w:r>
        <w:t>embros sobre a alçada das instituições europeias, como a única forma realista de faze</w:t>
      </w:r>
      <w:r w:rsidR="009B1B8B">
        <w:t>r</w:t>
      </w:r>
      <w:r>
        <w:t xml:space="preserve"> face às novas e urgentes questões da actualidade.</w:t>
      </w:r>
    </w:p>
    <w:p w14:paraId="1F7419B3" w14:textId="77777777" w:rsidR="009B1B8B" w:rsidRDefault="009B1B8B" w:rsidP="009B1B8B"/>
    <w:p w14:paraId="7915D2BF" w14:textId="18643E3A" w:rsidR="00FB2631" w:rsidRPr="00787C75" w:rsidRDefault="009B1B8B" w:rsidP="00787C75">
      <w:pPr>
        <w:pStyle w:val="Ttulo2"/>
        <w:spacing w:before="200"/>
        <w:rPr>
          <w:b w:val="0"/>
          <w:bCs w:val="0"/>
        </w:rPr>
      </w:pPr>
      <w:bookmarkStart w:id="26" w:name="_Toc221648072"/>
      <w:r w:rsidRPr="00787C75">
        <w:rPr>
          <w:b w:val="0"/>
          <w:bCs w:val="0"/>
        </w:rPr>
        <w:t>3.2. O papel das identidades constitucionais nacionais</w:t>
      </w:r>
      <w:bookmarkEnd w:id="26"/>
    </w:p>
    <w:p w14:paraId="1DE0C050" w14:textId="77777777" w:rsidR="00FB2631" w:rsidRDefault="00FB2631" w:rsidP="00FB2631">
      <w:r>
        <w:t>O papel das identidades constitucionais nacionais é central e sensível no debate sobre a federalização da União Europeia. As identidades constitucionais funcionam como um limite jurídico e político ao aprofundamento da integração europeia, especialmente quando se discute uma possível evolução da UE para um modelo mais federal.</w:t>
      </w:r>
    </w:p>
    <w:p w14:paraId="523E8631" w14:textId="34C7B908" w:rsidR="00FB2631" w:rsidRDefault="00FB2631" w:rsidP="00FB2631">
      <w:r>
        <w:t>A identidade constitucional nacional refere-se ao conjunto de princípios fundamentais de cada Estado-</w:t>
      </w:r>
      <w:r w:rsidR="002A3C6D">
        <w:t>M</w:t>
      </w:r>
      <w:r>
        <w:t>embro, como a democracia, o Estado de direito, os direitos fundamentais e as especificidades históricas e culturais protegidas pelas respectivas constituições.</w:t>
      </w:r>
    </w:p>
    <w:p w14:paraId="43AEEA6E" w14:textId="3AFC6810" w:rsidR="00FB2631" w:rsidRDefault="00FB2631" w:rsidP="00FB2631">
      <w:r>
        <w:t>O próprio TUE, no seu artigo 4.º</w:t>
      </w:r>
      <w:r w:rsidR="00070F0D">
        <w:t>,</w:t>
      </w:r>
      <w:r>
        <w:t xml:space="preserve"> n.º 2</w:t>
      </w:r>
      <w:r w:rsidR="003773E4">
        <w:t>,</w:t>
      </w:r>
      <w:r>
        <w:t xml:space="preserve"> consagra expressamente que a União respeita a identidade nacional dos Estados-</w:t>
      </w:r>
      <w:r w:rsidR="002A3C6D">
        <w:t>M</w:t>
      </w:r>
      <w:r>
        <w:t>embros</w:t>
      </w:r>
      <w:r w:rsidRPr="000915B2">
        <w:t>, “incluindo as estruturas fundamentais políticas e constitucionais”.</w:t>
      </w:r>
      <w:r>
        <w:t xml:space="preserve"> </w:t>
      </w:r>
    </w:p>
    <w:p w14:paraId="286455A1" w14:textId="77777777" w:rsidR="00FB2631" w:rsidRDefault="00FB2631" w:rsidP="00FB2631">
      <w:r>
        <w:t>Esta cláusula foi introduzida para mitigar receios de perda de soberania e de imposição de um modelo federal sem salvaguarda das especificidades nacionais.</w:t>
      </w:r>
    </w:p>
    <w:p w14:paraId="2C35C8E5" w14:textId="77777777" w:rsidR="00FB2631" w:rsidRDefault="00FB2631" w:rsidP="00FB2631">
      <w:r>
        <w:t>O conflito entre os ordenamentos estatais e o europeu torna-se assim um bloqueio à uniformização jurídica da União, visto que as identidades constitucionais nacionais, com todas as suas características e especificidades típicas do Estado a que pertencem, recusam-se naturalmente a ceder.</w:t>
      </w:r>
    </w:p>
    <w:p w14:paraId="3A399A36" w14:textId="197DA59F" w:rsidR="0018645B" w:rsidRDefault="00FB2631" w:rsidP="00FB2631">
      <w:r>
        <w:t xml:space="preserve">Um exemplo claro deste confronto entre os ordenamentos europeu e nacional é o </w:t>
      </w:r>
      <w:r w:rsidRPr="0066560C">
        <w:rPr>
          <w:i/>
          <w:iCs/>
        </w:rPr>
        <w:t>Caso Solange I</w:t>
      </w:r>
      <w:r w:rsidR="0018645B">
        <w:t>,</w:t>
      </w:r>
      <w:r>
        <w:t xml:space="preserve"> em 1974</w:t>
      </w:r>
      <w:r w:rsidR="00F80BC6">
        <w:rPr>
          <w:rStyle w:val="Refdenotaderodap"/>
        </w:rPr>
        <w:footnoteReference w:id="56"/>
      </w:r>
      <w:r>
        <w:t>,</w:t>
      </w:r>
      <w:r w:rsidR="0018645B">
        <w:t xml:space="preserve"> que correu termos no Tribunal Constitucional Alemão e que dizia respeito à alegada violação desproporcional, pela Política Agrícola Comum, do direito de exercer actividade comercial, </w:t>
      </w:r>
      <w:r w:rsidR="0018645B" w:rsidRPr="0018645B">
        <w:t>garantido pela Constituição alemã</w:t>
      </w:r>
      <w:r w:rsidR="0018645B">
        <w:t>,</w:t>
      </w:r>
      <w:r w:rsidR="0018645B" w:rsidRPr="0018645B">
        <w:t xml:space="preserve"> </w:t>
      </w:r>
      <w:r>
        <w:t>que estabeleceu que</w:t>
      </w:r>
      <w:r w:rsidR="000915B2">
        <w:t>:</w:t>
      </w:r>
    </w:p>
    <w:p w14:paraId="7C3F0A5E" w14:textId="77777777" w:rsidR="0018645B" w:rsidRDefault="0018645B" w:rsidP="00FB2631"/>
    <w:p w14:paraId="2668D701" w14:textId="75438F7A" w:rsidR="00FB2631" w:rsidRDefault="000915B2" w:rsidP="000915B2">
      <w:pPr>
        <w:spacing w:line="240" w:lineRule="auto"/>
        <w:ind w:left="567" w:right="0"/>
        <w:rPr>
          <w:sz w:val="20"/>
          <w:szCs w:val="20"/>
        </w:rPr>
      </w:pPr>
      <w:r w:rsidRPr="000915B2">
        <w:rPr>
          <w:sz w:val="20"/>
          <w:szCs w:val="20"/>
        </w:rPr>
        <w:t>E</w:t>
      </w:r>
      <w:r w:rsidR="00FB2631" w:rsidRPr="000915B2">
        <w:rPr>
          <w:sz w:val="20"/>
          <w:szCs w:val="20"/>
        </w:rPr>
        <w:t>nquanto o processo de integração das Comunidades Europeias não tiver progredido a ponto de a lei comunitária também conter um catálogo operacional de direitos fundamentais que tenha sido adoptado por um parlamento e seja congruente com o catálogo de direitos fundamentais da Lei Fundamental, um tribunal da República Federal da Alemanha, após obter uma decisão do Tribunal de Justiça das Comunidades Europeias, conforme exigido pelo Art</w:t>
      </w:r>
      <w:r w:rsidR="00ED127A" w:rsidRPr="000915B2">
        <w:rPr>
          <w:sz w:val="20"/>
          <w:szCs w:val="20"/>
        </w:rPr>
        <w:t>igo</w:t>
      </w:r>
      <w:r w:rsidR="00FB2631" w:rsidRPr="000915B2">
        <w:rPr>
          <w:sz w:val="20"/>
          <w:szCs w:val="20"/>
        </w:rPr>
        <w:t xml:space="preserve"> 177</w:t>
      </w:r>
      <w:r w:rsidR="00070F0D" w:rsidRPr="000915B2">
        <w:rPr>
          <w:sz w:val="20"/>
          <w:szCs w:val="20"/>
        </w:rPr>
        <w:t>.º</w:t>
      </w:r>
      <w:r w:rsidR="00FB2631" w:rsidRPr="000915B2">
        <w:rPr>
          <w:sz w:val="20"/>
          <w:szCs w:val="20"/>
        </w:rPr>
        <w:t xml:space="preserve"> do Tratado, está autorizado — e obrigado — a remeter o assunto ao Tribunal Constitucional Federal em processos de revisão judicial se o tribunal em questão considerar que a interpretação do Tribunal de Justiça da disposição relevante da lei comunitária é inaplicável com base em que, ou na medida em que, conflita com um dos direitos fundamentais consagrados na Lei Fundamental</w:t>
      </w:r>
      <w:r w:rsidRPr="000915B2">
        <w:rPr>
          <w:sz w:val="20"/>
          <w:szCs w:val="20"/>
        </w:rPr>
        <w:t>.</w:t>
      </w:r>
    </w:p>
    <w:p w14:paraId="220B5AFC" w14:textId="77777777" w:rsidR="000915B2" w:rsidRPr="000915B2" w:rsidRDefault="000915B2" w:rsidP="000915B2">
      <w:pPr>
        <w:spacing w:line="240" w:lineRule="auto"/>
        <w:ind w:left="567" w:right="0"/>
        <w:rPr>
          <w:sz w:val="20"/>
          <w:szCs w:val="20"/>
        </w:rPr>
      </w:pPr>
    </w:p>
    <w:p w14:paraId="1F0D04BA" w14:textId="667F0A67" w:rsidR="00FB2631" w:rsidRDefault="00FB2631" w:rsidP="00FB2631">
      <w:r>
        <w:t>Este caso, fo</w:t>
      </w:r>
      <w:r w:rsidR="0018645B">
        <w:t>i</w:t>
      </w:r>
      <w:r>
        <w:t xml:space="preserve"> </w:t>
      </w:r>
      <w:r w:rsidR="0018645B">
        <w:t>uma</w:t>
      </w:r>
      <w:r>
        <w:t xml:space="preserve"> das mais famosas instâncias de confronto entre a identidade constitucional nacional dum Estado e o ordenamento jurídico europeu.</w:t>
      </w:r>
    </w:p>
    <w:p w14:paraId="517B125C" w14:textId="04990449" w:rsidR="00FB2631" w:rsidRDefault="00FB2631" w:rsidP="00FB2631">
      <w:r>
        <w:t>No caso supra por exemplo, a questão central era se o direito comunitário, que na época não previa um catálogo próprio de direitos fundamentais nem um Parlamento europeu com poderes legislativos plenos, deveria prevalecer sobre a Constituição nacional, mesmo quando pudesse afectar direitos fundamentais protegidos pela Lei Fundamental alemã.</w:t>
      </w:r>
    </w:p>
    <w:p w14:paraId="797C3580" w14:textId="77777777" w:rsidR="00FB2631" w:rsidRDefault="00FB2631" w:rsidP="00FB2631">
      <w:r>
        <w:t>O Tribunal decidiu que enquanto a ordem jurídica comunitária não oferecesse uma protecção dos direitos fundamentais equivalente àquela garantida pela Constituição alemã, o Tribunal Constitucional alemão reservaria para si o direito de controlar a compatibilidade do direito comunitário com os direitos fundamentais alemães.</w:t>
      </w:r>
    </w:p>
    <w:p w14:paraId="3CB6395C" w14:textId="4FBBED8F" w:rsidR="000915B2" w:rsidRDefault="000E0ED3" w:rsidP="000E0ED3">
      <w:r>
        <w:t xml:space="preserve">Mesmo em Portugal temos um exemplo deste conflito, tendo entendido o Tribunal Constitucional, no </w:t>
      </w:r>
      <w:r w:rsidRPr="0066560C">
        <w:rPr>
          <w:i/>
          <w:iCs/>
        </w:rPr>
        <w:t>Acórdão n.º 422/2020</w:t>
      </w:r>
      <w:r>
        <w:t xml:space="preserve"> </w:t>
      </w:r>
      <w:r w:rsidRPr="0066560C">
        <w:rPr>
          <w:i/>
          <w:iCs/>
        </w:rPr>
        <w:t>do Plenário do Tribunal Constitucional</w:t>
      </w:r>
      <w:r>
        <w:t>, que</w:t>
      </w:r>
      <w:r w:rsidR="000915B2">
        <w:t>:</w:t>
      </w:r>
      <w:r>
        <w:t xml:space="preserve"> </w:t>
      </w:r>
    </w:p>
    <w:p w14:paraId="229F2E32" w14:textId="77777777" w:rsidR="000915B2" w:rsidRPr="000915B2" w:rsidRDefault="000915B2" w:rsidP="000E0ED3">
      <w:pPr>
        <w:rPr>
          <w:sz w:val="20"/>
          <w:szCs w:val="20"/>
        </w:rPr>
      </w:pPr>
    </w:p>
    <w:p w14:paraId="09067D8D" w14:textId="316E7A7B" w:rsidR="000E0ED3" w:rsidRPr="000915B2" w:rsidRDefault="000E0ED3" w:rsidP="000915B2">
      <w:pPr>
        <w:spacing w:line="240" w:lineRule="auto"/>
        <w:ind w:left="567" w:right="0"/>
        <w:rPr>
          <w:sz w:val="20"/>
          <w:szCs w:val="20"/>
        </w:rPr>
      </w:pPr>
      <w:r w:rsidRPr="000915B2">
        <w:rPr>
          <w:sz w:val="20"/>
          <w:szCs w:val="20"/>
        </w:rPr>
        <w:t>“</w:t>
      </w:r>
      <w:r w:rsidR="000915B2" w:rsidRPr="000915B2">
        <w:rPr>
          <w:sz w:val="20"/>
          <w:szCs w:val="20"/>
        </w:rPr>
        <w:t>N</w:t>
      </w:r>
      <w:r w:rsidRPr="000915B2">
        <w:rPr>
          <w:sz w:val="20"/>
          <w:szCs w:val="20"/>
        </w:rPr>
        <w:t>os termos do artigo 8.º, n.º 4, da CRP, o Tribunal Constitucional só pode apreciar e recusar aplicação a uma norma de DUE, caso a mesma seja incompatível com um princípio fundamental do Estado de direito democrático que, no âmbito próprio do Direito da União Europeia – incluindo, portanto, a jurisprudência do TJUE –, não goze de valor paramétrico materialmente equivalente ao que lhe é reconhecido na Constituição, já que um tal princípio se impõe necessariamente à própria convenção do “[…] exercício, em comum, em cooperação ou pelas instituições da União, dos poderes necessários à construção e aprofundamento da União Europeia”. Ao invés, sempre que esteja em causa a apreciação de uma norma de DUE à luz de um princípio (fundamental) do Estado de direito democrático que, no âmbito do DUE, goze de um valor paramétrico materialmente equivalente ao que lhe é reconhecido na Constituição portuguesa, funcionalmente assegurado pelo TJUE (segundo os meios contenciosos previstos no DUE), o Tribunal Constitucional abstém-se de apreciar a compatibilidade daquela norma com a Constituição”</w:t>
      </w:r>
      <w:r w:rsidRPr="000915B2">
        <w:rPr>
          <w:rStyle w:val="Refdenotaderodap"/>
          <w:sz w:val="20"/>
          <w:szCs w:val="20"/>
        </w:rPr>
        <w:footnoteReference w:id="57"/>
      </w:r>
      <w:r w:rsidRPr="000915B2">
        <w:rPr>
          <w:sz w:val="20"/>
          <w:szCs w:val="20"/>
        </w:rPr>
        <w:t>.</w:t>
      </w:r>
    </w:p>
    <w:p w14:paraId="39782E01" w14:textId="77777777" w:rsidR="000915B2" w:rsidRPr="000E0ED3" w:rsidRDefault="000915B2" w:rsidP="000E0ED3"/>
    <w:p w14:paraId="2D1D66CA" w14:textId="77777777" w:rsidR="00FB2631" w:rsidRDefault="00FB2631" w:rsidP="00FB2631">
      <w:r>
        <w:t>Enquanto conflitos de ordenamento como estes serem possíveis, a identidade constitucional continuará a ser uma barreira à supremacia absoluta do direito da UE e, por consequência, à federalização total.</w:t>
      </w:r>
    </w:p>
    <w:p w14:paraId="5BFD0D73" w14:textId="23C9E31F" w:rsidR="00FB2631" w:rsidRDefault="00FB2631" w:rsidP="00FB2631">
      <w:r>
        <w:t>Entende-se também que a existência de conflitos inerentes às relações entre ordenamentos jurídicos não seja por si só a verdadeira causa destas dificuldades, mas antes a inexistência de mecanismos próprios que permitam resolver esses conflitos de maneira satisfatória para as duas partes em confronto</w:t>
      </w:r>
      <w:r w:rsidR="006E6AEE">
        <w:rPr>
          <w:rStyle w:val="Refdenotaderodap"/>
        </w:rPr>
        <w:footnoteReference w:id="58"/>
      </w:r>
      <w:r>
        <w:t>.</w:t>
      </w:r>
    </w:p>
    <w:p w14:paraId="15F9EC37" w14:textId="158927E0" w:rsidR="00FB2631" w:rsidRDefault="00FB2631" w:rsidP="00FB2631">
      <w:r>
        <w:t>Esta inexistência de regras e mecanismos conciliadores não poderá sequer ser abordada seriamente sem que antes o ordenamento jurídico europeu se configure como um ordenamento constitucional originário do qual as ordens jurídico-constitucionais dos Estados-</w:t>
      </w:r>
      <w:r w:rsidR="002A3C6D">
        <w:t>M</w:t>
      </w:r>
      <w:r>
        <w:t>embros da União derivem a sua legitimidade.</w:t>
      </w:r>
    </w:p>
    <w:p w14:paraId="2FE7C1FD" w14:textId="77777777" w:rsidR="00FB2631" w:rsidRDefault="00FB2631" w:rsidP="00FB2631">
      <w:r>
        <w:t>Só assim é que a articulação entre os ordenamentos estatais e europeu poderá ser devidamente abordada.</w:t>
      </w:r>
    </w:p>
    <w:p w14:paraId="6909CFBD" w14:textId="77777777" w:rsidR="00FB2631" w:rsidRDefault="00FB2631" w:rsidP="00FB2631">
      <w:r>
        <w:t>Este ordenamento constitucional originário europeu encontra-se obviamente ligado a uma Constituição europeia, algo que já fora idealizado e tentado, mas sem sucesso.</w:t>
      </w:r>
    </w:p>
    <w:p w14:paraId="387374C8" w14:textId="4C945B62" w:rsidR="00FB2631" w:rsidRDefault="00FB2631" w:rsidP="00FB2631">
      <w:r>
        <w:t>De 14 a 15 de Dezembro de 2001 fora realizado em Laeken um Conselho Europeu, que entre definir novas medidas na área da justiça e politica interna, debater a expansão da União, adotar a Declaração de Laeken sobre o Futuro da Europa e outros, estabeleceu a Convenção Europeia, também chamada de Convenção sobre o futuro da Europa, presidida pelo ex-presidente da França, Valéry Giscard d’Estaing, com o ex-Primeiro Ministro belga Jean-Luc Dehaene e o ex-Primeiro Ministro italiano Giuliano Amato como vice-presidentes</w:t>
      </w:r>
      <w:r w:rsidR="005747DA">
        <w:rPr>
          <w:rStyle w:val="Refdenotaderodap"/>
        </w:rPr>
        <w:footnoteReference w:id="59"/>
      </w:r>
      <w:r>
        <w:t>.</w:t>
      </w:r>
    </w:p>
    <w:p w14:paraId="4053DE72" w14:textId="1C4C4762" w:rsidR="00FB2631" w:rsidRDefault="00FB2631" w:rsidP="00FB2631">
      <w:r>
        <w:t>Aqui, d’Estaing propôs a criação de uma Constituição Europeia, com fim a promover uma maior democratização, transparência e eficiência dentro da União, terminando a proposta do Tratado em Julho de 2003, com entrega marcada em 2004 numa Conferência Intergovernamental.</w:t>
      </w:r>
    </w:p>
    <w:p w14:paraId="6C898152" w14:textId="2A47BFA8" w:rsidR="00FB2631" w:rsidRDefault="00FB2631" w:rsidP="00FB2631">
      <w:r>
        <w:t xml:space="preserve">Este documento, chamado de </w:t>
      </w:r>
      <w:r w:rsidRPr="000915B2">
        <w:t>“Projecto Penélope”</w:t>
      </w:r>
      <w:r>
        <w:t xml:space="preserve"> deveria ser entregue a Romano Prodi, presidente da Comissão Europeia. Tinha este nome de código em homenagem à esposa de Ulisses, que na mitologia grega tecia durante o dia um sudário e durante a noite o desmanchava.</w:t>
      </w:r>
    </w:p>
    <w:p w14:paraId="723312AF" w14:textId="569DC648" w:rsidR="00FB2631" w:rsidRDefault="00FB2631" w:rsidP="00FB2631">
      <w:r>
        <w:t xml:space="preserve">Romano Prodi durante um discurso em Estrasburgo em Maio de 2002 afirmou que, </w:t>
      </w:r>
      <w:r w:rsidRPr="000915B2">
        <w:t>“relativamente às instituições, a nova proposta tem um objectivo claro: definir mais claramente quem faz o quê na União Europeia. Noutras palavras, quem é responsável politicamente e institucionalmente pelas acções tomadas”</w:t>
      </w:r>
      <w:r w:rsidR="005747DA" w:rsidRPr="000915B2">
        <w:rPr>
          <w:rStyle w:val="Refdenotaderodap"/>
        </w:rPr>
        <w:footnoteReference w:id="60"/>
      </w:r>
      <w:r w:rsidRPr="000915B2">
        <w:t>.</w:t>
      </w:r>
    </w:p>
    <w:p w14:paraId="2C60B2FE" w14:textId="56D82671" w:rsidR="00FB2631" w:rsidRDefault="00FB2631" w:rsidP="00FB2631">
      <w:r>
        <w:t>Houve, porém, contratempos. Desde Valéry d’Estaing colidir com a Comissão e o seu Presidente, a vários Estados-membros solicitarem que o cristianismo fosse mencionado no preambulo (Itália, Lituânia, Malta, Polónia, Portugal, Républica Checa, Eslováquia)</w:t>
      </w:r>
      <w:r w:rsidR="005747DA">
        <w:rPr>
          <w:rStyle w:val="Refdenotaderodap"/>
        </w:rPr>
        <w:footnoteReference w:id="61"/>
      </w:r>
      <w:r>
        <w:t xml:space="preserve">, até a proposta da </w:t>
      </w:r>
      <w:r w:rsidRPr="000915B2">
        <w:t>“Penélope”</w:t>
      </w:r>
      <w:r>
        <w:t xml:space="preserve"> vazar para </w:t>
      </w:r>
      <w:r w:rsidR="0066560C">
        <w:t xml:space="preserve">diversos </w:t>
      </w:r>
      <w:r>
        <w:t xml:space="preserve">jornais na </w:t>
      </w:r>
      <w:r w:rsidR="0066560C">
        <w:t xml:space="preserve">França, </w:t>
      </w:r>
      <w:r>
        <w:t>Alemanha, Itália e Espanha, horas antes do documento oficial ser aprovado pelo colégio, o que feriu a credibilidade da Comissão.</w:t>
      </w:r>
    </w:p>
    <w:p w14:paraId="14BF9803" w14:textId="77777777" w:rsidR="00FB2631" w:rsidRDefault="00FB2631" w:rsidP="00FB2631">
      <w:r>
        <w:t>O tratado foi assinado em Roma a 29 de Outubro de 2004 por 53 figuras políticas de 25 Estados-membros da União Europeia.</w:t>
      </w:r>
    </w:p>
    <w:p w14:paraId="0989C2F6" w14:textId="0F33E7D0" w:rsidR="00FB2631" w:rsidRDefault="00FB2631" w:rsidP="00FB2631">
      <w:r>
        <w:t>Este tratado viria não só a restruturar a União, mas também a formalizar os valores comuns dos seus Estados-</w:t>
      </w:r>
      <w:r w:rsidR="002A3C6D">
        <w:t>M</w:t>
      </w:r>
      <w:r>
        <w:t xml:space="preserve">embros, como o artigo </w:t>
      </w:r>
      <w:r w:rsidR="00855237" w:rsidRPr="00855237">
        <w:t>I-2.</w:t>
      </w:r>
      <w:r w:rsidR="00855237">
        <w:t xml:space="preserve">º </w:t>
      </w:r>
      <w:r>
        <w:t>do TCA</w:t>
      </w:r>
      <w:r w:rsidR="00855237">
        <w:rPr>
          <w:rStyle w:val="Refdenotaderodap"/>
        </w:rPr>
        <w:footnoteReference w:id="62"/>
      </w:r>
      <w:r>
        <w:t xml:space="preserve"> (Tratado que estabelece uma Constituição para a Europa) enuncia:</w:t>
      </w:r>
    </w:p>
    <w:p w14:paraId="13623D2F" w14:textId="77777777" w:rsidR="000915B2" w:rsidRDefault="000915B2" w:rsidP="00FB2631"/>
    <w:p w14:paraId="481FA490" w14:textId="7EE97B35" w:rsidR="00FB2631" w:rsidRDefault="00FB2631" w:rsidP="000915B2">
      <w:pPr>
        <w:spacing w:line="240" w:lineRule="auto"/>
        <w:ind w:left="567" w:right="0"/>
        <w:rPr>
          <w:sz w:val="20"/>
          <w:szCs w:val="20"/>
        </w:rPr>
      </w:pPr>
      <w:r w:rsidRPr="000915B2">
        <w:rPr>
          <w:sz w:val="20"/>
          <w:szCs w:val="20"/>
        </w:rPr>
        <w:t>“A União funda-se nos valores do respeito pela dignidade humana, da liberdade, da democracia, da igualdade, do Estado de direito, e do respeito pelos direitos humanos. Estes valores são comuns aos Estados-Membros, numa sociedade caracterizada pelo pluralismo, a tolerância, a justiça, a solidariedade e a não discriminação”</w:t>
      </w:r>
    </w:p>
    <w:p w14:paraId="2125C3FA" w14:textId="77777777" w:rsidR="000915B2" w:rsidRPr="000915B2" w:rsidRDefault="000915B2" w:rsidP="000915B2">
      <w:pPr>
        <w:spacing w:line="240" w:lineRule="auto"/>
        <w:ind w:left="567" w:right="0"/>
        <w:rPr>
          <w:sz w:val="20"/>
          <w:szCs w:val="20"/>
        </w:rPr>
      </w:pPr>
    </w:p>
    <w:p w14:paraId="00F8F6FE" w14:textId="67689C66" w:rsidR="00FB2631" w:rsidRPr="000915B2" w:rsidRDefault="00FB2631" w:rsidP="00FB2631">
      <w:r>
        <w:t xml:space="preserve">Os seus objectivos incluíam a promoção </w:t>
      </w:r>
      <w:r w:rsidRPr="000915B2">
        <w:t>de um espaço de liberdade, segurança e justiça sem fronteiras internas e um mercado único em que a concorrência é livre e não falseada, um desenvolvimento sustentável da Europa, assente num crescimento económico equilibrado, numa economia social de mercado altamente competitiva, o combate à exclusão social e as discriminações e promoção da justiça e a protecção sociai</w:t>
      </w:r>
      <w:r w:rsidR="000915B2">
        <w:t>s</w:t>
      </w:r>
      <w:r w:rsidRPr="000915B2">
        <w:t xml:space="preserve"> e nas suas relações com a comunidade internacional iria afirmar e promover a paz, a segurança, o desenvolvimento sustentável do planeta, a solidariedade e o respeito mútuo entre os povos, o comércio livre e equitativo, a erradicação da pobreza e a protecção dos direitos humanos, em especial os das crianças, bem como para a rigorosa observância e o desenvolvimento do direito internacional, incluindo o respeito pelos princípios da Carta das Nações Unidas, nos termos do seu artigo 3</w:t>
      </w:r>
      <w:r w:rsidR="00070F0D" w:rsidRPr="000915B2">
        <w:t>.</w:t>
      </w:r>
      <w:r w:rsidRPr="000915B2">
        <w:t>º.</w:t>
      </w:r>
    </w:p>
    <w:p w14:paraId="6A28171B" w14:textId="46EB9FDC" w:rsidR="00FB2631" w:rsidRDefault="00FB2631" w:rsidP="00FB2631">
      <w:r>
        <w:t>Firmou-se ainda no seu artigo 6</w:t>
      </w:r>
      <w:r w:rsidR="00070F0D">
        <w:t>.</w:t>
      </w:r>
      <w:r>
        <w:t>º</w:t>
      </w:r>
      <w:r w:rsidR="00855237">
        <w:t>:</w:t>
      </w:r>
      <w:r>
        <w:t xml:space="preserve"> a personalidade jurídica da União Europeia, a delimitação das competências da União segundo o princípio da atribuição, sendo que o seu exercício reger-se-ia pelos princípios da subsidiariedade e da proporcionalidade, conforme o seu artigo 9</w:t>
      </w:r>
      <w:r w:rsidR="00070F0D">
        <w:t>.</w:t>
      </w:r>
      <w:r>
        <w:t>º, a primazia do direito da União nos seus artigos 10</w:t>
      </w:r>
      <w:r w:rsidR="00070F0D">
        <w:t>.</w:t>
      </w:r>
      <w:r>
        <w:t>º e 11</w:t>
      </w:r>
      <w:r w:rsidR="00070F0D">
        <w:t>.</w:t>
      </w:r>
      <w:r>
        <w:t>º, entre outros.</w:t>
      </w:r>
    </w:p>
    <w:p w14:paraId="76BBEF3B" w14:textId="30494F11" w:rsidR="00FB2631" w:rsidRDefault="00FB2631" w:rsidP="00FB2631">
      <w:r>
        <w:t xml:space="preserve">Houve uma resolução do </w:t>
      </w:r>
      <w:r w:rsidR="005C14F8">
        <w:t>PE</w:t>
      </w:r>
      <w:r>
        <w:t xml:space="preserve"> sobre o Tratado a 12 de Janeiro de 2005</w:t>
      </w:r>
      <w:r w:rsidR="005747DA">
        <w:rPr>
          <w:rStyle w:val="Refdenotaderodap"/>
        </w:rPr>
        <w:footnoteReference w:id="63"/>
      </w:r>
      <w:r>
        <w:t xml:space="preserve">  em apoio a este, porém, não foi vinculativo. </w:t>
      </w:r>
    </w:p>
    <w:p w14:paraId="789E70CA" w14:textId="4ED7B249" w:rsidR="00FB2631" w:rsidRDefault="00FB2631" w:rsidP="00FB2631">
      <w:r>
        <w:t>De forma a um tratado da União Europeia entrar em vigor, deve primeiro ser ratificado pelos seus Estados-</w:t>
      </w:r>
      <w:r w:rsidRPr="00481067">
        <w:t>Membros, “de acordo com as respectivas normas constitucionais e os instrumentos de ratificação serão depositados junto do Governo da República Italiana”, segundo o artigo IV-8</w:t>
      </w:r>
      <w:r w:rsidR="00070F0D" w:rsidRPr="00481067">
        <w:t>.</w:t>
      </w:r>
      <w:r w:rsidRPr="00481067">
        <w:t>º do Tratado.</w:t>
      </w:r>
      <w:r>
        <w:t xml:space="preserve"> </w:t>
      </w:r>
    </w:p>
    <w:p w14:paraId="24575FFF" w14:textId="77777777" w:rsidR="00FB2631" w:rsidRDefault="00FB2631" w:rsidP="00FB2631">
      <w:r>
        <w:t xml:space="preserve">O meio utilizado variou de Estado-Membro para Estado-Membro, dependendo de Constituições, tradições políticas e legislações. </w:t>
      </w:r>
    </w:p>
    <w:p w14:paraId="10DD70DC" w14:textId="77777777" w:rsidR="00FB2631" w:rsidRDefault="00FB2631" w:rsidP="00FB2631">
      <w:r>
        <w:t xml:space="preserve">No final houve países como o Reino Unido, Portugal, Dinamarca, França, Irlanda, Luxemburgo, Países Baixos e Espanha, que procederam a referendos, apesar de tais não serem obrigatórios, ao contrário da Irlanda que procedeu a um referendo exactamente porque o tratado exigiria uma emenda constitucional, emenda essa que deve sempre ser aprovada mediante referendo. </w:t>
      </w:r>
    </w:p>
    <w:p w14:paraId="13731B9E" w14:textId="11A56341" w:rsidR="00FB2631" w:rsidRDefault="00FB2631" w:rsidP="00FB2631">
      <w:r>
        <w:t>Alguns países como a Itália, Hungria, Lituânia, Grécia e outros decidiram através de votações parlamentares.</w:t>
      </w:r>
    </w:p>
    <w:p w14:paraId="05867795" w14:textId="77777777" w:rsidR="00481572" w:rsidRDefault="00FB2631" w:rsidP="00FB2631">
      <w:r>
        <w:t>De todos os países que recorreram a referendos, somente a França e os Países Baixos rejeitaram a proposta do referendo, com 54,68% a 45,32% contra, com um índice de 69,34% de participação e 61,54% a 38,46% contra, com um índice de 63,30% de participação, respectivamente</w:t>
      </w:r>
      <w:r w:rsidR="001A7126">
        <w:rPr>
          <w:rStyle w:val="Refdenotaderodap"/>
        </w:rPr>
        <w:footnoteReference w:id="64"/>
      </w:r>
      <w:r>
        <w:t xml:space="preserve">. </w:t>
      </w:r>
    </w:p>
    <w:p w14:paraId="41F733C5" w14:textId="61333BB5" w:rsidR="00FB2631" w:rsidRDefault="00FB2631" w:rsidP="00FB2631">
      <w:r>
        <w:t>Isto levantou um problema para a ratificação do Tratado, visto que sem a aprovação de todos os Estados-Membros, a Constituição Europeia não entraria em vigor.</w:t>
      </w:r>
    </w:p>
    <w:p w14:paraId="4389EF52" w14:textId="6A367B30" w:rsidR="00FB2631" w:rsidRDefault="00FB2631" w:rsidP="00FB2631">
      <w:r>
        <w:t xml:space="preserve">Isto provou se um choque e uma derrota para os líderes europeus que pretendiam aprovar a ratificação do Tratado e que imediatamente se seguiu de um pedido pelos líderes francês e neerlandês de </w:t>
      </w:r>
      <w:r w:rsidRPr="00481067">
        <w:t>um “período de reflexão”</w:t>
      </w:r>
      <w:r w:rsidR="001A7126" w:rsidRPr="00481067">
        <w:rPr>
          <w:rStyle w:val="Refdenotaderodap"/>
        </w:rPr>
        <w:footnoteReference w:id="65"/>
      </w:r>
      <w:r>
        <w:t xml:space="preserve"> , sendo que Jean-Claude Juncker, anunciou que um novo cronograma seria reconsiderado em meados de 2006, sugerindo que a </w:t>
      </w:r>
      <w:r w:rsidR="00273018">
        <w:t>C</w:t>
      </w:r>
      <w:r>
        <w:t>onstituição está morta ou, na melhor das hipóteses, precisará de uma renegociação completa.</w:t>
      </w:r>
    </w:p>
    <w:p w14:paraId="3E0B1E4C" w14:textId="2A8753F2" w:rsidR="006620BD" w:rsidRPr="006620BD" w:rsidRDefault="006620BD" w:rsidP="00FB2631">
      <w:r>
        <w:t xml:space="preserve">Assim que </w:t>
      </w:r>
      <w:r w:rsidRPr="00481067">
        <w:t>este “Tratado que institui uma Constituição para a Europa”, assinado em 2004, não tendo entrado em vigor em virtude da recusa do mesmo, por via referendária, pelos povos francês e holandês, estabelecendo-se que</w:t>
      </w:r>
      <w:r w:rsidRPr="006620BD">
        <w:rPr>
          <w:i/>
          <w:iCs/>
        </w:rPr>
        <w:t xml:space="preserve"> </w:t>
      </w:r>
      <w:r w:rsidRPr="00481067">
        <w:t>“a União Europeia nunca iria além das suas origens funcionais. Continuaria a ser a soma e o máximo denominador comum dos interesses individuais dos seus membros”</w:t>
      </w:r>
      <w:r w:rsidRPr="00481067">
        <w:rPr>
          <w:rStyle w:val="Refdenotaderodap"/>
        </w:rPr>
        <w:footnoteReference w:id="66"/>
      </w:r>
      <w:r w:rsidRPr="00481067">
        <w:t>, re</w:t>
      </w:r>
      <w:r>
        <w:t>alçando-se a falta de vontade dos Estados-</w:t>
      </w:r>
      <w:r w:rsidR="002A3C6D">
        <w:t>M</w:t>
      </w:r>
      <w:r>
        <w:t xml:space="preserve">embros, pelo menos à data, de desenvolver a União além daquilo que foi inicialmente idealizada e de partir ainda mais na via da integração europeia, pelo menos dentro daquilo que estava a ser projectado nesta Constituição. </w:t>
      </w:r>
    </w:p>
    <w:p w14:paraId="1DAF0611" w14:textId="77777777" w:rsidR="00FB2631" w:rsidRDefault="00FB2631" w:rsidP="00FB2631">
      <w:r>
        <w:t xml:space="preserve">Foi então formado o chamado Grupo Amato, formalmente chamado de </w:t>
      </w:r>
      <w:r w:rsidRPr="0035677F">
        <w:rPr>
          <w:i/>
          <w:iCs/>
        </w:rPr>
        <w:t xml:space="preserve">Action Committee for European Democracy </w:t>
      </w:r>
      <w:r>
        <w:t>(ACED), formado por um conjunto de políticos europeus, que de forma a resgatar o conteúdo deste projecto de Constituição e satisfazer as necessidades colocadas na Declaração de Laeken, abandonaram a ideia de um tratado constitucional e redigiram um novo tratado, que viria a ser o Tratado de Lisboa, com base no conteúdo do projecto de Constituição.</w:t>
      </w:r>
    </w:p>
    <w:p w14:paraId="69D163C5" w14:textId="70C6BE39" w:rsidR="00D3394C" w:rsidRDefault="00FB2631" w:rsidP="00FB2631">
      <w:r>
        <w:t xml:space="preserve">Ora, </w:t>
      </w:r>
      <w:r w:rsidR="006837BC">
        <w:t xml:space="preserve">alguns autores </w:t>
      </w:r>
      <w:r>
        <w:t xml:space="preserve">podem considerar </w:t>
      </w:r>
      <w:r w:rsidR="00405895">
        <w:t xml:space="preserve">que na prática, já existia e continua a existir </w:t>
      </w:r>
      <w:r>
        <w:t xml:space="preserve">uma </w:t>
      </w:r>
      <w:r w:rsidR="00D25262">
        <w:t>C</w:t>
      </w:r>
      <w:r>
        <w:t>onstituição europeia e um direito constitucional europeu.</w:t>
      </w:r>
    </w:p>
    <w:p w14:paraId="08019B51" w14:textId="2DD2C0C1" w:rsidR="00D85206" w:rsidRPr="00D85206" w:rsidRDefault="00D3394C" w:rsidP="00FB2631">
      <w:pPr>
        <w:rPr>
          <w:i/>
          <w:iCs/>
        </w:rPr>
      </w:pPr>
      <w:r>
        <w:t xml:space="preserve">Segundo J. J. </w:t>
      </w:r>
      <w:r w:rsidRPr="00481067">
        <w:t xml:space="preserve">Gomes Canotilho, uma </w:t>
      </w:r>
      <w:r w:rsidR="00D25262">
        <w:t>C</w:t>
      </w:r>
      <w:r w:rsidRPr="00481067">
        <w:t>onstituição moderna entende-se como “uma ordenação sistemática e racional da comunidade política através de um documento escrito, no qual se declaram as liberdades e os direitos e se fixam os limites do poder político”</w:t>
      </w:r>
      <w:r w:rsidR="00DA0DA2" w:rsidRPr="00481067">
        <w:rPr>
          <w:rStyle w:val="Refdenotaderodap"/>
        </w:rPr>
        <w:footnoteReference w:id="67"/>
      </w:r>
      <w:r w:rsidRPr="00481067">
        <w:t>.</w:t>
      </w:r>
    </w:p>
    <w:p w14:paraId="341143C3" w14:textId="040B95D0" w:rsidR="00FB2631" w:rsidRDefault="00D3394C" w:rsidP="00FB2631">
      <w:r>
        <w:t>Presume-se assim que tenha de ser um documento escrito, porém, Paulo Rangel vem prontamente defender</w:t>
      </w:r>
      <w:r w:rsidR="00E73A42">
        <w:t xml:space="preserve"> </w:t>
      </w:r>
      <w:r>
        <w:t>que u</w:t>
      </w:r>
      <w:r w:rsidR="00FB2631">
        <w:t xml:space="preserve">ma </w:t>
      </w:r>
      <w:r w:rsidR="00D25262">
        <w:t>C</w:t>
      </w:r>
      <w:r w:rsidR="00FB2631">
        <w:t xml:space="preserve">onstituição não tem de ser escrita, nem tem de se assumir como tal, tendo como principal exemplo o Reino Unido, onde não existe nenhum documento solene que ostente o epíteto de </w:t>
      </w:r>
      <w:r w:rsidR="00D25262">
        <w:t>C</w:t>
      </w:r>
      <w:r w:rsidR="00FB2631">
        <w:t>onstituição e regule os pontos essenciais da vida política</w:t>
      </w:r>
      <w:r w:rsidR="006837BC">
        <w:rPr>
          <w:rStyle w:val="Refdenotaderodap"/>
        </w:rPr>
        <w:footnoteReference w:id="68"/>
      </w:r>
      <w:r w:rsidR="006837BC">
        <w:t>.</w:t>
      </w:r>
    </w:p>
    <w:p w14:paraId="15615E84" w14:textId="64845688" w:rsidR="00FB2631" w:rsidRDefault="00FB2631" w:rsidP="00FB2631">
      <w:r>
        <w:t xml:space="preserve">Ora, o mesmo acontece na União Europeia, que dispõe de um estatuto político fundamental, que cumpre as funções de uma </w:t>
      </w:r>
      <w:r w:rsidR="00D25262">
        <w:t>C</w:t>
      </w:r>
      <w:r>
        <w:t>onstituição, sem precisar de se apelidar como</w:t>
      </w:r>
      <w:r w:rsidR="006837BC">
        <w:t xml:space="preserve"> tal</w:t>
      </w:r>
      <w:r w:rsidR="006620BD">
        <w:t>.</w:t>
      </w:r>
    </w:p>
    <w:p w14:paraId="51F8AE56" w14:textId="63CE8BD5" w:rsidR="00816BF6" w:rsidRDefault="006620BD" w:rsidP="00FB2631">
      <w:r>
        <w:t>O direito da União Europeia, enquanto</w:t>
      </w:r>
      <w:r w:rsidRPr="006620BD">
        <w:t xml:space="preserve"> sistema jurídico </w:t>
      </w:r>
      <w:r w:rsidRPr="00481067">
        <w:t>sui generis,</w:t>
      </w:r>
      <w:r w:rsidR="00E65422">
        <w:t xml:space="preserve"> tem a sua </w:t>
      </w:r>
      <w:r w:rsidRPr="006620BD">
        <w:t>base constitutiva positivada nos textos dos Tratados</w:t>
      </w:r>
      <w:r w:rsidR="00E65422">
        <w:t xml:space="preserve"> assinados pelos Estados-</w:t>
      </w:r>
      <w:r w:rsidR="002A3C6D">
        <w:t>M</w:t>
      </w:r>
      <w:r w:rsidR="00E65422">
        <w:t>embros</w:t>
      </w:r>
      <w:r w:rsidRPr="006620BD">
        <w:t xml:space="preserve"> e suportada nos princípios gerais do Direito,</w:t>
      </w:r>
      <w:r w:rsidR="00E65422">
        <w:t xml:space="preserve"> originados nas</w:t>
      </w:r>
      <w:r w:rsidR="00E65422" w:rsidRPr="00E65422">
        <w:t xml:space="preserve"> </w:t>
      </w:r>
      <w:r w:rsidR="00E65422" w:rsidRPr="006620BD">
        <w:t>tradições constitucionais comuns</w:t>
      </w:r>
      <w:r w:rsidR="00E65422">
        <w:t xml:space="preserve"> aos mesmos, bem como na jurisprudência do </w:t>
      </w:r>
      <w:r w:rsidR="005C14F8">
        <w:t>TJUE</w:t>
      </w:r>
      <w:r w:rsidR="00E65422">
        <w:t xml:space="preserve">, consubstanciando-se ainda no direito derivado de decisões, directivas, regulamentos, recomendações, pareceres e actos atípicos, bem como na </w:t>
      </w:r>
      <w:r w:rsidR="00E65422" w:rsidRPr="006620BD">
        <w:t>Convenção Europeia dos Direitos do Homem e em todo o conteúdo jurisprudencial emanado dos Tribunais europeus</w:t>
      </w:r>
      <w:r w:rsidR="00E65422">
        <w:rPr>
          <w:rStyle w:val="Refdenotaderodap"/>
        </w:rPr>
        <w:footnoteReference w:id="69"/>
      </w:r>
      <w:r w:rsidR="00E65422" w:rsidRPr="006620BD">
        <w:t>.</w:t>
      </w:r>
    </w:p>
    <w:p w14:paraId="28F9115C" w14:textId="24109056" w:rsidR="006F3DD0" w:rsidRDefault="006F3DD0" w:rsidP="006F3DD0">
      <w:r>
        <w:t>Aliás,</w:t>
      </w:r>
      <w:r w:rsidR="00346FF2">
        <w:t xml:space="preserve"> uma Constituição escrita não se apresenta como um </w:t>
      </w:r>
      <w:r w:rsidR="005F0510">
        <w:t>requisito</w:t>
      </w:r>
      <w:r w:rsidR="00346FF2">
        <w:t xml:space="preserve"> necessário para se aferir a democracidade de um Estado, quanto mais não seja, porque existem Estados democráticos que não possuem uma Constituição (como o Reino Unido) e Estados não democráticos com Constituição.</w:t>
      </w:r>
    </w:p>
    <w:p w14:paraId="4235EEDB" w14:textId="4F91498A" w:rsidR="00346FF2" w:rsidRDefault="00346FF2" w:rsidP="006F3DD0">
      <w:r>
        <w:t>Por isto mesmo, é necessário distinguir-se os conceitos de “soberania constitucional” e “soberania da jurisdição constitucional”, visto que existem Estados que não possuem um texto constitucional autónomo e/ou não possuem uma jurisdição constitucional especializada, mas que em vez disso possuem uma Constituição material.</w:t>
      </w:r>
    </w:p>
    <w:p w14:paraId="30B60B84" w14:textId="24DB1257" w:rsidR="00346FF2" w:rsidRDefault="00346FF2" w:rsidP="00346FF2">
      <w:r>
        <w:t xml:space="preserve">No Reino Unido, a regulação e a distribuição dos poderes estatais e o catálogo de direitos fundamentais do cidadão vivem em diplomas como a </w:t>
      </w:r>
      <w:r w:rsidRPr="005F0510">
        <w:rPr>
          <w:i/>
          <w:iCs/>
        </w:rPr>
        <w:t>Magna Charta Libertatum</w:t>
      </w:r>
      <w:r>
        <w:t xml:space="preserve"> de 1215, a </w:t>
      </w:r>
      <w:r w:rsidRPr="005F0510">
        <w:rPr>
          <w:i/>
          <w:iCs/>
        </w:rPr>
        <w:t>Law in Wales Acts</w:t>
      </w:r>
      <w:r>
        <w:t xml:space="preserve"> de 1535-1542, o </w:t>
      </w:r>
      <w:r w:rsidRPr="005F0510">
        <w:rPr>
          <w:i/>
          <w:iCs/>
        </w:rPr>
        <w:t>Habeas Corpus Act</w:t>
      </w:r>
      <w:r>
        <w:t xml:space="preserve"> de 1679, o </w:t>
      </w:r>
      <w:r w:rsidRPr="005F0510">
        <w:rPr>
          <w:i/>
          <w:iCs/>
        </w:rPr>
        <w:t>Human Rights Act</w:t>
      </w:r>
      <w:r>
        <w:t xml:space="preserve"> de 1998, entre outros.</w:t>
      </w:r>
    </w:p>
    <w:p w14:paraId="25785A42" w14:textId="2A7E001F" w:rsidR="00346FF2" w:rsidRDefault="005F0510" w:rsidP="00346FF2">
      <w:r>
        <w:t>Nestes termos, a Constituição pode ser vista não somente como um texto, mas como a junção de toda a realidade e cultura constitucional, e ainda que a existência de uma Constituição escrita fosse um requisito, importa questionarmo-nos se seria efectivamente possível redigir um texto que envolvesse a plenitude e toda a riqueza da vivência constitucional</w:t>
      </w:r>
      <w:r>
        <w:rPr>
          <w:rStyle w:val="Refdenotaderodap"/>
        </w:rPr>
        <w:footnoteReference w:id="70"/>
      </w:r>
      <w:r>
        <w:t>.</w:t>
      </w:r>
    </w:p>
    <w:p w14:paraId="143151CA" w14:textId="42FF2DD8" w:rsidR="006F3DD0" w:rsidRDefault="00FB2631" w:rsidP="00346FF2">
      <w:r>
        <w:t xml:space="preserve">Esta ideia de que a União encontra-se dotada de uma </w:t>
      </w:r>
      <w:r w:rsidR="00D25262">
        <w:t>C</w:t>
      </w:r>
      <w:r>
        <w:t>onstituição própria, advém de um conceito substantivo prévio, devendo para tal, ser capaz de diferenciar, identificar e estabelecer uma ordem política, apontando a sede do poder e a forma da sua organização, os fins e o estatuto dos sujeitos que se têm por seus membros.</w:t>
      </w:r>
    </w:p>
    <w:p w14:paraId="0E7A6DBE" w14:textId="21726FE6" w:rsidR="006837BC" w:rsidRDefault="00FB2631" w:rsidP="00FB2631">
      <w:r>
        <w:t xml:space="preserve">Nessa perspectiva, a concepção de uma </w:t>
      </w:r>
      <w:r w:rsidR="00D25262">
        <w:t>C</w:t>
      </w:r>
      <w:r>
        <w:t>onstituição europeia torna</w:t>
      </w:r>
      <w:r w:rsidR="00E73A42">
        <w:t>r</w:t>
      </w:r>
      <w:r>
        <w:t>-se</w:t>
      </w:r>
      <w:r w:rsidR="00E73A42">
        <w:t>-ia</w:t>
      </w:r>
      <w:r>
        <w:t xml:space="preserve">, na prática, redundante, </w:t>
      </w:r>
      <w:r w:rsidR="00D3394C">
        <w:t xml:space="preserve">visto que já </w:t>
      </w:r>
      <w:r w:rsidR="00E73A42">
        <w:t>teríamos</w:t>
      </w:r>
      <w:r w:rsidR="00D3394C">
        <w:t xml:space="preserve"> um conjunto normativo que estabelece a vida política da União e os direitos e liberdades dos cidadãos europeus.</w:t>
      </w:r>
    </w:p>
    <w:p w14:paraId="0F3A06A2" w14:textId="0D0B1750" w:rsidR="00D85206" w:rsidRDefault="006837BC" w:rsidP="002A0FE2">
      <w:r>
        <w:t xml:space="preserve">Ora, da mesma forma que existem autores que defendem a existência prática de uma </w:t>
      </w:r>
      <w:r w:rsidR="00D25262">
        <w:t>C</w:t>
      </w:r>
      <w:r>
        <w:t>onstituição europeia, também existem autores</w:t>
      </w:r>
      <w:r w:rsidR="002A0FE2">
        <w:t>, como Fausto de Quadros,</w:t>
      </w:r>
      <w:r>
        <w:t xml:space="preserve"> que defendem o contrário</w:t>
      </w:r>
      <w:r w:rsidR="002A0FE2">
        <w:t xml:space="preserve">, alegando que a </w:t>
      </w:r>
      <w:r w:rsidR="00311CD0">
        <w:t>União</w:t>
      </w:r>
      <w:r w:rsidR="002A0FE2">
        <w:t xml:space="preserve"> não possui o poder de auto-organização que lhe permite não só elaborar a sua Constituição, como definir os seus órgãos e as suas competências</w:t>
      </w:r>
      <w:r w:rsidR="002A0FE2">
        <w:rPr>
          <w:rStyle w:val="Refdenotaderodap"/>
        </w:rPr>
        <w:footnoteReference w:id="71"/>
      </w:r>
      <w:r w:rsidR="002A0FE2">
        <w:t>.</w:t>
      </w:r>
    </w:p>
    <w:p w14:paraId="1DBDBEAD" w14:textId="62153B34" w:rsidR="002A0FE2" w:rsidRDefault="002A0FE2" w:rsidP="002A0FE2">
      <w:r>
        <w:t xml:space="preserve">Visto que a </w:t>
      </w:r>
      <w:r w:rsidR="00311CD0">
        <w:t>União</w:t>
      </w:r>
      <w:r>
        <w:t xml:space="preserve"> foi criada por meio de Tratados celebrados pelos Estados-</w:t>
      </w:r>
      <w:r w:rsidR="002A3C6D">
        <w:t>M</w:t>
      </w:r>
      <w:r>
        <w:t>embros, estes é que reservam em si o poder de os modificar, nos termos do</w:t>
      </w:r>
      <w:r w:rsidRPr="002A0FE2">
        <w:t xml:space="preserve"> </w:t>
      </w:r>
      <w:r>
        <w:t>artigo 48.º do TUE, de acordo com as alterações introduzidas pelo tratado de Amesterdão, e de expandir as suas atribuições, devendo por isso, a União actuar dentro daquilo que são os limites dos objectivos consagrados nos mesmos Tratados.</w:t>
      </w:r>
    </w:p>
    <w:p w14:paraId="50176BC7" w14:textId="0310F47B" w:rsidR="002A0FE2" w:rsidRPr="002A0FE2" w:rsidRDefault="002A0FE2" w:rsidP="002A0FE2">
      <w:r>
        <w:t xml:space="preserve">Desta forma, falta à </w:t>
      </w:r>
      <w:r w:rsidR="00311CD0">
        <w:t>União,</w:t>
      </w:r>
      <w:r>
        <w:t xml:space="preserve"> os traços necessários para se poder identificar como um</w:t>
      </w:r>
      <w:r w:rsidRPr="002A0FE2">
        <w:t xml:space="preserve"> </w:t>
      </w:r>
      <w:r>
        <w:t xml:space="preserve">colectividade estatal, não possuindo além do mais, um povo (apesar de reunir vários) e um território (as dimensões da União variam consoante as competências que ela exerce), ainda que, de acordo com Francis Delpérée, a União detenha aquilo a que a Lei Fundamental alemã chama </w:t>
      </w:r>
      <w:r w:rsidRPr="00481067">
        <w:t>“direitos de soberania”,</w:t>
      </w:r>
      <w:r>
        <w:t xml:space="preserve"> ou seja, a capacidade de exercer ao nível governamental, legislativo e administrativo, funções típicas de um Estado</w:t>
      </w:r>
      <w:r w:rsidR="00855237">
        <w:t>.</w:t>
      </w:r>
    </w:p>
    <w:p w14:paraId="3120C91A" w14:textId="4F0B8729" w:rsidR="006837BC" w:rsidRDefault="00805A62" w:rsidP="006837BC">
      <w:r>
        <w:t xml:space="preserve">Desta forma, </w:t>
      </w:r>
      <w:r w:rsidR="00311CD0">
        <w:t>a União</w:t>
      </w:r>
      <w:r w:rsidR="006837BC">
        <w:t xml:space="preserve"> </w:t>
      </w:r>
      <w:r>
        <w:t>apresenta-se como</w:t>
      </w:r>
      <w:r w:rsidR="006837BC">
        <w:t xml:space="preserve"> pessoa jurídica, </w:t>
      </w:r>
      <w:r>
        <w:t xml:space="preserve">à luz </w:t>
      </w:r>
      <w:r w:rsidR="006837BC">
        <w:t>do Direito Internacional, não elimina</w:t>
      </w:r>
      <w:r>
        <w:t>ndo</w:t>
      </w:r>
      <w:r w:rsidR="006837BC">
        <w:t xml:space="preserve"> os Estados-</w:t>
      </w:r>
      <w:r w:rsidR="002A3C6D">
        <w:t>M</w:t>
      </w:r>
      <w:r w:rsidR="006837BC">
        <w:t>embros, também sujeitos de</w:t>
      </w:r>
      <w:r>
        <w:t xml:space="preserve"> </w:t>
      </w:r>
      <w:r w:rsidR="006837BC">
        <w:t>Direito Internacional,</w:t>
      </w:r>
      <w:r>
        <w:t xml:space="preserve"> seguindo antes a via da partilha entre ambos dos atributos do poder, complementando-se no processo</w:t>
      </w:r>
      <w:r>
        <w:rPr>
          <w:rStyle w:val="Refdenotaderodap"/>
        </w:rPr>
        <w:footnoteReference w:id="72"/>
      </w:r>
      <w:r>
        <w:t>.</w:t>
      </w:r>
    </w:p>
    <w:p w14:paraId="12C9E4C0" w14:textId="1D0D9032" w:rsidR="00805A62" w:rsidRDefault="00805A62" w:rsidP="006837BC">
      <w:r>
        <w:t>Este poder da União pode ser</w:t>
      </w:r>
      <w:r w:rsidR="002A1DE8">
        <w:t>,</w:t>
      </w:r>
      <w:r>
        <w:t xml:space="preserve"> inclusive, entendido como um poder político próprio de ordem superior ao dos Estados, ainda que derivado destes, no âmbito de uma progressiva integração, que não pertencente a um Estado, nem sequer a um Estado federal, regido por um conjunto ordenamental com vigência imediata, hierarquia superior e separada à dos Estados-</w:t>
      </w:r>
      <w:r w:rsidR="002A3C6D">
        <w:t>M</w:t>
      </w:r>
      <w:r>
        <w:t>embros</w:t>
      </w:r>
      <w:r w:rsidR="002A1DE8">
        <w:t>.</w:t>
      </w:r>
    </w:p>
    <w:p w14:paraId="5446DDF9" w14:textId="543DF30E" w:rsidR="002A1DE8" w:rsidRDefault="002A1DE8" w:rsidP="006837BC">
      <w:r>
        <w:t xml:space="preserve">Assim que podemos ver a base jurídica </w:t>
      </w:r>
      <w:r w:rsidR="00311CD0">
        <w:t>da União</w:t>
      </w:r>
      <w:r>
        <w:t>, não como uma Constituição num sentido formal, mas antes como uma ordem comum à qual os Estados se submetem mas que também podem abandonar</w:t>
      </w:r>
      <w:r w:rsidR="00405895">
        <w:t>.</w:t>
      </w:r>
    </w:p>
    <w:p w14:paraId="0FCF27EB" w14:textId="33CF9FF8" w:rsidR="00405895" w:rsidRDefault="00405895" w:rsidP="00405895">
      <w:r>
        <w:t xml:space="preserve">Por fim, existem requisitos para a existência de uma </w:t>
      </w:r>
      <w:r w:rsidR="00D25262">
        <w:t>C</w:t>
      </w:r>
      <w:r>
        <w:t>onstituição formal, como a intencionalidade na formação (as normas formalmente constitucionais são de fonte legal, criadas com o fim de serem constitucionais por um poder com legitimidade para tal e exigem um processo específico de formação), consideração sistemática (colocadas no topo do direito positivo do Estado, integradas num conjunto sistemático com unidade e coerência próprias, dentro da unidade e coerência do ordenamento jurídico) e força jurídica própria (gozam de um estatuto ou regime imposto por tais características e pela função que exercem, sendo notório na sua interpretação, integração, aplicação e garantia)</w:t>
      </w:r>
      <w:r>
        <w:rPr>
          <w:rStyle w:val="Refdenotaderodap"/>
        </w:rPr>
        <w:footnoteReference w:id="73"/>
      </w:r>
      <w:r>
        <w:t xml:space="preserve"> .</w:t>
      </w:r>
    </w:p>
    <w:p w14:paraId="193B26C9" w14:textId="7FF55356" w:rsidR="00405895" w:rsidRDefault="00405895" w:rsidP="00405895">
      <w:r>
        <w:t xml:space="preserve">Presume-se que estes requisitos tenham de existir para se verificar uma </w:t>
      </w:r>
      <w:r w:rsidR="00D25262">
        <w:t>C</w:t>
      </w:r>
      <w:r>
        <w:t xml:space="preserve">onstituição, o que não acontece neste caso, podendo-se somente verificar uma força jurídica própria, mas não uma intencionalidade constitucional na sua formação nem uma colocação destas normas no topo </w:t>
      </w:r>
      <w:r w:rsidRPr="00405895">
        <w:t>do direito positivo do Estado</w:t>
      </w:r>
      <w:r>
        <w:t>.</w:t>
      </w:r>
    </w:p>
    <w:p w14:paraId="32A38DCA" w14:textId="5021F1E2" w:rsidR="00FB2631" w:rsidRDefault="00FB2631" w:rsidP="00FB2631">
      <w:r>
        <w:t xml:space="preserve">Vale ainda salientar que não é possível a existência de uma </w:t>
      </w:r>
      <w:r w:rsidR="00D25262">
        <w:t>C</w:t>
      </w:r>
      <w:r>
        <w:t>onstituição democrática sem um mecanismo de revisão judicial da constitucionalidade das leis e outros actos adoptados pelas autoridades publicas.</w:t>
      </w:r>
    </w:p>
    <w:p w14:paraId="09963173" w14:textId="31F259AE" w:rsidR="00CE49D3" w:rsidRDefault="00FB2631" w:rsidP="00FB2631">
      <w:r>
        <w:t xml:space="preserve">Ou seja, a existência de uma </w:t>
      </w:r>
      <w:r w:rsidR="00A42414">
        <w:t>C</w:t>
      </w:r>
      <w:r>
        <w:t xml:space="preserve">onstituição da União Europeia, teria necessariamente de vir acompanhada de um Tribunal constitucional, especializado e capaz de garantir a conformidade da legislação com a </w:t>
      </w:r>
      <w:r w:rsidR="00D25262">
        <w:t>C</w:t>
      </w:r>
      <w:r>
        <w:t>onstituição ou outra lei fundamental e acima de tudo, garantir a observância dos direitos fundamentais.</w:t>
      </w:r>
    </w:p>
    <w:p w14:paraId="10E5A209" w14:textId="77777777" w:rsidR="00FB2631" w:rsidRDefault="00FB2631" w:rsidP="00FB2631">
      <w:r>
        <w:t>Num sistema federal, o poder é dividido entre as autoridades centrais e os Estados ou regiões, sendo que os respectivos limites dos poderes dessas autoridades também serão considerados questões constitucionais.</w:t>
      </w:r>
    </w:p>
    <w:p w14:paraId="5485E339" w14:textId="7A33F0F7" w:rsidR="00FB2631" w:rsidRDefault="00FB2631" w:rsidP="00FB2631">
      <w:r>
        <w:t>No âmbito dos Estados-</w:t>
      </w:r>
      <w:r w:rsidR="002A3C6D">
        <w:t>M</w:t>
      </w:r>
      <w:r>
        <w:t xml:space="preserve">embros da União, já se sabe que existem em diversos destes os respectivos </w:t>
      </w:r>
      <w:r w:rsidR="00A42414">
        <w:t>t</w:t>
      </w:r>
      <w:r>
        <w:t>ribunais constitucionais mas a própria União, também é dotada do seu Tribunal de Justiça, que perfaz essa função de observância constitucional.</w:t>
      </w:r>
    </w:p>
    <w:p w14:paraId="6954FF49" w14:textId="3F492084" w:rsidR="00FB2631" w:rsidRDefault="008A43D5" w:rsidP="00FB2631">
      <w:r>
        <w:t xml:space="preserve">Neste contexto, vale salientar que o próprio Tribunal de Justiça já veio reafirmar e clarificar o princípio da responsabilidade do Estado, </w:t>
      </w:r>
      <w:r w:rsidR="00FB2631">
        <w:t>entende</w:t>
      </w:r>
      <w:r>
        <w:t>ndo</w:t>
      </w:r>
      <w:r w:rsidR="00FB2631">
        <w:t xml:space="preserve"> que o direito à reparação depende do preenchimento de 3 pressupostos</w:t>
      </w:r>
      <w:r>
        <w:t>.</w:t>
      </w:r>
    </w:p>
    <w:p w14:paraId="49C04CD6" w14:textId="115F110C" w:rsidR="00FB2631" w:rsidRDefault="00D37F65" w:rsidP="00FB2631">
      <w:r>
        <w:t>O primeiro, é que a</w:t>
      </w:r>
      <w:r w:rsidR="00FB2631">
        <w:t xml:space="preserve"> regra de direito da União Europeia deve ter por objecto conferir direitos aos particulares</w:t>
      </w:r>
      <w:r>
        <w:t>, a segunda é que d</w:t>
      </w:r>
      <w:r w:rsidR="00FB2631">
        <w:t xml:space="preserve">eve configurar </w:t>
      </w:r>
      <w:r w:rsidR="00FB2631" w:rsidRPr="00481067">
        <w:t>uma «violação suficientemente caracterizada»</w:t>
      </w:r>
      <w:r w:rsidR="00FB2631">
        <w:t xml:space="preserve"> do direito da União Europeia</w:t>
      </w:r>
      <w:r>
        <w:t xml:space="preserve"> e p</w:t>
      </w:r>
      <w:r w:rsidR="00FB2631">
        <w:t xml:space="preserve">or último, deve existir um nexo causal entre a violação da norma da União e o prejuízo sofrido pelos particulares </w:t>
      </w:r>
      <w:r w:rsidR="00691BEC">
        <w:rPr>
          <w:rStyle w:val="Refdenotaderodap"/>
        </w:rPr>
        <w:footnoteReference w:id="74"/>
      </w:r>
      <w:r>
        <w:t>.</w:t>
      </w:r>
    </w:p>
    <w:p w14:paraId="715099C9" w14:textId="08B81AC5" w:rsidR="00FB2631" w:rsidRDefault="00FB2631" w:rsidP="00FB2631">
      <w:r>
        <w:t xml:space="preserve">Este </w:t>
      </w:r>
      <w:r w:rsidR="009B538B">
        <w:t>princípio</w:t>
      </w:r>
      <w:r>
        <w:t xml:space="preserve"> de responsabilidade, por si só, atribui um poder notório ao Tribunal de Justiça, ao qual são dotadas competências específicas com vista a assegurar não só o respeito pela lei da União, como a salvaguarda dos interesses dos privados.</w:t>
      </w:r>
    </w:p>
    <w:p w14:paraId="3C28B160" w14:textId="15CC4488" w:rsidR="00FB2631" w:rsidRDefault="00FB2631" w:rsidP="00FB2631">
      <w:r>
        <w:t xml:space="preserve">Enquanto alguns autores alegam que não é apropriado falar-se de um Tribunal Constitucional sem a existência de uma </w:t>
      </w:r>
      <w:r w:rsidR="00D25262">
        <w:t>C</w:t>
      </w:r>
      <w:r>
        <w:t xml:space="preserve">onstituição formal, José Luís da Cruz Vilaça entende que não há motivo para uma </w:t>
      </w:r>
      <w:r w:rsidR="00D25262">
        <w:t>C</w:t>
      </w:r>
      <w:r>
        <w:t>onstituição não ser criada por meio de um tratado, visto que constituições modernas tem sido criadas por diversos meios, como aprovação por convenção popular ou uma assembleia constituinte, referendos ou plebiscitos.</w:t>
      </w:r>
    </w:p>
    <w:p w14:paraId="0029855F" w14:textId="05EBA159" w:rsidR="00FB2631" w:rsidRDefault="00FB2631" w:rsidP="00FB2631">
      <w:r>
        <w:t xml:space="preserve">Entende também que a associação de um Estado-nação ao conceito de </w:t>
      </w:r>
      <w:r w:rsidR="00D25262">
        <w:t>C</w:t>
      </w:r>
      <w:r>
        <w:t>onstituição é um fenómeno histórico que não se encontra estabelecido em nenhuma regra de lei natural e que o processo de globalização tornou até necessário e conveniente, que a noção de que o exercício de poder e a adopção de legislação são prerrogativas exclusivas dos Estados seja completamente excluída.</w:t>
      </w:r>
    </w:p>
    <w:p w14:paraId="53EE4AA7" w14:textId="0B798903" w:rsidR="00FB2631" w:rsidRDefault="00FB2631" w:rsidP="00FB2631">
      <w:r>
        <w:t xml:space="preserve">Além disto, entende que as características essenciais de uma </w:t>
      </w:r>
      <w:r w:rsidR="00D25262">
        <w:t>C</w:t>
      </w:r>
      <w:r>
        <w:t>onstituição já se encontram presentes nos tratados europeus, em particular no tratado que estabeleceu a Comunidade Europeia e o Tratado da União Europeia, que além de outras coisas, estabelecem as tarefas fundamentais da União, os principais princípios relativos à divisão dos poderes entre a União e os Estados-</w:t>
      </w:r>
      <w:r w:rsidR="002A3C6D">
        <w:t>M</w:t>
      </w:r>
      <w:r>
        <w:t>embros, confia às instituições europeias os poderes necessários à prossecução  das suas tarefas, etc.</w:t>
      </w:r>
    </w:p>
    <w:p w14:paraId="77B2CAE6" w14:textId="520474EE" w:rsidR="00FB2631" w:rsidRDefault="00FB2631" w:rsidP="00FB2631">
      <w:r>
        <w:t xml:space="preserve">Por fim, e em concordância com diversos académicos de lei constitucional, como Carlos Closa, a ocorrência de um </w:t>
      </w:r>
      <w:r w:rsidRPr="00481067">
        <w:t>“evento constituinte”</w:t>
      </w:r>
      <w:r>
        <w:t xml:space="preserve"> não implica necessariamente a existência anterior de um “sujeito constituinte”, sendo que o exercício do poder constituinte é um facto </w:t>
      </w:r>
      <w:r w:rsidRPr="00481067">
        <w:t>“extralegal</w:t>
      </w:r>
      <w:r w:rsidRPr="009B538B">
        <w:rPr>
          <w:i/>
          <w:iCs/>
        </w:rPr>
        <w:t>”</w:t>
      </w:r>
      <w:r>
        <w:t>, que se bem sucedido em termos históricos, será reconhecido a posteriori na nova ordem constitucional</w:t>
      </w:r>
      <w:r w:rsidR="00691BEC">
        <w:rPr>
          <w:rStyle w:val="Refdenotaderodap"/>
        </w:rPr>
        <w:footnoteReference w:id="75"/>
      </w:r>
      <w:r>
        <w:t>.</w:t>
      </w:r>
    </w:p>
    <w:p w14:paraId="211EC6CD" w14:textId="58918F27" w:rsidR="00FB2631" w:rsidRDefault="00FB2631" w:rsidP="00FB2631">
      <w:r>
        <w:t xml:space="preserve">Ou seja, a existência daquilo que na prática é uma </w:t>
      </w:r>
      <w:r w:rsidR="00D25262">
        <w:t>C</w:t>
      </w:r>
      <w:r>
        <w:t>onstituição europeia, nos termos supra mencionados e de um Tribunal constitucional europeu que vela para que a legislação da UE seja interpretada e aplicada da mesma forma em todos os Estados-</w:t>
      </w:r>
      <w:r w:rsidR="002A3C6D">
        <w:t>M</w:t>
      </w:r>
      <w:r>
        <w:t>embros, bem como garantir que as instituições e os Estados-membros respeitem o direito europeu, demonstra já uma existência clara de integração constitucional dentro da União.</w:t>
      </w:r>
    </w:p>
    <w:p w14:paraId="34BD7A05" w14:textId="77777777" w:rsidR="00FB2631" w:rsidRDefault="00FB2631" w:rsidP="00FB2631">
      <w:r>
        <w:t xml:space="preserve">Esta linha de pensamento constitucional federal, em contraste com outros modos de constitucionalismo (como o universalista, global, funcional, neo-constitucional supranacional, quase-federal, e outros) aponta para a criação de uma estrutura assumidamente estadual federal, dotada de símbolos próprios, como uma bandeira, hino e divisa (sendo que estes símbolos já existem na União, na forma da bandeira da UE, do Hino da Alegria e da divisa </w:t>
      </w:r>
      <w:r w:rsidRPr="00481067">
        <w:t xml:space="preserve">“Unida na diversidade”) </w:t>
      </w:r>
      <w:r>
        <w:t>e de uma maior visibilidade e unidade de representação externa, caracterizada pelo reforço da democracia interna e da cidadania.</w:t>
      </w:r>
    </w:p>
    <w:p w14:paraId="63FED999" w14:textId="77777777" w:rsidR="00FB2631" w:rsidRDefault="00FB2631" w:rsidP="00FB2631">
      <w:r>
        <w:t xml:space="preserve">Porém, este processo deve obedecer a condicionantes internas e externas. </w:t>
      </w:r>
    </w:p>
    <w:p w14:paraId="42EE9CDF" w14:textId="77777777" w:rsidR="00FB2631" w:rsidRDefault="00FB2631" w:rsidP="00FB2631">
      <w:r>
        <w:t xml:space="preserve">Internamente, deve ser desenvolvida uma dinâmica de integração económica e monetária, o aprofundamento da cidadania e dos direitos fundamentais, a cooperação policial e judiciária em matéria civil e penal e o desenvolvimento de uma política externa de segurança e defesa comuns, bem como uma indefinição institucional dos princípios da subsidiariedade e da proporcionalidade. </w:t>
      </w:r>
    </w:p>
    <w:p w14:paraId="5704EC21" w14:textId="77777777" w:rsidR="00FB2631" w:rsidRDefault="00FB2631" w:rsidP="00FB2631">
      <w:r>
        <w:t xml:space="preserve">Externamente, deve ser dada resposta aos problemas da globalização, como a protecção do ambiente e da saúde pública internacional, o combate ao terrorismo e à criminalidade organizada, a regulação do comércio e sistema financeiro internacional, a convivência na cena global com os EUA, os BRICS e o mundo islâmico, enquanto factores que tornam necessária a criação de uma estrutura política e económica de tipo federal como inevitável. </w:t>
      </w:r>
    </w:p>
    <w:p w14:paraId="72E39503" w14:textId="57C6B22B" w:rsidR="00FB2631" w:rsidRDefault="00FB2631" w:rsidP="00FB2631">
      <w:r>
        <w:t>Ora, o projecto do Tratado Constitucional para a Europa já manifestava esta tendência, tendo regredido um pouco com o Tratado de Lisboa (que como fora anteriormente mencionado, baseou-se no conteúdo do Tratado Constitucional), ainda que mantendo alguns dos seus aspectos</w:t>
      </w:r>
      <w:r w:rsidR="009B538B">
        <w:t>.</w:t>
      </w:r>
    </w:p>
    <w:p w14:paraId="0AF691CD" w14:textId="304414AE" w:rsidR="00FD7D5D" w:rsidRDefault="00FB2631" w:rsidP="00FB2631">
      <w:r>
        <w:t>Isto resulta em algumas exigências constitucionais do direito da União, caracterizada por uma natureza jurídica quase federal, que não se limita a disciplinar as relações entre os Estados, mas antes estabelece uma nova ordem jurídica dotada de autonomia, a favor da qual os Estados-</w:t>
      </w:r>
      <w:r w:rsidR="002A3C6D">
        <w:t>M</w:t>
      </w:r>
      <w:r>
        <w:t>embros limitam as suas prerrogativas de soberania</w:t>
      </w:r>
      <w:r w:rsidR="00691BEC">
        <w:rPr>
          <w:rStyle w:val="Refdenotaderodap"/>
        </w:rPr>
        <w:footnoteReference w:id="76"/>
      </w:r>
      <w:r>
        <w:t>.</w:t>
      </w:r>
    </w:p>
    <w:p w14:paraId="5056F6E6" w14:textId="277A737B" w:rsidR="00FD7D5D" w:rsidRDefault="00FD7D5D" w:rsidP="00FB2631">
      <w:r>
        <w:t>Levanta-se aqui a questão de se um constitucionalismo que abrange vários Estados enfraquece ou fortalece os mesmos.</w:t>
      </w:r>
    </w:p>
    <w:p w14:paraId="2B5FF28A" w14:textId="77777777" w:rsidR="00FD7D5D" w:rsidRDefault="00FD7D5D" w:rsidP="00FB2631">
      <w:r>
        <w:t>Nas palavras de Lilian Barros de Oliveira Almeida:</w:t>
      </w:r>
    </w:p>
    <w:p w14:paraId="6BD9A4FD" w14:textId="77777777" w:rsidR="00FD7D5D" w:rsidRDefault="00FD7D5D" w:rsidP="00FB2631">
      <w:pPr>
        <w:rPr>
          <w:sz w:val="20"/>
          <w:szCs w:val="20"/>
        </w:rPr>
      </w:pPr>
    </w:p>
    <w:p w14:paraId="2B97FAE0" w14:textId="7B97EC16" w:rsidR="00FD7D5D" w:rsidRPr="00FD7D5D" w:rsidRDefault="00FD7D5D" w:rsidP="00FD7D5D">
      <w:pPr>
        <w:spacing w:line="240" w:lineRule="auto"/>
        <w:ind w:left="567" w:right="0"/>
        <w:rPr>
          <w:sz w:val="20"/>
          <w:szCs w:val="20"/>
        </w:rPr>
      </w:pPr>
      <w:r w:rsidRPr="00FD7D5D">
        <w:rPr>
          <w:sz w:val="20"/>
          <w:szCs w:val="20"/>
        </w:rPr>
        <w:t>“Poder-se-ia pensar que as limitações impostas pela globalização à soberania interna do poder estatal levam necessariamente ao enfraquecimento do Estado nacional. Mas seria isso verdade? Ou seria possível, por outro lado, afirmar que a limitação da soberania estatal, empreendida pela globalização, leva a um maior fortalecimento dos Estados? Argumento que limitar a soberania dos Estados à globalização não promove o enfraquecimento necessário do Estado-nação, visto que, dependendo da situação concreta, tal limitação é essencial para a obtenção do resultado desejado, exigindo que essa ação não seja realizada pelo Estado de forma isolada, mas sim supranacional, internacional ou global, para o melhor benefício do cidadão. Consequentemente, essa ação conjunta entre Estados pode levar ao fortalecimento de cada Estado envolvido. Além disso, é a realidade mutante que molda o núcleo essencial da soberania. A soberania, dependendo da situação concreta, precisa ser ainda mais limitada para que o Estado alcance objetivos relevantes, em benefício dos próprios cidadãos nacionais. Portanto, argumenta-se que a soberania não possui um núcleo conceitual absoluto, fechado e estático, e que sua essência deve permitir que ela seja moldada, de modo que o Estado, também no exercício da soberania, possa decidir abrir mão de partes dela para melhor executar suas atribuições”</w:t>
      </w:r>
      <w:r w:rsidR="009F3FC0">
        <w:rPr>
          <w:rStyle w:val="Refdenotaderodap"/>
          <w:sz w:val="20"/>
          <w:szCs w:val="20"/>
        </w:rPr>
        <w:footnoteReference w:id="77"/>
      </w:r>
      <w:r w:rsidRPr="00FD7D5D">
        <w:rPr>
          <w:sz w:val="20"/>
          <w:szCs w:val="20"/>
        </w:rPr>
        <w:t>.</w:t>
      </w:r>
    </w:p>
    <w:p w14:paraId="5197F0DE" w14:textId="77777777" w:rsidR="00FD7D5D" w:rsidRDefault="00FD7D5D" w:rsidP="00FB2631"/>
    <w:p w14:paraId="56758868" w14:textId="51E5E53B" w:rsidR="00FD7D5D" w:rsidRDefault="00FD7D5D" w:rsidP="00FB2631">
      <w:r>
        <w:t>Ou seja,</w:t>
      </w:r>
      <w:r w:rsidR="009F3FC0">
        <w:t xml:space="preserve"> a limitação da soberania por meio da globalização e da criação de um constitucionalismo além do Estado acaba por fortalecer os Estados que se submetem a estas limitações, visto que esta acção conjunta dos Estados leva a uma melhor obtenção de resultados benéficos para os cidadãos. </w:t>
      </w:r>
    </w:p>
    <w:p w14:paraId="5156833C" w14:textId="500477D2" w:rsidR="00FB2631" w:rsidRDefault="00FB2631" w:rsidP="00FB2631">
      <w:r>
        <w:t>Voltando à questão do Tratado que estabelece uma Constituição para a Europa, a sua derrota deveu-se em grande parte ao facto de que muitos críticos viam o projecto como um passo demasiado radical na direcção de uma integração quase federal da União, com primazia reforçada do direito da UE, símbolos constitucionais e novas figuras institucionais, o que alimentou o já existente medo de erosão da soberania nacional dos Estados-</w:t>
      </w:r>
      <w:r w:rsidR="002A3C6D">
        <w:t>M</w:t>
      </w:r>
      <w:r>
        <w:t xml:space="preserve">embros. </w:t>
      </w:r>
    </w:p>
    <w:p w14:paraId="7EF5662A" w14:textId="77777777" w:rsidR="00FB2631" w:rsidRDefault="00FB2631" w:rsidP="00FB2631">
      <w:r>
        <w:t>Importa referir que este medo da sobreposição da União sob a soberania dos Estados, é nada mais do que o resultado de uma forte identidade nacional dos cidadãos europeus, em contraste com a fraca identidade europeia.</w:t>
      </w:r>
    </w:p>
    <w:p w14:paraId="275D6381" w14:textId="77777777" w:rsidR="00FB2631" w:rsidRDefault="00FB2631" w:rsidP="00FB2631">
      <w:r>
        <w:t>Na verdade, os cidadãos europeus adoptam primeiro a sua identidade nacional (portugueses, espanhóis, franceses, alemães, etc.) e por consequência directa disso, vêem-se em segundo plano como europeus.</w:t>
      </w:r>
    </w:p>
    <w:p w14:paraId="7E9F97FA" w14:textId="77777777" w:rsidR="00481067" w:rsidRDefault="00FB2631" w:rsidP="00FB2631">
      <w:r>
        <w:t>Conforme um estudo realizado</w:t>
      </w:r>
      <w:r w:rsidR="00481067">
        <w:t>:</w:t>
      </w:r>
      <w:r w:rsidR="009B538B">
        <w:t xml:space="preserve"> </w:t>
      </w:r>
    </w:p>
    <w:p w14:paraId="5E8B1C4F" w14:textId="77777777" w:rsidR="00481067" w:rsidRDefault="00481067" w:rsidP="00FB2631"/>
    <w:p w14:paraId="755E8FF7" w14:textId="179CC863" w:rsidR="00FB2631" w:rsidRPr="00481067" w:rsidRDefault="00481067" w:rsidP="00481067">
      <w:pPr>
        <w:spacing w:line="240" w:lineRule="auto"/>
        <w:ind w:left="567" w:right="0"/>
        <w:rPr>
          <w:sz w:val="20"/>
          <w:szCs w:val="20"/>
        </w:rPr>
      </w:pPr>
      <w:r w:rsidRPr="00481067">
        <w:rPr>
          <w:sz w:val="20"/>
          <w:szCs w:val="20"/>
        </w:rPr>
        <w:t>O</w:t>
      </w:r>
      <w:r w:rsidR="00FB2631" w:rsidRPr="00481067">
        <w:rPr>
          <w:sz w:val="20"/>
          <w:szCs w:val="20"/>
        </w:rPr>
        <w:t>s portugueses se consideram simultaneamente portugueses e europeus, embora coloquem a sua nacionalidade à frente da sua identidade europeia (Eurobarómetro Standard 84, 2015), assim como a maioria dos europeus se encara como tendo, principal e primeiramente, uma identidade nacional (Fligstein et al., 2012) pensando “primeiro o país mas a Europa também” (Caporaso &amp; Kim, 2009).</w:t>
      </w:r>
      <w:r>
        <w:rPr>
          <w:sz w:val="20"/>
          <w:szCs w:val="20"/>
        </w:rPr>
        <w:t xml:space="preserve"> </w:t>
      </w:r>
      <w:r w:rsidR="00FB2631" w:rsidRPr="00481067">
        <w:rPr>
          <w:sz w:val="20"/>
          <w:szCs w:val="20"/>
        </w:rPr>
        <w:t>É então pertinente relembrar que, à semelhança do que se observa na UE como um todo, há em Portugal uma maioria de inquiridos que se consideram simultaneamente portugueses e europeus, embora coloquem a sua nacionalidade à frente da sua identidade europeia (Eurobarómetro Standard 84, 2015).</w:t>
      </w:r>
      <w:r>
        <w:rPr>
          <w:sz w:val="20"/>
          <w:szCs w:val="20"/>
        </w:rPr>
        <w:t xml:space="preserve"> </w:t>
      </w:r>
      <w:r w:rsidR="00FB2631" w:rsidRPr="00481067">
        <w:rPr>
          <w:sz w:val="20"/>
          <w:szCs w:val="20"/>
        </w:rPr>
        <w:t>Pelo que gostaríamos de realçar que, numa perspectiva longitudinal mais ampla, no Eurobarómetro de 2015 a percentagem de portugueses que se consideravam cidadãos europeus era de 72%, correspondente a uma substancial maioria dos inquiridos e bastante superior à média europeia da época”</w:t>
      </w:r>
      <w:r w:rsidR="004B1746" w:rsidRPr="00481067">
        <w:rPr>
          <w:rStyle w:val="Refdenotaderodap"/>
          <w:sz w:val="20"/>
          <w:szCs w:val="20"/>
        </w:rPr>
        <w:footnoteReference w:id="78"/>
      </w:r>
      <w:r w:rsidR="00FB2631" w:rsidRPr="00481067">
        <w:rPr>
          <w:sz w:val="20"/>
          <w:szCs w:val="20"/>
        </w:rPr>
        <w:t xml:space="preserve">. </w:t>
      </w:r>
    </w:p>
    <w:p w14:paraId="709A063E" w14:textId="77777777" w:rsidR="00481067" w:rsidRPr="009B538B" w:rsidRDefault="00481067" w:rsidP="00FB2631">
      <w:pPr>
        <w:rPr>
          <w:i/>
          <w:iCs/>
        </w:rPr>
      </w:pPr>
    </w:p>
    <w:p w14:paraId="0CD92C07" w14:textId="506134A7" w:rsidR="00FB2631" w:rsidRDefault="00FB2631" w:rsidP="00FB2631">
      <w:r>
        <w:t>Segundo o Eurobarómetro n</w:t>
      </w:r>
      <w:r w:rsidR="00465D91">
        <w:t>.</w:t>
      </w:r>
      <w:r>
        <w:t xml:space="preserve">º 96, de 18 de </w:t>
      </w:r>
      <w:r w:rsidR="009B538B">
        <w:t>Janeiro</w:t>
      </w:r>
      <w:r>
        <w:t xml:space="preserve"> a 14 de </w:t>
      </w:r>
      <w:r w:rsidR="009B538B">
        <w:t>Fevereiro</w:t>
      </w:r>
      <w:r>
        <w:t xml:space="preserve"> de 2022, publicado em </w:t>
      </w:r>
      <w:r w:rsidR="009B538B">
        <w:t>Abril</w:t>
      </w:r>
      <w:r>
        <w:t xml:space="preserve"> de 2022, os países em que os cidadãos/cidadãs se sentem mais europeus/europeias são Portugal (85%), Irlanda e  Luxemburgo (84%) e quando questionados sobre os </w:t>
      </w:r>
      <w:r w:rsidR="009B538B">
        <w:t>factores</w:t>
      </w:r>
      <w:r>
        <w:t xml:space="preserve"> que contribuem para criar um sentimento de comunidade entre os/as cidadãos/as da UE, a cultura (24%) está no topo da classificação, ligeiramente antes dos valores (23%), da economia (23%), da história  (22%) e do Estado de direito (21%). A geografia e a solidariedade foram identificadas por 19%</w:t>
      </w:r>
      <w:r w:rsidR="00092C07">
        <w:rPr>
          <w:rStyle w:val="Refdenotaderodap"/>
        </w:rPr>
        <w:footnoteReference w:id="79"/>
      </w:r>
      <w:r>
        <w:t>. Ou seja, tem se verificado um aumento do sentimento europeu, pelo menos em Portugal, desde 2015 a 2022, ainda que secundário à identidade nacional.</w:t>
      </w:r>
    </w:p>
    <w:p w14:paraId="027AC623" w14:textId="634A34CC" w:rsidR="00FB2631" w:rsidRDefault="00FB2631" w:rsidP="00FB2631">
      <w:r>
        <w:t>Apesar deste aumento de pertença europeia, esta não substitui o sentimento de orgulho e pertença nacional dos cidadãos dos Estados-</w:t>
      </w:r>
      <w:r w:rsidR="002A3C6D">
        <w:t>M</w:t>
      </w:r>
      <w:r>
        <w:t>embros o que pode complicar a adopção de medidas mais unificadoras no panorama do federalismo europeu.</w:t>
      </w:r>
    </w:p>
    <w:p w14:paraId="3B0FEC08" w14:textId="46CE1173" w:rsidR="00FB2631" w:rsidRDefault="00FB2631" w:rsidP="00FB2631">
      <w:r>
        <w:t xml:space="preserve">Isto porque tanto uma </w:t>
      </w:r>
      <w:r w:rsidR="00D25262">
        <w:t>C</w:t>
      </w:r>
      <w:r>
        <w:t>onstituição europeia, como um exército comum, ou na mais ambiciosa das hipóteses, um governo federal europeu, depende criticamente de um sentimento de pertença europeu, que não pode ser secundário mas antes primário.</w:t>
      </w:r>
    </w:p>
    <w:p w14:paraId="1D788C16" w14:textId="78EBA14A" w:rsidR="00530FEC" w:rsidRDefault="00530FEC" w:rsidP="00FB2631">
      <w:r>
        <w:t>A</w:t>
      </w:r>
      <w:r w:rsidRPr="00530FEC">
        <w:t xml:space="preserve"> 14 de Setembro de 2022, </w:t>
      </w:r>
      <w:r>
        <w:t xml:space="preserve">a </w:t>
      </w:r>
      <w:r w:rsidRPr="00530FEC">
        <w:t xml:space="preserve">Presidente da Comissão Europeia, Ursula von der Leyen, </w:t>
      </w:r>
      <w:r>
        <w:t xml:space="preserve">fez o </w:t>
      </w:r>
      <w:r w:rsidRPr="00530FEC">
        <w:t>seu terceiro discurso sobre o “Estado da União”</w:t>
      </w:r>
      <w:r>
        <w:t xml:space="preserve">, claramente marcado pelo tema da guerra, acusando a Federação Russa, e consequentemente, Vladimir Putin enquanto personificação do poder centralizado russo, de serem os responsáveis directos pela guerra na Ucrânia e causarem indirectamente uma </w:t>
      </w:r>
      <w:r w:rsidRPr="00530FEC">
        <w:t>crise económica, inflação e crise social e migratória</w:t>
      </w:r>
      <w:r>
        <w:t>, como resultado deste conflito.</w:t>
      </w:r>
    </w:p>
    <w:p w14:paraId="69D55937" w14:textId="029782A2" w:rsidR="00530FEC" w:rsidRDefault="00530FEC" w:rsidP="00FB2631">
      <w:r>
        <w:t>Desta forma, a Presidente da Comissão pretendia deixar claro a posição geopolítica da União, que com toda a sua estrutura histórica baseada em valores de integração, mantinha-se como um pilar de democracia contra autocracia russa</w:t>
      </w:r>
      <w:r>
        <w:rPr>
          <w:rStyle w:val="Refdenotaderodap"/>
        </w:rPr>
        <w:footnoteReference w:id="80"/>
      </w:r>
      <w:r>
        <w:t>.</w:t>
      </w:r>
    </w:p>
    <w:p w14:paraId="3DA81E1C" w14:textId="57057FD4" w:rsidR="00530FEC" w:rsidRDefault="00530FEC" w:rsidP="00FB2631">
      <w:r>
        <w:t>Com isto, Ursula von der Leyen pretendia não só mostrar ao mundo a posição que a União tomava neste conflito, mas também, realçar os valores comuns aos Estados-Membros da UE, valores esses que priorizam a integração, cooperação e Estado de direito,</w:t>
      </w:r>
      <w:r w:rsidR="00216F63">
        <w:t xml:space="preserve"> face a uma Rússia agressora.</w:t>
      </w:r>
    </w:p>
    <w:p w14:paraId="170D9402" w14:textId="1EDC5993" w:rsidR="00530FEC" w:rsidRDefault="00216F63" w:rsidP="00FB2631">
      <w:r>
        <w:t>Esses valores comuns servem acima de tudo, para unir a Europa numa visão e missão comum, face a um vizinho cada vez mais violento, ressaltando a missão europeia como um importante projecto de democracia que deve ser preservado e que pertence a não só, todos os Estados-Membros, como aos seus cidadãos.</w:t>
      </w:r>
    </w:p>
    <w:p w14:paraId="126A7990" w14:textId="7B0A7AD0" w:rsidR="00216F63" w:rsidRDefault="00216F63" w:rsidP="00FB2631">
      <w:r>
        <w:t>Valores como esses são a verdadeira cola que une o futuro dos Estados-Membros, ainda que estes não pertençam a um único Estado federal, servindo imperativamente para criar um sentimento de pertença europeu.</w:t>
      </w:r>
    </w:p>
    <w:p w14:paraId="36D43213" w14:textId="6B0DC1CB" w:rsidR="00FB2631" w:rsidRDefault="00216F63" w:rsidP="00FB2631">
      <w:r>
        <w:t>Ainda na questão da identidade nacional, q</w:t>
      </w:r>
      <w:r w:rsidR="00FB2631">
        <w:t>ualquer cidadão dos Estados Unidos da América, ainda que leais ao seu Estado e se revejam como californianos ou texanos, antes de mais sentem-se americanos, unidos uns aos outros pelos símbolos e história que partilham entre si.</w:t>
      </w:r>
      <w:r w:rsidR="0004609A">
        <w:t xml:space="preserve"> </w:t>
      </w:r>
      <w:r w:rsidR="00FB2631">
        <w:t>Em contraste, veja-se o que ocorreu na Europa na Primavera de 2010.</w:t>
      </w:r>
    </w:p>
    <w:p w14:paraId="0591DD0C" w14:textId="77777777" w:rsidR="00FB2631" w:rsidRDefault="00FB2631" w:rsidP="00FB2631">
      <w:r>
        <w:t>O governo grego enfrentava uma séria crise financeira e precisou de recorrer ao Banco Central Europeu para obter ajuda, tendo-lhe sido providenciada tal ajuda em troca da implementação de um severo programa de austeridade para garantir a assistência.</w:t>
      </w:r>
    </w:p>
    <w:p w14:paraId="47D9B62E" w14:textId="77777777" w:rsidR="00FB2631" w:rsidRDefault="00FB2631" w:rsidP="00FB2631">
      <w:r>
        <w:t>O resultado foram manifestações na Alemanha, Estado que forneceu a maior parte do financiamento para a assistência, onde ondas de cidadãos protestaram contra a participação de seu governo no resgate, vendo o governo e cidadãos gregos como esbanjadores e dissipadores, e manifestações na Grécia, onde cidadãos ressentidos com as políticas de austeridade e as objecções do povo alemão foram às ruas.</w:t>
      </w:r>
    </w:p>
    <w:p w14:paraId="5DC234E0" w14:textId="77777777" w:rsidR="00B942DE" w:rsidRDefault="00FB2631" w:rsidP="00FB2631">
      <w:r>
        <w:t>Assim que, as preocupações nacionais e a identidade nacional sobrepuseram-se ao ideal europeu de que todos os Estados-</w:t>
      </w:r>
      <w:r w:rsidR="002A3C6D">
        <w:t>M</w:t>
      </w:r>
      <w:r>
        <w:t>embros estavam juntos no projecto, para o bem e para o mal.</w:t>
      </w:r>
      <w:r w:rsidR="0004609A">
        <w:t xml:space="preserve"> </w:t>
      </w:r>
    </w:p>
    <w:p w14:paraId="4C463C1F" w14:textId="5415A9C1" w:rsidR="00FB2631" w:rsidRDefault="00FB2631" w:rsidP="00FB2631">
      <w:r>
        <w:t xml:space="preserve">Uma federalização plena implicaria portanto uma transferência substancial de competências e a criação de uma </w:t>
      </w:r>
      <w:r w:rsidR="00D25262">
        <w:t>C</w:t>
      </w:r>
      <w:r>
        <w:t xml:space="preserve">onstituição europeia formal. </w:t>
      </w:r>
    </w:p>
    <w:p w14:paraId="3D7D554B" w14:textId="77777777" w:rsidR="00FB2631" w:rsidRDefault="00FB2631" w:rsidP="00FB2631">
      <w:r>
        <w:t xml:space="preserve">Contudo, a ausência de um </w:t>
      </w:r>
      <w:r w:rsidRPr="00465D91">
        <w:t xml:space="preserve">“povo europeu” </w:t>
      </w:r>
      <w:r>
        <w:t xml:space="preserve">com poder constituinte próprio e a centralidade das identidades constitucionais nacionais tornam esse caminho politicamente e juridicamente complexo. </w:t>
      </w:r>
    </w:p>
    <w:p w14:paraId="3D74F76B" w14:textId="21D7C3DE" w:rsidR="00FB2631" w:rsidRDefault="00FB2631" w:rsidP="00FB2631">
      <w:r>
        <w:t>Porém, esta europeização dos cidadãos dos Estados-</w:t>
      </w:r>
      <w:r w:rsidR="002A3C6D">
        <w:t>M</w:t>
      </w:r>
      <w:r>
        <w:t>embros da União é algo que tem ocorrido progressivamente ao longo das últimas décadas.</w:t>
      </w:r>
      <w:r w:rsidR="0004609A">
        <w:t xml:space="preserve"> </w:t>
      </w:r>
      <w:r>
        <w:t xml:space="preserve">Aqueles tidos como </w:t>
      </w:r>
      <w:r w:rsidRPr="00465D91">
        <w:t>“europeus”,</w:t>
      </w:r>
      <w:r w:rsidRPr="009B538B">
        <w:rPr>
          <w:i/>
          <w:iCs/>
        </w:rPr>
        <w:t xml:space="preserve"> </w:t>
      </w:r>
      <w:r>
        <w:t>conforme as teorias de Fligstein e Deutsch, acabam por ser aqueles que pertencem aos grupos socioeconómicos mais elevados da sociedade (proprietários de empresas, gerentes, profissionais liberais e outros trabalhadores de escritório), que além de participarem em actividades relacionadas com vários aspectos dos negócios e governos europeus, dispões da possibilidade de viajar mais frequentemente pela Europa, ou até viver em diversos dos seus países durante largos períodos de tempo.</w:t>
      </w:r>
    </w:p>
    <w:p w14:paraId="4B449EAF" w14:textId="77777777" w:rsidR="00FB2631" w:rsidRDefault="00FB2631" w:rsidP="00FB2631">
      <w:r>
        <w:t>Com isto desenvolvem relações sociais a longo prazo com cidadãos de outros Estados europeus, aprendem a falar um segundo ou terceiro idioma e participam em associações empresariais e profissionais de toda a Europa, nas quais se reúnem regularmente para discutir assuntos de interesse mútuo.</w:t>
      </w:r>
    </w:p>
    <w:p w14:paraId="015F7F39" w14:textId="7CB6E02B" w:rsidR="009B1B8B" w:rsidRPr="009B1B8B" w:rsidRDefault="00FB2631" w:rsidP="009B1B8B">
      <w:r>
        <w:t>Os jovens que viajam para estudar, por turismo ou trabalho também desenvolvem esta relação estreita com cidadãos europeus fora do seu meio comunitário originário e acabam por isso, por desenvolver mais simpatia pelo projecto europeu.</w:t>
      </w:r>
      <w:r w:rsidR="0004609A">
        <w:t xml:space="preserve"> </w:t>
      </w:r>
      <w:r>
        <w:t>Isto porque, se houver uma identidade nacional europeia, ela surgirá de pessoas que se associam umas às outras além das fronteiras nacionais, através das interacções supramencionadas, tendo por isso maior probabilidade de se passar a ver como europeias e a se envolver num projecto nacional europeu</w:t>
      </w:r>
      <w:r w:rsidR="00092C07">
        <w:rPr>
          <w:rStyle w:val="Refdenotaderodap"/>
        </w:rPr>
        <w:footnoteReference w:id="81"/>
      </w:r>
      <w:r>
        <w:t>.</w:t>
      </w:r>
      <w:r w:rsidR="006C767A">
        <w:br w:type="page"/>
      </w:r>
    </w:p>
    <w:p w14:paraId="08F5FB90" w14:textId="31A0FCC1" w:rsidR="006C767A" w:rsidRPr="008A43D5" w:rsidRDefault="006C767A" w:rsidP="004F7847">
      <w:pPr>
        <w:pStyle w:val="Ttulo1"/>
        <w:rPr>
          <w:rFonts w:ascii="Helvetica Neue Light" w:hAnsi="Helvetica Neue Light"/>
        </w:rPr>
      </w:pPr>
      <w:bookmarkStart w:id="27" w:name="_Toc216867144"/>
      <w:bookmarkStart w:id="28" w:name="_Toc221648073"/>
      <w:r w:rsidRPr="008A43D5">
        <w:rPr>
          <w:rFonts w:ascii="Helvetica Neue Light" w:hAnsi="Helvetica Neue Light"/>
        </w:rPr>
        <w:t xml:space="preserve">4. </w:t>
      </w:r>
      <w:bookmarkEnd w:id="27"/>
      <w:r w:rsidRPr="008A43D5">
        <w:rPr>
          <w:rFonts w:ascii="Helvetica Neue Light" w:hAnsi="Helvetica Neue Light"/>
        </w:rPr>
        <w:t>Vantagens da Federalização para os Estados-membros e para a União Europeia:</w:t>
      </w:r>
      <w:r w:rsidR="004F7847" w:rsidRPr="008A43D5">
        <w:rPr>
          <w:rFonts w:ascii="Helvetica Neue Light" w:hAnsi="Helvetica Neue Light"/>
        </w:rPr>
        <w:t xml:space="preserve"> </w:t>
      </w:r>
      <w:r w:rsidRPr="008A43D5">
        <w:rPr>
          <w:rFonts w:ascii="Helvetica Neue Light" w:hAnsi="Helvetica Neue Light"/>
          <w:color w:val="000000"/>
        </w:rPr>
        <w:t>Potencial para maior eficácia política e económica</w:t>
      </w:r>
      <w:bookmarkEnd w:id="28"/>
    </w:p>
    <w:p w14:paraId="4A4C7526" w14:textId="25CDEF8A" w:rsidR="006C767A" w:rsidRPr="006C767A" w:rsidRDefault="006C767A" w:rsidP="006C767A">
      <w:pPr>
        <w:pBdr>
          <w:top w:val="nil"/>
          <w:left w:val="nil"/>
          <w:bottom w:val="nil"/>
          <w:right w:val="nil"/>
          <w:between w:val="nil"/>
        </w:pBdr>
        <w:ind w:right="0"/>
        <w:rPr>
          <w:color w:val="000000"/>
        </w:rPr>
      </w:pPr>
      <w:r w:rsidRPr="006C767A">
        <w:rPr>
          <w:color w:val="000000"/>
        </w:rPr>
        <w:t>As vantagens da federalização assentam primariamente no âmbito de uma maior eficácia política e económica.</w:t>
      </w:r>
    </w:p>
    <w:p w14:paraId="7236FFD4" w14:textId="77777777" w:rsidR="006C767A" w:rsidRDefault="006C767A" w:rsidP="006C767A">
      <w:pPr>
        <w:pBdr>
          <w:top w:val="nil"/>
          <w:left w:val="nil"/>
          <w:bottom w:val="nil"/>
          <w:right w:val="nil"/>
          <w:between w:val="nil"/>
        </w:pBdr>
        <w:ind w:right="0"/>
        <w:rPr>
          <w:color w:val="000000"/>
        </w:rPr>
      </w:pPr>
      <w:r w:rsidRPr="006C767A">
        <w:rPr>
          <w:color w:val="000000"/>
        </w:rPr>
        <w:t xml:space="preserve">No quadro das vantagens políticas, nas palavras de Eugénio Lucas, a divisão ou partilha vertical da soberania traria diversas vantagens entre as quais: </w:t>
      </w:r>
    </w:p>
    <w:p w14:paraId="1972C49F" w14:textId="77777777" w:rsidR="00465D91" w:rsidRPr="006C767A" w:rsidRDefault="00465D91" w:rsidP="006C767A">
      <w:pPr>
        <w:pBdr>
          <w:top w:val="nil"/>
          <w:left w:val="nil"/>
          <w:bottom w:val="nil"/>
          <w:right w:val="nil"/>
          <w:between w:val="nil"/>
        </w:pBdr>
        <w:ind w:right="0"/>
        <w:rPr>
          <w:color w:val="000000"/>
        </w:rPr>
      </w:pPr>
    </w:p>
    <w:p w14:paraId="6AF6D150" w14:textId="0E04D9A7" w:rsidR="006C767A" w:rsidRDefault="006C767A" w:rsidP="00465D91">
      <w:pPr>
        <w:pBdr>
          <w:top w:val="nil"/>
          <w:left w:val="nil"/>
          <w:bottom w:val="nil"/>
          <w:right w:val="nil"/>
          <w:between w:val="nil"/>
        </w:pBdr>
        <w:spacing w:line="240" w:lineRule="auto"/>
        <w:ind w:left="567" w:right="0"/>
        <w:rPr>
          <w:color w:val="000000"/>
          <w:sz w:val="20"/>
          <w:szCs w:val="20"/>
        </w:rPr>
      </w:pPr>
      <w:r w:rsidRPr="00465D91">
        <w:rPr>
          <w:color w:val="000000"/>
          <w:sz w:val="20"/>
          <w:szCs w:val="20"/>
        </w:rPr>
        <w:t>“- Permitir uma diversidade e uma difusão do poder;</w:t>
      </w:r>
      <w:r w:rsidR="00465D91">
        <w:rPr>
          <w:color w:val="000000"/>
          <w:sz w:val="20"/>
          <w:szCs w:val="20"/>
        </w:rPr>
        <w:t xml:space="preserve"> </w:t>
      </w:r>
      <w:r w:rsidRPr="00465D91">
        <w:rPr>
          <w:color w:val="000000"/>
          <w:sz w:val="20"/>
          <w:szCs w:val="20"/>
        </w:rPr>
        <w:t>- O princípio da subsidiariedade, que permite que os problemas sejam tratados a um nível mais próximo da sua origem;</w:t>
      </w:r>
      <w:r w:rsidR="00465D91">
        <w:rPr>
          <w:color w:val="000000"/>
          <w:sz w:val="20"/>
          <w:szCs w:val="20"/>
        </w:rPr>
        <w:t xml:space="preserve"> </w:t>
      </w:r>
      <w:r w:rsidRPr="00465D91">
        <w:rPr>
          <w:color w:val="000000"/>
          <w:sz w:val="20"/>
          <w:szCs w:val="20"/>
        </w:rPr>
        <w:t>- Aumentar as possibilidades de participação do cidadão no processo democrático;</w:t>
      </w:r>
      <w:r w:rsidR="00465D91">
        <w:rPr>
          <w:color w:val="000000"/>
          <w:sz w:val="20"/>
          <w:szCs w:val="20"/>
        </w:rPr>
        <w:t xml:space="preserve"> </w:t>
      </w:r>
      <w:r w:rsidRPr="00465D91">
        <w:rPr>
          <w:color w:val="000000"/>
          <w:sz w:val="20"/>
          <w:szCs w:val="20"/>
        </w:rPr>
        <w:t>- A divisão do poder diminui as possibilidades de violação dos direitos por uma entidade central com muito poder;</w:t>
      </w:r>
      <w:r w:rsidR="00465D91">
        <w:rPr>
          <w:color w:val="000000"/>
          <w:sz w:val="20"/>
          <w:szCs w:val="20"/>
        </w:rPr>
        <w:t xml:space="preserve"> </w:t>
      </w:r>
      <w:r w:rsidRPr="00465D91">
        <w:rPr>
          <w:color w:val="000000"/>
          <w:sz w:val="20"/>
          <w:szCs w:val="20"/>
        </w:rPr>
        <w:t>- A existência de várias soluções foram mesmo problema o que permite aos outros Estados e ao Estado federal escolher a mais indicada para o seu caso;</w:t>
      </w:r>
      <w:r w:rsidR="00465D91">
        <w:rPr>
          <w:color w:val="000000"/>
          <w:sz w:val="20"/>
          <w:szCs w:val="20"/>
        </w:rPr>
        <w:t xml:space="preserve"> </w:t>
      </w:r>
      <w:r w:rsidRPr="00465D91">
        <w:rPr>
          <w:color w:val="000000"/>
          <w:sz w:val="20"/>
          <w:szCs w:val="20"/>
        </w:rPr>
        <w:t>- Ser uma forma indicada para grandes Estados ou conjuntos de Estados com grande diversidade cultural populacional;”</w:t>
      </w:r>
    </w:p>
    <w:p w14:paraId="568535B3" w14:textId="77777777" w:rsidR="00465D91" w:rsidRPr="00465D91" w:rsidRDefault="00465D91" w:rsidP="00465D91">
      <w:pPr>
        <w:pBdr>
          <w:top w:val="nil"/>
          <w:left w:val="nil"/>
          <w:bottom w:val="nil"/>
          <w:right w:val="nil"/>
          <w:between w:val="nil"/>
        </w:pBdr>
        <w:spacing w:line="240" w:lineRule="auto"/>
        <w:ind w:left="567" w:right="0"/>
        <w:rPr>
          <w:color w:val="000000"/>
          <w:sz w:val="20"/>
          <w:szCs w:val="20"/>
        </w:rPr>
      </w:pPr>
    </w:p>
    <w:p w14:paraId="19C8E300" w14:textId="4BE977C7" w:rsidR="006C767A" w:rsidRPr="006C767A" w:rsidRDefault="006C767A" w:rsidP="006C767A">
      <w:pPr>
        <w:pBdr>
          <w:top w:val="nil"/>
          <w:left w:val="nil"/>
          <w:bottom w:val="nil"/>
          <w:right w:val="nil"/>
          <w:between w:val="nil"/>
        </w:pBdr>
        <w:ind w:right="0"/>
        <w:rPr>
          <w:color w:val="000000"/>
        </w:rPr>
      </w:pPr>
      <w:r w:rsidRPr="006C767A">
        <w:rPr>
          <w:color w:val="000000"/>
        </w:rPr>
        <w:t>Além disto, as próprias instituições representativas tem maior chance de permitir combinar a unidade com a diversidade, ao unir Estados com modelos constitucionais e políticos diferentes no espírito de tolerância e compromisso e na procura de um federalismo que melhor se adapte à realidade concreta</w:t>
      </w:r>
      <w:r w:rsidR="00002753">
        <w:rPr>
          <w:rStyle w:val="Refdenotaderodap"/>
          <w:color w:val="000000"/>
        </w:rPr>
        <w:footnoteReference w:id="82"/>
      </w:r>
      <w:r w:rsidRPr="006C767A">
        <w:rPr>
          <w:color w:val="000000"/>
        </w:rPr>
        <w:t xml:space="preserve">. </w:t>
      </w:r>
    </w:p>
    <w:p w14:paraId="4AB93112" w14:textId="77777777" w:rsidR="006C767A" w:rsidRPr="006C767A" w:rsidRDefault="006C767A" w:rsidP="006C767A">
      <w:pPr>
        <w:pBdr>
          <w:top w:val="nil"/>
          <w:left w:val="nil"/>
          <w:bottom w:val="nil"/>
          <w:right w:val="nil"/>
          <w:between w:val="nil"/>
        </w:pBdr>
        <w:ind w:right="0"/>
        <w:rPr>
          <w:color w:val="000000"/>
        </w:rPr>
      </w:pPr>
      <w:r w:rsidRPr="006C767A">
        <w:rPr>
          <w:color w:val="000000"/>
        </w:rPr>
        <w:t>Ainda no quadro das vantagens políticas, vale salientar a posição de Paulo Rangel sobre esta questão.</w:t>
      </w:r>
    </w:p>
    <w:p w14:paraId="3D9C509D" w14:textId="7F1B9542" w:rsidR="006C767A" w:rsidRPr="006C767A" w:rsidRDefault="006C767A" w:rsidP="006C767A">
      <w:pPr>
        <w:pBdr>
          <w:top w:val="nil"/>
          <w:left w:val="nil"/>
          <w:bottom w:val="nil"/>
          <w:right w:val="nil"/>
          <w:between w:val="nil"/>
        </w:pBdr>
        <w:ind w:right="0"/>
        <w:rPr>
          <w:color w:val="000000"/>
        </w:rPr>
      </w:pPr>
      <w:r w:rsidRPr="006C767A">
        <w:rPr>
          <w:color w:val="000000"/>
        </w:rPr>
        <w:t xml:space="preserve">Segundo Paulo </w:t>
      </w:r>
      <w:r w:rsidR="008A43D5">
        <w:rPr>
          <w:color w:val="000000"/>
        </w:rPr>
        <w:t>R</w:t>
      </w:r>
      <w:r w:rsidRPr="006C767A">
        <w:rPr>
          <w:color w:val="000000"/>
        </w:rPr>
        <w:t xml:space="preserve">angel, a multiplicidade de interesses dos Estados torna cada vez mais impraticável uma resposta organizatória de tipo </w:t>
      </w:r>
      <w:r w:rsidRPr="00465D91">
        <w:rPr>
          <w:color w:val="000000"/>
        </w:rPr>
        <w:t>“intergovernamental”</w:t>
      </w:r>
      <w:r w:rsidRPr="006C767A">
        <w:rPr>
          <w:color w:val="000000"/>
        </w:rPr>
        <w:t xml:space="preserve"> tradicional.</w:t>
      </w:r>
    </w:p>
    <w:p w14:paraId="30CD5F0B" w14:textId="77777777" w:rsidR="006C767A" w:rsidRPr="006C767A" w:rsidRDefault="006C767A" w:rsidP="006C767A">
      <w:pPr>
        <w:pBdr>
          <w:top w:val="nil"/>
          <w:left w:val="nil"/>
          <w:bottom w:val="nil"/>
          <w:right w:val="nil"/>
          <w:between w:val="nil"/>
        </w:pBdr>
        <w:ind w:right="0"/>
        <w:rPr>
          <w:i/>
          <w:iCs/>
          <w:color w:val="000000"/>
        </w:rPr>
      </w:pPr>
      <w:r w:rsidRPr="006C767A">
        <w:rPr>
          <w:color w:val="000000"/>
        </w:rPr>
        <w:t>Imprático ou não, a realidade é que, nas palavras deste autor,</w:t>
      </w:r>
      <w:r w:rsidRPr="00465D91">
        <w:rPr>
          <w:color w:val="000000"/>
        </w:rPr>
        <w:t xml:space="preserve"> “os esquemas federais defendem mais o estado federado das ingerências e intromissões abusivas do centro. Numa palavra, numa estrutura federal, os Estados mais débeis são mais iguais aos Estados mais robustos.”</w:t>
      </w:r>
    </w:p>
    <w:p w14:paraId="51C3F1D3" w14:textId="77777777" w:rsidR="006C767A" w:rsidRPr="006C767A" w:rsidRDefault="006C767A" w:rsidP="006C767A">
      <w:pPr>
        <w:pBdr>
          <w:top w:val="nil"/>
          <w:left w:val="nil"/>
          <w:bottom w:val="nil"/>
          <w:right w:val="nil"/>
          <w:between w:val="nil"/>
        </w:pBdr>
        <w:ind w:right="0"/>
        <w:rPr>
          <w:color w:val="000000"/>
        </w:rPr>
      </w:pPr>
      <w:r w:rsidRPr="006C767A">
        <w:rPr>
          <w:color w:val="000000"/>
        </w:rPr>
        <w:t>Entende ainda que o federalismo europeu é uma via necessária para a democracia na União.</w:t>
      </w:r>
    </w:p>
    <w:p w14:paraId="65211AC5" w14:textId="77777777" w:rsidR="006C767A" w:rsidRPr="006C767A" w:rsidRDefault="006C767A" w:rsidP="006C767A">
      <w:pPr>
        <w:pBdr>
          <w:top w:val="nil"/>
          <w:left w:val="nil"/>
          <w:bottom w:val="nil"/>
          <w:right w:val="nil"/>
          <w:between w:val="nil"/>
        </w:pBdr>
        <w:ind w:right="0"/>
        <w:rPr>
          <w:color w:val="000000"/>
        </w:rPr>
      </w:pPr>
      <w:r w:rsidRPr="006C767A">
        <w:rPr>
          <w:color w:val="000000"/>
        </w:rPr>
        <w:t xml:space="preserve">Isto porque, apesar da UE garantir e preservar valores democráticos como o pluralismo, liberdade de circulação, concorrência, igualdade de tratamento, não discriminação, entre outros, e até dispor de meios administrativos e jurisdicionais para assegurar o respeito por tais valores e, em certo sentido, proteger os cidadãos europeus contra a </w:t>
      </w:r>
      <w:r w:rsidRPr="00465D91">
        <w:rPr>
          <w:color w:val="000000"/>
        </w:rPr>
        <w:t>“tirania”</w:t>
      </w:r>
      <w:r w:rsidRPr="006C767A">
        <w:rPr>
          <w:color w:val="000000"/>
        </w:rPr>
        <w:t xml:space="preserve"> dos Estados a que pertencem, é notório um défice no lado processual da democracia. </w:t>
      </w:r>
    </w:p>
    <w:p w14:paraId="420CDFB8" w14:textId="77777777" w:rsidR="006C767A" w:rsidRPr="006C767A" w:rsidRDefault="006C767A" w:rsidP="006C767A">
      <w:pPr>
        <w:pBdr>
          <w:top w:val="nil"/>
          <w:left w:val="nil"/>
          <w:bottom w:val="nil"/>
          <w:right w:val="nil"/>
          <w:between w:val="nil"/>
        </w:pBdr>
        <w:ind w:right="0"/>
        <w:rPr>
          <w:color w:val="000000"/>
        </w:rPr>
      </w:pPr>
      <w:r w:rsidRPr="006C767A">
        <w:rPr>
          <w:color w:val="000000"/>
        </w:rPr>
        <w:t xml:space="preserve">Ora, a democracia nada mais é do que a recondução da vontade política à vontade do povo e é aqui que o sistema institucional da União mais falha, devido a um desajustamento estrutural entre o território da UE e os </w:t>
      </w:r>
      <w:r w:rsidRPr="00465D91">
        <w:rPr>
          <w:color w:val="000000"/>
        </w:rPr>
        <w:t>“círculos”</w:t>
      </w:r>
      <w:r w:rsidRPr="00193A09">
        <w:rPr>
          <w:i/>
          <w:iCs/>
          <w:color w:val="000000"/>
        </w:rPr>
        <w:t xml:space="preserve"> </w:t>
      </w:r>
      <w:r w:rsidRPr="006C767A">
        <w:rPr>
          <w:color w:val="000000"/>
        </w:rPr>
        <w:t>onde se releva o mecanismo de decisão maioritária.</w:t>
      </w:r>
    </w:p>
    <w:p w14:paraId="02EF5BC2" w14:textId="28AEA7E4" w:rsidR="006C767A" w:rsidRPr="006C767A" w:rsidRDefault="006C767A" w:rsidP="006C767A">
      <w:pPr>
        <w:pBdr>
          <w:top w:val="nil"/>
          <w:left w:val="nil"/>
          <w:bottom w:val="nil"/>
          <w:right w:val="nil"/>
          <w:between w:val="nil"/>
        </w:pBdr>
        <w:ind w:right="0"/>
        <w:rPr>
          <w:color w:val="000000"/>
        </w:rPr>
      </w:pPr>
      <w:r w:rsidRPr="006C767A">
        <w:rPr>
          <w:color w:val="000000"/>
        </w:rPr>
        <w:t xml:space="preserve">Ou seja, torna-se necessário, de forma a assegurar a relevância da decisão maioritária dos cidadãos europeus, criar-se um </w:t>
      </w:r>
      <w:r w:rsidRPr="00465D91">
        <w:rPr>
          <w:color w:val="000000"/>
        </w:rPr>
        <w:t>“espaço europeu”</w:t>
      </w:r>
      <w:r w:rsidRPr="006C767A">
        <w:rPr>
          <w:color w:val="000000"/>
        </w:rPr>
        <w:t xml:space="preserve"> onde tal possa ser assegurado, com um nível de decisão que seria independente dos Estados-</w:t>
      </w:r>
      <w:r w:rsidR="002A3C6D">
        <w:rPr>
          <w:color w:val="000000"/>
        </w:rPr>
        <w:t>M</w:t>
      </w:r>
      <w:r w:rsidRPr="006C767A">
        <w:rPr>
          <w:color w:val="000000"/>
        </w:rPr>
        <w:t>embros, embora pertença de direito e por direito, aos seus cidadãos.</w:t>
      </w:r>
    </w:p>
    <w:p w14:paraId="339FC0A6" w14:textId="77777777" w:rsidR="006C767A" w:rsidRPr="006C767A" w:rsidRDefault="006C767A" w:rsidP="006C767A">
      <w:pPr>
        <w:pBdr>
          <w:top w:val="nil"/>
          <w:left w:val="nil"/>
          <w:bottom w:val="nil"/>
          <w:right w:val="nil"/>
          <w:between w:val="nil"/>
        </w:pBdr>
        <w:ind w:right="0"/>
        <w:rPr>
          <w:color w:val="000000"/>
        </w:rPr>
      </w:pPr>
      <w:r w:rsidRPr="006C767A">
        <w:rPr>
          <w:color w:val="000000"/>
        </w:rPr>
        <w:t>Este espaço europeu permitiria que a vontade da maioria europeia seria relevada, de forma independente dos mecanismos nacionais (o que inevitavelmente causaria receio aos Estados, que veriam a vontade da maioria europeia asfixiar os seus próprios interesses e possivelmente a maioria do seu próprio território).</w:t>
      </w:r>
    </w:p>
    <w:p w14:paraId="12AE695D" w14:textId="77777777" w:rsidR="006C767A" w:rsidRPr="006C767A" w:rsidRDefault="006C767A" w:rsidP="006C767A">
      <w:pPr>
        <w:pBdr>
          <w:top w:val="nil"/>
          <w:left w:val="nil"/>
          <w:bottom w:val="nil"/>
          <w:right w:val="nil"/>
          <w:between w:val="nil"/>
        </w:pBdr>
        <w:ind w:right="0"/>
        <w:rPr>
          <w:color w:val="000000"/>
        </w:rPr>
      </w:pPr>
      <w:r w:rsidRPr="006C767A">
        <w:rPr>
          <w:color w:val="000000"/>
        </w:rPr>
        <w:t xml:space="preserve">É de realçar que isto não tem a ver com a criação de uma circunscrição eleitoral única à escala europeia, visto que se aproxima de um </w:t>
      </w:r>
      <w:r w:rsidRPr="00465D91">
        <w:rPr>
          <w:color w:val="000000"/>
        </w:rPr>
        <w:t>“centralismo”</w:t>
      </w:r>
      <w:r w:rsidRPr="00193A09">
        <w:rPr>
          <w:i/>
          <w:iCs/>
          <w:color w:val="000000"/>
        </w:rPr>
        <w:t xml:space="preserve"> </w:t>
      </w:r>
      <w:r w:rsidRPr="006C767A">
        <w:rPr>
          <w:color w:val="000000"/>
        </w:rPr>
        <w:t>europeu e do paradigma do super-Estado, sendo completamente incompatível com o conceito federal de União de Estados.</w:t>
      </w:r>
    </w:p>
    <w:p w14:paraId="317095B7" w14:textId="4AB36D23" w:rsidR="006C767A" w:rsidRPr="006C767A" w:rsidRDefault="006C767A" w:rsidP="006C767A">
      <w:pPr>
        <w:pBdr>
          <w:top w:val="nil"/>
          <w:left w:val="nil"/>
          <w:bottom w:val="nil"/>
          <w:right w:val="nil"/>
          <w:between w:val="nil"/>
        </w:pBdr>
        <w:ind w:right="0"/>
        <w:rPr>
          <w:color w:val="000000"/>
        </w:rPr>
      </w:pPr>
      <w:r w:rsidRPr="006C767A">
        <w:rPr>
          <w:color w:val="000000"/>
        </w:rPr>
        <w:t xml:space="preserve">O federalismo europeu, de forma a compatibilizar a via democrática e autonomista, apresenta-se como o modelo onde se consagra a verdadeira separação dos poderes entre os Estados e a União, possibilitando uma </w:t>
      </w:r>
      <w:r w:rsidRPr="00465D91">
        <w:rPr>
          <w:color w:val="000000"/>
        </w:rPr>
        <w:t>“democracia europeia</w:t>
      </w:r>
      <w:r w:rsidRPr="00193A09">
        <w:rPr>
          <w:i/>
          <w:iCs/>
          <w:color w:val="000000"/>
        </w:rPr>
        <w:t>”</w:t>
      </w:r>
      <w:r w:rsidRPr="006C767A">
        <w:rPr>
          <w:color w:val="000000"/>
        </w:rPr>
        <w:t xml:space="preserve"> sem correr o risco de uma </w:t>
      </w:r>
      <w:r w:rsidRPr="00465D91">
        <w:rPr>
          <w:color w:val="000000"/>
        </w:rPr>
        <w:t>“ditadura da maioria”</w:t>
      </w:r>
      <w:r w:rsidR="00002753" w:rsidRPr="00465D91">
        <w:rPr>
          <w:rStyle w:val="Refdenotaderodap"/>
          <w:color w:val="000000"/>
        </w:rPr>
        <w:footnoteReference w:id="83"/>
      </w:r>
      <w:r w:rsidRPr="00465D91">
        <w:rPr>
          <w:color w:val="000000"/>
        </w:rPr>
        <w:t>.</w:t>
      </w:r>
    </w:p>
    <w:p w14:paraId="472C5556" w14:textId="77777777" w:rsidR="006C767A" w:rsidRPr="006C767A" w:rsidRDefault="006C767A" w:rsidP="006C767A">
      <w:pPr>
        <w:pBdr>
          <w:top w:val="nil"/>
          <w:left w:val="nil"/>
          <w:bottom w:val="nil"/>
          <w:right w:val="nil"/>
          <w:between w:val="nil"/>
        </w:pBdr>
        <w:ind w:right="0"/>
        <w:rPr>
          <w:color w:val="000000"/>
        </w:rPr>
      </w:pPr>
      <w:r w:rsidRPr="006C767A">
        <w:rPr>
          <w:color w:val="000000"/>
        </w:rPr>
        <w:t>No âmbito das vantagens políticas, temos também de ter em conta a rapidez e representatividade do processo decisório, evitando-se bloqueios por vetos nacionais e interesses contraditórios.</w:t>
      </w:r>
    </w:p>
    <w:p w14:paraId="0AD2A581" w14:textId="5DABE223" w:rsidR="006C767A" w:rsidRPr="006C767A" w:rsidRDefault="006C767A" w:rsidP="006C767A">
      <w:pPr>
        <w:pBdr>
          <w:top w:val="nil"/>
          <w:left w:val="nil"/>
          <w:bottom w:val="nil"/>
          <w:right w:val="nil"/>
          <w:between w:val="nil"/>
        </w:pBdr>
        <w:ind w:right="0"/>
        <w:rPr>
          <w:color w:val="000000"/>
        </w:rPr>
      </w:pPr>
      <w:r w:rsidRPr="006C767A">
        <w:rPr>
          <w:color w:val="000000"/>
        </w:rPr>
        <w:t>Alguns exemplos de vetos nacionais que complicaram a tomada de decisões da UE foram o bloqueio da Hungria e Polónia em 2020, relativo à aprovação do orçamento plurianual da UE e do fundo de recuperação, por discordarem do mecanismo que condicionava o acesso aos fundos ao respeito pelo Estado de direito</w:t>
      </w:r>
      <w:r w:rsidR="001E431D">
        <w:rPr>
          <w:rStyle w:val="Refdenotaderodap"/>
          <w:color w:val="000000"/>
        </w:rPr>
        <w:footnoteReference w:id="84"/>
      </w:r>
      <w:r w:rsidRPr="006C767A">
        <w:rPr>
          <w:color w:val="000000"/>
        </w:rPr>
        <w:t>, o exercido pela Polónia sobre a directiva europeia que propunha um IRC mínimo de 15%, adiando a aplicação da medida em toda a União Europeia</w:t>
      </w:r>
      <w:r w:rsidR="001E431D">
        <w:rPr>
          <w:rStyle w:val="Refdenotaderodap"/>
          <w:color w:val="000000"/>
        </w:rPr>
        <w:footnoteReference w:id="85"/>
      </w:r>
      <w:r w:rsidRPr="006C767A">
        <w:rPr>
          <w:color w:val="000000"/>
        </w:rPr>
        <w:t xml:space="preserve">  e o exercido pela Hungria, que vetou repetidamente a assistência militar da UE à Ucrânia, impedindo a aprovação de fundos e bloqueando o reembolso dos Estados que enviam armas para Kiev</w:t>
      </w:r>
      <w:r w:rsidR="00003C12">
        <w:rPr>
          <w:rStyle w:val="Refdenotaderodap"/>
          <w:color w:val="000000"/>
        </w:rPr>
        <w:footnoteReference w:id="86"/>
      </w:r>
      <w:r w:rsidRPr="006C767A">
        <w:rPr>
          <w:color w:val="000000"/>
        </w:rPr>
        <w:t>.</w:t>
      </w:r>
    </w:p>
    <w:p w14:paraId="4E23F07F" w14:textId="77777777" w:rsidR="006C767A" w:rsidRPr="006C767A" w:rsidRDefault="006C767A" w:rsidP="006C767A">
      <w:pPr>
        <w:pBdr>
          <w:top w:val="nil"/>
          <w:left w:val="nil"/>
          <w:bottom w:val="nil"/>
          <w:right w:val="nil"/>
          <w:between w:val="nil"/>
        </w:pBdr>
        <w:ind w:right="0"/>
        <w:rPr>
          <w:color w:val="000000"/>
        </w:rPr>
      </w:pPr>
      <w:r w:rsidRPr="006C767A">
        <w:rPr>
          <w:color w:val="000000"/>
        </w:rPr>
        <w:t>Independentemente da posição tomada pelos Estados ter sido correcta ou não, a verdade é que atrasos e incómodos para os restantes membros da União ocorreram devido a um poder nacional de veto que não existiria num sistema federal.</w:t>
      </w:r>
    </w:p>
    <w:p w14:paraId="53CE1F89" w14:textId="77777777" w:rsidR="006C767A" w:rsidRPr="006C767A" w:rsidRDefault="006C767A" w:rsidP="006C767A">
      <w:pPr>
        <w:pBdr>
          <w:top w:val="nil"/>
          <w:left w:val="nil"/>
          <w:bottom w:val="nil"/>
          <w:right w:val="nil"/>
          <w:between w:val="nil"/>
        </w:pBdr>
        <w:ind w:right="0"/>
        <w:rPr>
          <w:color w:val="000000"/>
        </w:rPr>
      </w:pPr>
      <w:r w:rsidRPr="006C767A">
        <w:rPr>
          <w:color w:val="000000"/>
        </w:rPr>
        <w:t>O debate e processo democrático que conferiria aos respectivos Estados da federação a possibilidade de contestarem quaisquer medidas com as quais discordassem ainda existira, como acontece nos EUA e na Alemanha, mas não seria possível um único Estado paralisar as acções de toda a União.</w:t>
      </w:r>
    </w:p>
    <w:p w14:paraId="259CBE16" w14:textId="77777777" w:rsidR="006C767A" w:rsidRPr="006C767A" w:rsidRDefault="006C767A" w:rsidP="006C767A">
      <w:pPr>
        <w:pBdr>
          <w:top w:val="nil"/>
          <w:left w:val="nil"/>
          <w:bottom w:val="nil"/>
          <w:right w:val="nil"/>
          <w:between w:val="nil"/>
        </w:pBdr>
        <w:ind w:right="0"/>
        <w:rPr>
          <w:color w:val="000000"/>
        </w:rPr>
      </w:pPr>
      <w:r w:rsidRPr="006C767A">
        <w:rPr>
          <w:color w:val="000000"/>
        </w:rPr>
        <w:t>No âmbito da representatividade, alteraria o método de votação por unanimidade para um voto por maioria qualificada, à semelhança da Câmara dos Representantes dos Estados Unidos.</w:t>
      </w:r>
    </w:p>
    <w:p w14:paraId="09351A60" w14:textId="77777777" w:rsidR="006C767A" w:rsidRPr="006C767A" w:rsidRDefault="006C767A" w:rsidP="006C767A">
      <w:pPr>
        <w:pBdr>
          <w:top w:val="nil"/>
          <w:left w:val="nil"/>
          <w:bottom w:val="nil"/>
          <w:right w:val="nil"/>
          <w:between w:val="nil"/>
        </w:pBdr>
        <w:ind w:right="0"/>
        <w:rPr>
          <w:color w:val="000000"/>
        </w:rPr>
      </w:pPr>
      <w:r w:rsidRPr="006C767A">
        <w:rPr>
          <w:color w:val="000000"/>
        </w:rPr>
        <w:t>O veto conferido aos Estados da União acaba por produzir uma grande e onerosa diversidade de oportunidades no seu uso, que, dependente da questão geopolítica no momento, tenderá mais para o lado dos objectivos internos dos Estados do que para as instituições supranacionais, em claro confronto com a política de lealdade, solidariedade mútua e conduta proactiva relativa à condução do projecto europeu.</w:t>
      </w:r>
    </w:p>
    <w:p w14:paraId="55419A2F" w14:textId="50E42D04" w:rsidR="006C767A" w:rsidRPr="006C767A" w:rsidRDefault="006C767A" w:rsidP="006C767A">
      <w:pPr>
        <w:pBdr>
          <w:top w:val="nil"/>
          <w:left w:val="nil"/>
          <w:bottom w:val="nil"/>
          <w:right w:val="nil"/>
          <w:between w:val="nil"/>
        </w:pBdr>
        <w:ind w:right="0"/>
        <w:rPr>
          <w:color w:val="000000"/>
        </w:rPr>
      </w:pPr>
      <w:r w:rsidRPr="006C767A">
        <w:rPr>
          <w:color w:val="000000"/>
        </w:rPr>
        <w:t>A própria ascensão de grupos radicais nacionalista e populistas de extrema-direita pode ameaçar os interesses da UE, cujos valores e ambições em nada se identificam com estes grupos, muitos de clara posição eurocéptica e que não se absteriam de utilizar ou ameaçar de utilizar este veto nacional para prosseguir os seus próprios interesses.</w:t>
      </w:r>
    </w:p>
    <w:p w14:paraId="50C4D796" w14:textId="5C9FD67B" w:rsidR="006C767A" w:rsidRPr="006C767A" w:rsidRDefault="006C767A" w:rsidP="006C767A">
      <w:pPr>
        <w:pBdr>
          <w:top w:val="nil"/>
          <w:left w:val="nil"/>
          <w:bottom w:val="nil"/>
          <w:right w:val="nil"/>
          <w:between w:val="nil"/>
        </w:pBdr>
        <w:ind w:right="0"/>
        <w:rPr>
          <w:color w:val="000000"/>
        </w:rPr>
      </w:pPr>
      <w:r w:rsidRPr="006C767A">
        <w:rPr>
          <w:color w:val="000000"/>
        </w:rPr>
        <w:t>Inclusive, no domínio da política externa, segurança e defesa, vetos nacionais impediram respostas rápidas e coordenadas, especialmente no que toca a sanções a países como Rússia</w:t>
      </w:r>
      <w:r w:rsidR="00003C12">
        <w:rPr>
          <w:rStyle w:val="Refdenotaderodap"/>
          <w:color w:val="000000"/>
        </w:rPr>
        <w:footnoteReference w:id="87"/>
      </w:r>
      <w:r w:rsidRPr="006C767A">
        <w:rPr>
          <w:color w:val="000000"/>
        </w:rPr>
        <w:t>.</w:t>
      </w:r>
    </w:p>
    <w:p w14:paraId="2A8F7F84" w14:textId="77777777" w:rsidR="006C767A" w:rsidRPr="006C767A" w:rsidRDefault="006C767A" w:rsidP="006C767A">
      <w:pPr>
        <w:pBdr>
          <w:top w:val="nil"/>
          <w:left w:val="nil"/>
          <w:bottom w:val="nil"/>
          <w:right w:val="nil"/>
          <w:between w:val="nil"/>
        </w:pBdr>
        <w:ind w:right="0"/>
        <w:rPr>
          <w:color w:val="000000"/>
        </w:rPr>
      </w:pPr>
      <w:r w:rsidRPr="006C767A">
        <w:rPr>
          <w:color w:val="000000"/>
        </w:rPr>
        <w:t>Também no âmbito da defesa, uma unificação dos Estados europeus teria de resultar obrigatoriamente na criação de um exército europeu.</w:t>
      </w:r>
    </w:p>
    <w:p w14:paraId="5E1BC59D" w14:textId="714A8446" w:rsidR="006C767A" w:rsidRPr="006C767A" w:rsidRDefault="006C767A" w:rsidP="006C767A">
      <w:pPr>
        <w:pBdr>
          <w:top w:val="nil"/>
          <w:left w:val="nil"/>
          <w:bottom w:val="nil"/>
          <w:right w:val="nil"/>
          <w:between w:val="nil"/>
        </w:pBdr>
        <w:ind w:right="0"/>
        <w:rPr>
          <w:color w:val="000000"/>
        </w:rPr>
      </w:pPr>
      <w:r w:rsidRPr="006C767A">
        <w:rPr>
          <w:color w:val="000000"/>
        </w:rPr>
        <w:t>Actualmente, cada Estado-</w:t>
      </w:r>
      <w:r w:rsidR="002A3C6D">
        <w:rPr>
          <w:color w:val="000000"/>
        </w:rPr>
        <w:t>M</w:t>
      </w:r>
      <w:r w:rsidRPr="006C767A">
        <w:rPr>
          <w:color w:val="000000"/>
        </w:rPr>
        <w:t>embro da UE mantém as suas próprias forças armadas e toma as suas próprias decisões no que toca à defesa, sendo que muitos destes são também membros da NATO, a principal aliança militar do continente.</w:t>
      </w:r>
    </w:p>
    <w:p w14:paraId="6A790FFE" w14:textId="48E204A0" w:rsidR="006C767A" w:rsidRPr="006C767A" w:rsidRDefault="006C767A" w:rsidP="006C767A">
      <w:pPr>
        <w:pBdr>
          <w:top w:val="nil"/>
          <w:left w:val="nil"/>
          <w:bottom w:val="nil"/>
          <w:right w:val="nil"/>
          <w:between w:val="nil"/>
        </w:pBdr>
        <w:ind w:right="0"/>
        <w:rPr>
          <w:color w:val="000000"/>
        </w:rPr>
      </w:pPr>
      <w:r w:rsidRPr="006C767A">
        <w:rPr>
          <w:color w:val="000000"/>
        </w:rPr>
        <w:t>Tensões geopolíticas recentes motivaram uma maior cooperação militar entre os Estados, com aumentos dos gastos no domínio da defesa e a criação do Plano Rearmar a Europa/Prontidão 2030 (</w:t>
      </w:r>
      <w:r w:rsidRPr="00B942DE">
        <w:rPr>
          <w:i/>
          <w:iCs/>
          <w:color w:val="000000"/>
        </w:rPr>
        <w:t>ReArm Europe Plan</w:t>
      </w:r>
      <w:r w:rsidRPr="006C767A">
        <w:rPr>
          <w:color w:val="000000"/>
        </w:rPr>
        <w:t xml:space="preserve">), que visa permitir que os países da UE invistam na melhoria das suas capacidades de defesa, do Instrumento para Reforçar a Indústria Europeia da Defesa através da </w:t>
      </w:r>
      <w:r w:rsidR="00193A09" w:rsidRPr="006C767A">
        <w:rPr>
          <w:color w:val="000000"/>
        </w:rPr>
        <w:t>Acção</w:t>
      </w:r>
      <w:r w:rsidRPr="006C767A">
        <w:rPr>
          <w:color w:val="000000"/>
        </w:rPr>
        <w:t xml:space="preserve"> de Contratação Conjunta, um </w:t>
      </w:r>
      <w:r w:rsidR="00193A09" w:rsidRPr="006C767A">
        <w:rPr>
          <w:color w:val="000000"/>
        </w:rPr>
        <w:t>acto</w:t>
      </w:r>
      <w:r w:rsidRPr="006C767A">
        <w:rPr>
          <w:color w:val="000000"/>
        </w:rPr>
        <w:t xml:space="preserve"> legislativo que visa apoiar os países da UE na aquisição conjunta de produtos de defesa e a proposta de um Programa Europeu da Indústria de Defesa com o objectivo de estimular a indústria de defesa e segurança da UE</w:t>
      </w:r>
      <w:r w:rsidR="00FE042D">
        <w:rPr>
          <w:rStyle w:val="Refdenotaderodap"/>
          <w:color w:val="000000"/>
        </w:rPr>
        <w:footnoteReference w:id="88"/>
      </w:r>
      <w:r w:rsidRPr="006C767A">
        <w:rPr>
          <w:color w:val="000000"/>
        </w:rPr>
        <w:t>.</w:t>
      </w:r>
    </w:p>
    <w:p w14:paraId="41677C0F" w14:textId="77777777" w:rsidR="006C767A" w:rsidRPr="006C767A" w:rsidRDefault="006C767A" w:rsidP="006C767A">
      <w:pPr>
        <w:pBdr>
          <w:top w:val="nil"/>
          <w:left w:val="nil"/>
          <w:bottom w:val="nil"/>
          <w:right w:val="nil"/>
          <w:between w:val="nil"/>
        </w:pBdr>
        <w:ind w:right="0"/>
        <w:rPr>
          <w:color w:val="000000"/>
        </w:rPr>
      </w:pPr>
      <w:r w:rsidRPr="006C767A">
        <w:rPr>
          <w:color w:val="000000"/>
        </w:rPr>
        <w:t>A ideia de um exército europeu tem sido discutida ao longo do tempo, especialmente para aumentar a capacidade de resposta da UE, mas enfrenta desafios devido à soberania nacional e à neutralidade de alguns países (como Áustria, Chipre, Irlanda e Malta).</w:t>
      </w:r>
    </w:p>
    <w:p w14:paraId="3A0F1DCC" w14:textId="06668592" w:rsidR="006C767A" w:rsidRPr="006C767A" w:rsidRDefault="006C767A" w:rsidP="006C767A">
      <w:pPr>
        <w:pBdr>
          <w:top w:val="nil"/>
          <w:left w:val="nil"/>
          <w:bottom w:val="nil"/>
          <w:right w:val="nil"/>
          <w:between w:val="nil"/>
        </w:pBdr>
        <w:ind w:right="0"/>
        <w:rPr>
          <w:color w:val="000000"/>
        </w:rPr>
      </w:pPr>
      <w:r w:rsidRPr="006C767A">
        <w:rPr>
          <w:color w:val="000000"/>
        </w:rPr>
        <w:t xml:space="preserve">Algumas das várias vantagens de um exército europeu, seriam a maior segurança e estabilidade através da </w:t>
      </w:r>
      <w:r w:rsidR="00193A09" w:rsidRPr="006C767A">
        <w:rPr>
          <w:color w:val="000000"/>
        </w:rPr>
        <w:t>acção</w:t>
      </w:r>
      <w:r w:rsidRPr="006C767A">
        <w:rPr>
          <w:color w:val="000000"/>
        </w:rPr>
        <w:t xml:space="preserve"> conjunta e da prevenção de conflitos, a maior capacidade de resposta a crises em todo o continente, e a optimização de recursos através da partilha de equipamentos e do desenvolvimento de capacidades.</w:t>
      </w:r>
    </w:p>
    <w:p w14:paraId="70F6E67C" w14:textId="76BD31D3" w:rsidR="006C767A" w:rsidRPr="006C767A" w:rsidRDefault="006C767A" w:rsidP="006C767A">
      <w:pPr>
        <w:pBdr>
          <w:top w:val="nil"/>
          <w:left w:val="nil"/>
          <w:bottom w:val="nil"/>
          <w:right w:val="nil"/>
          <w:between w:val="nil"/>
        </w:pBdr>
        <w:ind w:right="0"/>
        <w:rPr>
          <w:color w:val="000000"/>
        </w:rPr>
      </w:pPr>
      <w:r w:rsidRPr="006C767A">
        <w:rPr>
          <w:color w:val="000000"/>
        </w:rPr>
        <w:t xml:space="preserve">Ao reduzir-se a necessidade de exércitos nacionais individuais, a União promoveria um ambiente de paz e segurança mútua entre os Estados-Membros, formando uma força conjunta que permitiria uma resposta mais coordenada e eficaz a crises em qualquer parte da Europa, mediante a partilha de capacidades, tecnologia e o investimento em defesa, o que viria a </w:t>
      </w:r>
      <w:r w:rsidR="00193A09" w:rsidRPr="006C767A">
        <w:rPr>
          <w:color w:val="000000"/>
        </w:rPr>
        <w:t>optimizar</w:t>
      </w:r>
      <w:r w:rsidRPr="006C767A">
        <w:rPr>
          <w:color w:val="000000"/>
        </w:rPr>
        <w:t xml:space="preserve"> o uso de recursos financeiros e humanos, evitando duplicações de esforços e custos.</w:t>
      </w:r>
    </w:p>
    <w:p w14:paraId="4AF518E9" w14:textId="77777777" w:rsidR="006C767A" w:rsidRPr="006C767A" w:rsidRDefault="006C767A" w:rsidP="006C767A">
      <w:pPr>
        <w:pBdr>
          <w:top w:val="nil"/>
          <w:left w:val="nil"/>
          <w:bottom w:val="nil"/>
          <w:right w:val="nil"/>
          <w:between w:val="nil"/>
        </w:pBdr>
        <w:ind w:right="0"/>
        <w:rPr>
          <w:color w:val="000000"/>
        </w:rPr>
      </w:pPr>
      <w:r w:rsidRPr="006C767A">
        <w:rPr>
          <w:color w:val="000000"/>
        </w:rPr>
        <w:t>Por fim, a União Europeia, com um exército unificado, teria uma posição mais forte no palco internacional, permitindo-lhe defender melhor os seus interesses e valores de forma autónoma.</w:t>
      </w:r>
    </w:p>
    <w:p w14:paraId="37C971D8" w14:textId="5FA782D3" w:rsidR="006C767A" w:rsidRPr="006C767A" w:rsidRDefault="006C767A" w:rsidP="006C767A">
      <w:pPr>
        <w:pBdr>
          <w:top w:val="nil"/>
          <w:left w:val="nil"/>
          <w:bottom w:val="nil"/>
          <w:right w:val="nil"/>
          <w:between w:val="nil"/>
        </w:pBdr>
        <w:ind w:right="0"/>
        <w:rPr>
          <w:color w:val="000000"/>
        </w:rPr>
      </w:pPr>
      <w:r w:rsidRPr="006C767A">
        <w:rPr>
          <w:color w:val="000000"/>
        </w:rPr>
        <w:t>Além disto, a federalização da União reforçaria a capacidade política dos Estados-</w:t>
      </w:r>
      <w:r w:rsidR="002A3C6D">
        <w:rPr>
          <w:color w:val="000000"/>
        </w:rPr>
        <w:t>M</w:t>
      </w:r>
      <w:r w:rsidRPr="006C767A">
        <w:rPr>
          <w:color w:val="000000"/>
        </w:rPr>
        <w:t xml:space="preserve">embros, especialmente dos mais pequenos, que ganham influência e protecção ao </w:t>
      </w:r>
      <w:r w:rsidR="00193A09" w:rsidRPr="006C767A">
        <w:rPr>
          <w:color w:val="000000"/>
        </w:rPr>
        <w:t>actuar</w:t>
      </w:r>
      <w:r w:rsidRPr="006C767A">
        <w:rPr>
          <w:color w:val="000000"/>
        </w:rPr>
        <w:t xml:space="preserve"> em bloco.</w:t>
      </w:r>
    </w:p>
    <w:p w14:paraId="46214515" w14:textId="77777777" w:rsidR="006C767A" w:rsidRPr="006C767A" w:rsidRDefault="006C767A" w:rsidP="006C767A">
      <w:pPr>
        <w:pBdr>
          <w:top w:val="nil"/>
          <w:left w:val="nil"/>
          <w:bottom w:val="nil"/>
          <w:right w:val="nil"/>
          <w:between w:val="nil"/>
        </w:pBdr>
        <w:ind w:right="0"/>
        <w:rPr>
          <w:color w:val="000000"/>
        </w:rPr>
      </w:pPr>
      <w:r w:rsidRPr="006C767A">
        <w:rPr>
          <w:color w:val="000000"/>
        </w:rPr>
        <w:t>Isto porque temos de ter em conta as condições geopolíticas do mundo actual, cada vez mais caracterizado por grandes potências que dominam a política externa.</w:t>
      </w:r>
    </w:p>
    <w:p w14:paraId="056419C3" w14:textId="77777777" w:rsidR="006C767A" w:rsidRPr="006C767A" w:rsidRDefault="006C767A" w:rsidP="006C767A">
      <w:pPr>
        <w:pBdr>
          <w:top w:val="nil"/>
          <w:left w:val="nil"/>
          <w:bottom w:val="nil"/>
          <w:right w:val="nil"/>
          <w:between w:val="nil"/>
        </w:pBdr>
        <w:ind w:right="0"/>
        <w:rPr>
          <w:color w:val="000000"/>
        </w:rPr>
      </w:pPr>
      <w:r w:rsidRPr="006C767A">
        <w:rPr>
          <w:color w:val="000000"/>
        </w:rPr>
        <w:t>A única forma de Estados sem tanto poder económico, político ou militar (como Portugal, Malta, Luxemburgo, países bálticos) terem uma palavra a dizer frente às grandes potências mundiais como os Estados Unidos, China ou Rússia, seria se estes falassem em conjunto, numa só voz, melhor ainda, em conjunto com potências mundiais como a França e a Alemanha.</w:t>
      </w:r>
    </w:p>
    <w:p w14:paraId="6C3D0D3A" w14:textId="77777777" w:rsidR="006C767A" w:rsidRPr="006C767A" w:rsidRDefault="006C767A" w:rsidP="006C767A">
      <w:pPr>
        <w:pBdr>
          <w:top w:val="nil"/>
          <w:left w:val="nil"/>
          <w:bottom w:val="nil"/>
          <w:right w:val="nil"/>
          <w:between w:val="nil"/>
        </w:pBdr>
        <w:ind w:right="0"/>
        <w:rPr>
          <w:color w:val="000000"/>
        </w:rPr>
      </w:pPr>
      <w:r w:rsidRPr="006C767A">
        <w:rPr>
          <w:color w:val="000000"/>
        </w:rPr>
        <w:t>Um exemplo claro da protecção conferida a estes Estados mais pequenos é o simples facto de que quando um líder de uma potência mundial se reúne com um presidente da Comissão Europeia, este está em representação não só dos Estados com maior poder, mas também dos mais frágeis, garantindo que todo o poder da União esteja atrás dos mesmos, para garantir a sua segurança no panorama internacional.</w:t>
      </w:r>
    </w:p>
    <w:p w14:paraId="7D315D88" w14:textId="7A523F99" w:rsidR="006C767A" w:rsidRPr="006C767A" w:rsidRDefault="006C767A" w:rsidP="006C767A">
      <w:pPr>
        <w:pBdr>
          <w:top w:val="nil"/>
          <w:left w:val="nil"/>
          <w:bottom w:val="nil"/>
          <w:right w:val="nil"/>
          <w:between w:val="nil"/>
        </w:pBdr>
        <w:ind w:right="0"/>
        <w:rPr>
          <w:color w:val="000000"/>
        </w:rPr>
      </w:pPr>
      <w:r w:rsidRPr="006C767A">
        <w:rPr>
          <w:color w:val="000000"/>
        </w:rPr>
        <w:t>Mais imponente seria esta representação, se a União não fosse somente um</w:t>
      </w:r>
      <w:r w:rsidRPr="00465D91">
        <w:rPr>
          <w:color w:val="000000"/>
        </w:rPr>
        <w:t xml:space="preserve"> “clube de Estados”,</w:t>
      </w:r>
      <w:r w:rsidRPr="006C767A">
        <w:rPr>
          <w:color w:val="000000"/>
        </w:rPr>
        <w:t xml:space="preserve"> mas antes uma união sólida e constitucional de Estados que ao contrário do que acontece nos moldes actuais da UE, faria uma frente robusta no plano internacional, independentemente dos governos estatais e das suas próprias políticas, podendo o presidente da Comissão Europeia, finalmente, falar em total e absoluta representação dos Estados-</w:t>
      </w:r>
      <w:r w:rsidR="002C03E5">
        <w:rPr>
          <w:color w:val="000000"/>
        </w:rPr>
        <w:t>M</w:t>
      </w:r>
      <w:r w:rsidRPr="006C767A">
        <w:rPr>
          <w:color w:val="000000"/>
        </w:rPr>
        <w:t xml:space="preserve">embros.   </w:t>
      </w:r>
    </w:p>
    <w:p w14:paraId="69DE2729" w14:textId="566E680A" w:rsidR="006C767A" w:rsidRPr="006C767A" w:rsidRDefault="006C767A" w:rsidP="006C767A">
      <w:pPr>
        <w:pBdr>
          <w:top w:val="nil"/>
          <w:left w:val="nil"/>
          <w:bottom w:val="nil"/>
          <w:right w:val="nil"/>
          <w:between w:val="nil"/>
        </w:pBdr>
        <w:ind w:right="0"/>
        <w:rPr>
          <w:color w:val="000000"/>
        </w:rPr>
      </w:pPr>
      <w:r w:rsidRPr="006C767A">
        <w:rPr>
          <w:color w:val="000000"/>
        </w:rPr>
        <w:t xml:space="preserve">No quadro das vantagens económicas, vale a pena salientar que a própria União Europeia provou a força que advém da cooperação entre os Estados, tornando-se uma das maiores economias do mundo, com um PIB ou valor total de todos os bens e serviços produzidos na </w:t>
      </w:r>
      <w:r w:rsidR="007844A3">
        <w:rPr>
          <w:color w:val="000000"/>
        </w:rPr>
        <w:t>UE</w:t>
      </w:r>
      <w:r w:rsidRPr="006C767A">
        <w:rPr>
          <w:color w:val="000000"/>
        </w:rPr>
        <w:t>, a ascender a quase 18 biliões de euros, sendo ainda o maior exportador mundial de bens manufacturados e de serviços, garantindo cerca de 14 % do comércio mundial de mercadorias</w:t>
      </w:r>
      <w:r w:rsidR="00FE042D">
        <w:rPr>
          <w:rStyle w:val="Refdenotaderodap"/>
          <w:color w:val="000000"/>
        </w:rPr>
        <w:footnoteReference w:id="89"/>
      </w:r>
      <w:r w:rsidRPr="006C767A">
        <w:rPr>
          <w:color w:val="000000"/>
        </w:rPr>
        <w:t>.</w:t>
      </w:r>
    </w:p>
    <w:p w14:paraId="0A913A5F" w14:textId="77777777" w:rsidR="006C767A" w:rsidRPr="006C767A" w:rsidRDefault="006C767A" w:rsidP="006C767A">
      <w:pPr>
        <w:pBdr>
          <w:top w:val="nil"/>
          <w:left w:val="nil"/>
          <w:bottom w:val="nil"/>
          <w:right w:val="nil"/>
          <w:between w:val="nil"/>
        </w:pBdr>
        <w:ind w:right="0"/>
        <w:rPr>
          <w:color w:val="000000"/>
        </w:rPr>
      </w:pPr>
      <w:r w:rsidRPr="006C767A">
        <w:rPr>
          <w:color w:val="000000"/>
        </w:rPr>
        <w:t>Um governo económico europeu poderia gerir crises de forma mais eficiente, facilitando políticas de crescimento e emprego que superam a lógica estritamente nacional.</w:t>
      </w:r>
    </w:p>
    <w:p w14:paraId="00790643" w14:textId="77777777" w:rsidR="006C767A" w:rsidRPr="006C767A" w:rsidRDefault="006C767A" w:rsidP="006C767A">
      <w:pPr>
        <w:pBdr>
          <w:top w:val="nil"/>
          <w:left w:val="nil"/>
          <w:bottom w:val="nil"/>
          <w:right w:val="nil"/>
          <w:between w:val="nil"/>
        </w:pBdr>
        <w:ind w:right="0"/>
        <w:rPr>
          <w:color w:val="000000"/>
        </w:rPr>
      </w:pPr>
      <w:r w:rsidRPr="006C767A">
        <w:rPr>
          <w:color w:val="000000"/>
        </w:rPr>
        <w:t>Um exemplo desta maior capacidade de gestão de crises seria a resposta da União Europeia à pandemia do Covid-19.</w:t>
      </w:r>
    </w:p>
    <w:p w14:paraId="3DF1F136" w14:textId="77777777" w:rsidR="006C767A" w:rsidRPr="006C767A" w:rsidRDefault="006C767A" w:rsidP="006C767A">
      <w:pPr>
        <w:pBdr>
          <w:top w:val="nil"/>
          <w:left w:val="nil"/>
          <w:bottom w:val="nil"/>
          <w:right w:val="nil"/>
          <w:between w:val="nil"/>
        </w:pBdr>
        <w:ind w:right="0"/>
        <w:rPr>
          <w:color w:val="000000"/>
        </w:rPr>
      </w:pPr>
      <w:r w:rsidRPr="006C767A">
        <w:rPr>
          <w:color w:val="000000"/>
        </w:rPr>
        <w:t>Face ao perigo cada vez maior da pandemia, em Março de 2020 os líderes da UE reuniram-se para estabelecer prioridades para combater a emergência que assolava a União, procurando assim limitar a propagação do vírus, assegurar o fornecimento de equipamento médico, promover a investigação sobre tratamentos e vacinas, apoiar o emprego, as empresas e a economia.</w:t>
      </w:r>
    </w:p>
    <w:p w14:paraId="05BF794B" w14:textId="77777777" w:rsidR="006C767A" w:rsidRPr="006C767A" w:rsidRDefault="006C767A" w:rsidP="006C767A">
      <w:pPr>
        <w:pBdr>
          <w:top w:val="nil"/>
          <w:left w:val="nil"/>
          <w:bottom w:val="nil"/>
          <w:right w:val="nil"/>
          <w:between w:val="nil"/>
        </w:pBdr>
        <w:ind w:right="0"/>
        <w:rPr>
          <w:color w:val="000000"/>
        </w:rPr>
      </w:pPr>
      <w:r w:rsidRPr="006C767A">
        <w:rPr>
          <w:color w:val="000000"/>
        </w:rPr>
        <w:t>Diversos esforços de coordenação a nível europeu foram realizados, no âmbito do desenvolvimento, produção e disponibilização das vacinas contra a COVID</w:t>
      </w:r>
      <w:r w:rsidRPr="006C767A">
        <w:rPr>
          <w:rFonts w:ascii="Cambria Math" w:hAnsi="Cambria Math" w:cs="Cambria Math"/>
          <w:color w:val="000000"/>
        </w:rPr>
        <w:t>‑</w:t>
      </w:r>
      <w:r w:rsidRPr="006C767A">
        <w:rPr>
          <w:color w:val="000000"/>
        </w:rPr>
        <w:t>19, estabelecimento de estrat</w:t>
      </w:r>
      <w:r w:rsidRPr="006C767A">
        <w:rPr>
          <w:rFonts w:ascii="Arial Nova Light" w:hAnsi="Arial Nova Light" w:cs="Arial Nova Light"/>
          <w:color w:val="000000"/>
        </w:rPr>
        <w:t>é</w:t>
      </w:r>
      <w:r w:rsidRPr="006C767A">
        <w:rPr>
          <w:color w:val="000000"/>
        </w:rPr>
        <w:t>gias de despistagem e reconhecimento m</w:t>
      </w:r>
      <w:r w:rsidRPr="006C767A">
        <w:rPr>
          <w:rFonts w:ascii="Arial Nova Light" w:hAnsi="Arial Nova Light" w:cs="Arial Nova Light"/>
          <w:color w:val="000000"/>
        </w:rPr>
        <w:t>ú</w:t>
      </w:r>
      <w:r w:rsidRPr="006C767A">
        <w:rPr>
          <w:color w:val="000000"/>
        </w:rPr>
        <w:t>tuo dos testes, rastreio dos contactos transfronteiras, regulamenta</w:t>
      </w:r>
      <w:r w:rsidRPr="006C767A">
        <w:rPr>
          <w:rFonts w:ascii="Arial Nova Light" w:hAnsi="Arial Nova Light" w:cs="Arial Nova Light"/>
          <w:color w:val="000000"/>
        </w:rPr>
        <w:t>çõ</w:t>
      </w:r>
      <w:r w:rsidRPr="006C767A">
        <w:rPr>
          <w:color w:val="000000"/>
        </w:rPr>
        <w:t>es da quarentena e certificados digitais interoper</w:t>
      </w:r>
      <w:r w:rsidRPr="006C767A">
        <w:rPr>
          <w:rFonts w:ascii="Arial Nova Light" w:hAnsi="Arial Nova Light" w:cs="Arial Nova Light"/>
          <w:color w:val="000000"/>
        </w:rPr>
        <w:t>á</w:t>
      </w:r>
      <w:r w:rsidRPr="006C767A">
        <w:rPr>
          <w:color w:val="000000"/>
        </w:rPr>
        <w:t>veis de vacina</w:t>
      </w:r>
      <w:r w:rsidRPr="006C767A">
        <w:rPr>
          <w:rFonts w:ascii="Arial Nova Light" w:hAnsi="Arial Nova Light" w:cs="Arial Nova Light"/>
          <w:color w:val="000000"/>
        </w:rPr>
        <w:t>çã</w:t>
      </w:r>
      <w:r w:rsidRPr="006C767A">
        <w:rPr>
          <w:color w:val="000000"/>
        </w:rPr>
        <w:t>o.</w:t>
      </w:r>
    </w:p>
    <w:p w14:paraId="1D9CD491" w14:textId="3CB4153A" w:rsidR="006C767A" w:rsidRPr="006C767A" w:rsidRDefault="006C767A" w:rsidP="006C767A">
      <w:pPr>
        <w:pBdr>
          <w:top w:val="nil"/>
          <w:left w:val="nil"/>
          <w:bottom w:val="nil"/>
          <w:right w:val="nil"/>
          <w:between w:val="nil"/>
        </w:pBdr>
        <w:ind w:right="0"/>
        <w:rPr>
          <w:color w:val="000000"/>
        </w:rPr>
      </w:pPr>
      <w:r w:rsidRPr="006C767A">
        <w:rPr>
          <w:color w:val="000000"/>
        </w:rPr>
        <w:t>Por fim, diversas campanhas de vacinação contra a COVID-19 foram realizadas, os países da UE coordenaram-se para facilitar a livre circulação durante a pandemia, foi emitido um certificado digital europeu comum relativo à COVID e foi elaborado um plano de recuperação para a Europa</w:t>
      </w:r>
      <w:r w:rsidR="0047551A">
        <w:rPr>
          <w:rStyle w:val="Refdenotaderodap"/>
          <w:color w:val="000000"/>
        </w:rPr>
        <w:footnoteReference w:id="90"/>
      </w:r>
      <w:r w:rsidRPr="006C767A">
        <w:rPr>
          <w:color w:val="000000"/>
        </w:rPr>
        <w:t>.</w:t>
      </w:r>
    </w:p>
    <w:p w14:paraId="2493797F" w14:textId="25F872D2" w:rsidR="006C767A" w:rsidRPr="006C767A" w:rsidRDefault="006C767A" w:rsidP="006C767A">
      <w:pPr>
        <w:pBdr>
          <w:top w:val="nil"/>
          <w:left w:val="nil"/>
          <w:bottom w:val="nil"/>
          <w:right w:val="nil"/>
          <w:between w:val="nil"/>
        </w:pBdr>
        <w:ind w:right="0"/>
        <w:rPr>
          <w:color w:val="000000"/>
        </w:rPr>
      </w:pPr>
      <w:r w:rsidRPr="006C767A">
        <w:rPr>
          <w:color w:val="000000"/>
        </w:rPr>
        <w:t>O nível de cooperação entre os Estados-</w:t>
      </w:r>
      <w:r w:rsidR="007844A3">
        <w:rPr>
          <w:color w:val="000000"/>
        </w:rPr>
        <w:t>M</w:t>
      </w:r>
      <w:r w:rsidRPr="006C767A">
        <w:rPr>
          <w:color w:val="000000"/>
        </w:rPr>
        <w:t>embros foi extraordinário e provou ser indispensável ao combate à pandemia, porém, os vários Estados-membros tiveram taxas de sucesso diferentes, em grande parte devido a políticas internas distintas.</w:t>
      </w:r>
    </w:p>
    <w:p w14:paraId="48A8C72A" w14:textId="5355D647" w:rsidR="006C767A" w:rsidRPr="006C767A" w:rsidRDefault="006C767A" w:rsidP="006C767A">
      <w:pPr>
        <w:pBdr>
          <w:top w:val="nil"/>
          <w:left w:val="nil"/>
          <w:bottom w:val="nil"/>
          <w:right w:val="nil"/>
          <w:between w:val="nil"/>
        </w:pBdr>
        <w:ind w:right="0"/>
        <w:rPr>
          <w:color w:val="000000"/>
        </w:rPr>
      </w:pPr>
      <w:r w:rsidRPr="006C767A">
        <w:rPr>
          <w:color w:val="000000"/>
        </w:rPr>
        <w:t>O artigo 168.° do TFUE estabelece que a saúde pública é da competência partilhada da União Europeia e dos seus Estados-Membros, devendo estes proceder à definição e prestação dos respectivos serviços de saúde e cuidados médicos à escala nacional, enquanto a União procura complementar as políticas nacionais através da sua estratégia para a saúde</w:t>
      </w:r>
      <w:r w:rsidR="0047551A">
        <w:rPr>
          <w:rStyle w:val="Refdenotaderodap"/>
          <w:color w:val="000000"/>
        </w:rPr>
        <w:footnoteReference w:id="91"/>
      </w:r>
      <w:r w:rsidRPr="006C767A">
        <w:rPr>
          <w:color w:val="000000"/>
        </w:rPr>
        <w:t>.</w:t>
      </w:r>
    </w:p>
    <w:p w14:paraId="0DED81C9" w14:textId="77777777" w:rsidR="006C767A" w:rsidRPr="006C767A" w:rsidRDefault="006C767A" w:rsidP="006C767A">
      <w:pPr>
        <w:pBdr>
          <w:top w:val="nil"/>
          <w:left w:val="nil"/>
          <w:bottom w:val="nil"/>
          <w:right w:val="nil"/>
          <w:between w:val="nil"/>
        </w:pBdr>
        <w:ind w:right="0"/>
        <w:rPr>
          <w:color w:val="000000"/>
        </w:rPr>
      </w:pPr>
      <w:r w:rsidRPr="006C767A">
        <w:rPr>
          <w:color w:val="000000"/>
        </w:rPr>
        <w:t>Ora, apesar desta atenção dada pela União à área da saúde e dos extensos níveis de cooperação entre os Estados e a UE, no início da pandemia, a resposta dada foi descoordenada e baseada em prioridades nacionais, com variações na velocidade de resposta, confinamentos e campanhas de informação.</w:t>
      </w:r>
    </w:p>
    <w:p w14:paraId="6B98A23B" w14:textId="3EFE1C88" w:rsidR="006C767A" w:rsidRPr="006C767A" w:rsidRDefault="006C767A" w:rsidP="006C767A">
      <w:pPr>
        <w:pBdr>
          <w:top w:val="nil"/>
          <w:left w:val="nil"/>
          <w:bottom w:val="nil"/>
          <w:right w:val="nil"/>
          <w:between w:val="nil"/>
        </w:pBdr>
        <w:ind w:right="0"/>
        <w:rPr>
          <w:color w:val="000000"/>
        </w:rPr>
      </w:pPr>
      <w:r w:rsidRPr="006C767A">
        <w:rPr>
          <w:color w:val="000000"/>
        </w:rPr>
        <w:t xml:space="preserve">Apesar das políticas nacionais promovidas a nível europeu, cada Estado teve a sua própria reacção à pandemia, em conformidade com as suas próprias políticas nacionais, reacção essa reflectida pelas variações na estrutura etária da população, o tempo e a eficácia das estratégias de contenção, a aceitação da vacinação </w:t>
      </w:r>
      <w:r w:rsidR="00A25201">
        <w:rPr>
          <w:color w:val="000000"/>
        </w:rPr>
        <w:t>COVID</w:t>
      </w:r>
      <w:r w:rsidRPr="006C767A">
        <w:rPr>
          <w:color w:val="000000"/>
        </w:rPr>
        <w:t xml:space="preserve">-19 em 2021 e 2022 e as diferenças na capacidade dos sistemas de saúde para tratar os doentes com </w:t>
      </w:r>
      <w:r w:rsidR="00A25201">
        <w:rPr>
          <w:color w:val="000000"/>
        </w:rPr>
        <w:t>COVID</w:t>
      </w:r>
      <w:r w:rsidRPr="006C767A">
        <w:rPr>
          <w:color w:val="000000"/>
        </w:rPr>
        <w:t>-19.</w:t>
      </w:r>
    </w:p>
    <w:p w14:paraId="5994A3B3" w14:textId="77777777" w:rsidR="006C767A" w:rsidRPr="006C767A" w:rsidRDefault="006C767A" w:rsidP="006C767A">
      <w:pPr>
        <w:pBdr>
          <w:top w:val="nil"/>
          <w:left w:val="nil"/>
          <w:bottom w:val="nil"/>
          <w:right w:val="nil"/>
          <w:between w:val="nil"/>
        </w:pBdr>
        <w:ind w:right="0"/>
        <w:rPr>
          <w:color w:val="000000"/>
        </w:rPr>
      </w:pPr>
      <w:r w:rsidRPr="006C767A">
        <w:rPr>
          <w:color w:val="000000"/>
        </w:rPr>
        <w:t>No contexto de um Estado federal europeu, este poderia, dentro daquilo que seriam as suas competências federais, intervir com mais precisão na questão do combate à pandemia dos Estados, especialmente em caso de estado de emergência.</w:t>
      </w:r>
    </w:p>
    <w:p w14:paraId="3658E404" w14:textId="05A40F29" w:rsidR="006C767A" w:rsidRPr="006C767A" w:rsidRDefault="006C767A" w:rsidP="006C767A">
      <w:pPr>
        <w:pBdr>
          <w:top w:val="nil"/>
          <w:left w:val="nil"/>
          <w:bottom w:val="nil"/>
          <w:right w:val="nil"/>
          <w:between w:val="nil"/>
        </w:pBdr>
        <w:ind w:right="0"/>
        <w:rPr>
          <w:color w:val="000000"/>
        </w:rPr>
      </w:pPr>
      <w:r w:rsidRPr="006C767A">
        <w:rPr>
          <w:color w:val="000000"/>
        </w:rPr>
        <w:t>Certos poderes teriam de lhe ser conferidos, ao contrário do que acontece nos EUA, onde a saúde pública é, em grande parte, da responsabilidade da autoridade implementadora dos governos estaduais, especificada nas suas constituições ou reservada aos estados pela 10ª Emenda à Constituição dos EUA, sendo que, dentro daquilo que são os poderes relacionados à saúde pública, concedidos ao governo federal, em situações de emergência de saúde pública, o Centro de Controlo e Prevenção de Doenças (CDC) desempenhou um papel fundamental, fornecendo orientações, recursos e outros tipos de apoio aos departamentos de saúde pública estaduais e locais</w:t>
      </w:r>
      <w:r w:rsidR="0047551A">
        <w:rPr>
          <w:rStyle w:val="Refdenotaderodap"/>
          <w:color w:val="000000"/>
        </w:rPr>
        <w:footnoteReference w:id="92"/>
      </w:r>
      <w:r w:rsidRPr="006C767A">
        <w:rPr>
          <w:color w:val="000000"/>
        </w:rPr>
        <w:t>.</w:t>
      </w:r>
    </w:p>
    <w:p w14:paraId="0B304D11" w14:textId="77777777" w:rsidR="006C767A" w:rsidRPr="006C767A" w:rsidRDefault="006C767A" w:rsidP="006C767A">
      <w:pPr>
        <w:pBdr>
          <w:top w:val="nil"/>
          <w:left w:val="nil"/>
          <w:bottom w:val="nil"/>
          <w:right w:val="nil"/>
          <w:between w:val="nil"/>
        </w:pBdr>
        <w:ind w:right="0"/>
        <w:rPr>
          <w:color w:val="000000"/>
        </w:rPr>
      </w:pPr>
      <w:r w:rsidRPr="006C767A">
        <w:rPr>
          <w:color w:val="000000"/>
        </w:rPr>
        <w:t xml:space="preserve">Porém, questões como políticas e directivas internas desapareceriam ou seriam em grande parte mitigadas pela existência de um governo federal forte e com maiores competências para intervir e actuar em maior comunicação e cooperação com e entre os Estados, algo que actualmente não ocorre com tanta eficácia na União Europeia.  </w:t>
      </w:r>
    </w:p>
    <w:p w14:paraId="57092FF5" w14:textId="3B95C910" w:rsidR="006C767A" w:rsidRPr="006C767A" w:rsidRDefault="006C767A" w:rsidP="006C767A">
      <w:pPr>
        <w:pBdr>
          <w:top w:val="nil"/>
          <w:left w:val="nil"/>
          <w:bottom w:val="nil"/>
          <w:right w:val="nil"/>
          <w:between w:val="nil"/>
        </w:pBdr>
        <w:ind w:right="0"/>
        <w:rPr>
          <w:color w:val="000000"/>
        </w:rPr>
      </w:pPr>
      <w:r w:rsidRPr="006C767A">
        <w:rPr>
          <w:color w:val="000000"/>
        </w:rPr>
        <w:t xml:space="preserve">Outra vantagem económica da federalização europeia seria o aumento da capacidade orçamental e financeira da União, para enfrentar desafios globais, financiar </w:t>
      </w:r>
      <w:r w:rsidR="00193A09" w:rsidRPr="006C767A">
        <w:rPr>
          <w:color w:val="000000"/>
        </w:rPr>
        <w:t>projectos</w:t>
      </w:r>
      <w:r w:rsidRPr="006C767A">
        <w:rPr>
          <w:color w:val="000000"/>
        </w:rPr>
        <w:t xml:space="preserve"> de investimento e aprofundar a integração bancária e fiscal.</w:t>
      </w:r>
    </w:p>
    <w:p w14:paraId="1681BF58" w14:textId="77777777" w:rsidR="006C767A" w:rsidRPr="006C767A" w:rsidRDefault="006C767A" w:rsidP="006C767A">
      <w:pPr>
        <w:pBdr>
          <w:top w:val="nil"/>
          <w:left w:val="nil"/>
          <w:bottom w:val="nil"/>
          <w:right w:val="nil"/>
          <w:between w:val="nil"/>
        </w:pBdr>
        <w:ind w:right="0"/>
        <w:rPr>
          <w:color w:val="000000"/>
        </w:rPr>
      </w:pPr>
      <w:r w:rsidRPr="006C767A">
        <w:rPr>
          <w:color w:val="000000"/>
        </w:rPr>
        <w:t>Para tal, seria estritamente necessária a criação de um governo económico europeu,  para que a União se consiga exprimir numa só voz nas instituições internacionais, como já faz na OMC através do comissário do comércio externo.</w:t>
      </w:r>
    </w:p>
    <w:p w14:paraId="0A9657AE" w14:textId="77777777" w:rsidR="006C767A" w:rsidRPr="006C767A" w:rsidRDefault="006C767A" w:rsidP="006C767A">
      <w:pPr>
        <w:pBdr>
          <w:top w:val="nil"/>
          <w:left w:val="nil"/>
          <w:bottom w:val="nil"/>
          <w:right w:val="nil"/>
          <w:between w:val="nil"/>
        </w:pBdr>
        <w:ind w:right="0"/>
        <w:rPr>
          <w:color w:val="000000"/>
        </w:rPr>
      </w:pPr>
      <w:r w:rsidRPr="006C767A">
        <w:rPr>
          <w:color w:val="000000"/>
        </w:rPr>
        <w:t>Jean-François Jamet, no âmbito de um governo económico europeu, ainda que não estritamente federal, viu um claro defeito neste sistema, que não dota este governo de meios de intervenção orçamental próprios.</w:t>
      </w:r>
    </w:p>
    <w:p w14:paraId="433689A4" w14:textId="77777777" w:rsidR="00465D91" w:rsidRDefault="006C767A" w:rsidP="006C767A">
      <w:pPr>
        <w:pBdr>
          <w:top w:val="nil"/>
          <w:left w:val="nil"/>
          <w:bottom w:val="nil"/>
          <w:right w:val="nil"/>
          <w:between w:val="nil"/>
        </w:pBdr>
        <w:ind w:right="0"/>
        <w:rPr>
          <w:color w:val="000000"/>
        </w:rPr>
      </w:pPr>
      <w:r w:rsidRPr="006C767A">
        <w:rPr>
          <w:color w:val="000000"/>
        </w:rPr>
        <w:t>Para tal, viu  como solução o</w:t>
      </w:r>
      <w:r w:rsidR="00465D91">
        <w:rPr>
          <w:color w:val="000000"/>
        </w:rPr>
        <w:t>:</w:t>
      </w:r>
      <w:r w:rsidRPr="006C767A">
        <w:rPr>
          <w:color w:val="000000"/>
        </w:rPr>
        <w:t xml:space="preserve"> </w:t>
      </w:r>
    </w:p>
    <w:p w14:paraId="6CCF05F2" w14:textId="77777777" w:rsidR="00465D91" w:rsidRDefault="00465D91" w:rsidP="006C767A">
      <w:pPr>
        <w:pBdr>
          <w:top w:val="nil"/>
          <w:left w:val="nil"/>
          <w:bottom w:val="nil"/>
          <w:right w:val="nil"/>
          <w:between w:val="nil"/>
        </w:pBdr>
        <w:ind w:right="0"/>
        <w:rPr>
          <w:color w:val="000000"/>
        </w:rPr>
      </w:pPr>
    </w:p>
    <w:p w14:paraId="44AE7757" w14:textId="680281B2" w:rsidR="006C767A" w:rsidRDefault="00465D91" w:rsidP="00465D91">
      <w:pPr>
        <w:pBdr>
          <w:top w:val="nil"/>
          <w:left w:val="nil"/>
          <w:bottom w:val="nil"/>
          <w:right w:val="nil"/>
          <w:between w:val="nil"/>
        </w:pBdr>
        <w:spacing w:line="240" w:lineRule="auto"/>
        <w:ind w:left="567" w:right="0"/>
        <w:rPr>
          <w:color w:val="000000"/>
          <w:sz w:val="20"/>
          <w:szCs w:val="20"/>
        </w:rPr>
      </w:pPr>
      <w:r w:rsidRPr="00465D91">
        <w:rPr>
          <w:color w:val="000000"/>
          <w:sz w:val="20"/>
          <w:szCs w:val="20"/>
        </w:rPr>
        <w:t>A</w:t>
      </w:r>
      <w:r w:rsidR="006C767A" w:rsidRPr="00465D91">
        <w:rPr>
          <w:color w:val="000000"/>
          <w:sz w:val="20"/>
          <w:szCs w:val="20"/>
        </w:rPr>
        <w:t xml:space="preserve">umento das capacidades orçamentais europeias, que poderia tomar diversas formas: financiamento de </w:t>
      </w:r>
      <w:r w:rsidR="00193A09" w:rsidRPr="00465D91">
        <w:rPr>
          <w:color w:val="000000"/>
          <w:sz w:val="20"/>
          <w:szCs w:val="20"/>
        </w:rPr>
        <w:t>projectos</w:t>
      </w:r>
      <w:r w:rsidR="006C767A" w:rsidRPr="00465D91">
        <w:rPr>
          <w:color w:val="000000"/>
          <w:sz w:val="20"/>
          <w:szCs w:val="20"/>
        </w:rPr>
        <w:t xml:space="preserve"> de investimento através de empréstimos europeus (</w:t>
      </w:r>
      <w:r w:rsidR="006C767A" w:rsidRPr="00B942DE">
        <w:rPr>
          <w:i/>
          <w:iCs/>
          <w:color w:val="000000"/>
          <w:sz w:val="20"/>
          <w:szCs w:val="20"/>
        </w:rPr>
        <w:t>project bonds</w:t>
      </w:r>
      <w:r w:rsidR="006C767A" w:rsidRPr="00465D91">
        <w:rPr>
          <w:color w:val="000000"/>
          <w:sz w:val="20"/>
          <w:szCs w:val="20"/>
        </w:rPr>
        <w:t>), criação de um tesouro europeu e colocação em comum de uma parte da dívida dos Estados-membros (</w:t>
      </w:r>
      <w:r w:rsidR="006C767A" w:rsidRPr="00B942DE">
        <w:rPr>
          <w:i/>
          <w:iCs/>
          <w:color w:val="000000"/>
          <w:sz w:val="20"/>
          <w:szCs w:val="20"/>
        </w:rPr>
        <w:t>eurobonds</w:t>
      </w:r>
      <w:r w:rsidR="006C767A" w:rsidRPr="00465D91">
        <w:rPr>
          <w:color w:val="000000"/>
          <w:sz w:val="20"/>
          <w:szCs w:val="20"/>
        </w:rPr>
        <w:t xml:space="preserve">) – provavelmente com um sistema de </w:t>
      </w:r>
      <w:r w:rsidR="006C767A" w:rsidRPr="00B942DE">
        <w:rPr>
          <w:i/>
          <w:iCs/>
          <w:color w:val="000000"/>
          <w:sz w:val="20"/>
          <w:szCs w:val="20"/>
        </w:rPr>
        <w:t>bonus-malus</w:t>
      </w:r>
      <w:r w:rsidR="006C767A" w:rsidRPr="00465D91">
        <w:rPr>
          <w:color w:val="000000"/>
          <w:sz w:val="20"/>
          <w:szCs w:val="20"/>
        </w:rPr>
        <w:t xml:space="preserve"> para recompensar os Estados mais virtuosos em matéria orçamental –, aumento do orçamento europeu, ou aumento das capacidades de empréstimo do Banco Europeu de Investimentos</w:t>
      </w:r>
      <w:r w:rsidRPr="00465D91">
        <w:rPr>
          <w:color w:val="000000"/>
          <w:sz w:val="20"/>
          <w:szCs w:val="20"/>
        </w:rPr>
        <w:t>.</w:t>
      </w:r>
      <w:r w:rsidR="0047551A" w:rsidRPr="00465D91">
        <w:rPr>
          <w:rStyle w:val="Refdenotaderodap"/>
          <w:color w:val="000000"/>
          <w:sz w:val="20"/>
          <w:szCs w:val="20"/>
        </w:rPr>
        <w:footnoteReference w:id="93"/>
      </w:r>
    </w:p>
    <w:p w14:paraId="490F16E4" w14:textId="77777777" w:rsidR="00465D91" w:rsidRPr="00FA6865" w:rsidRDefault="00465D91" w:rsidP="00465D91">
      <w:pPr>
        <w:pBdr>
          <w:top w:val="nil"/>
          <w:left w:val="nil"/>
          <w:bottom w:val="nil"/>
          <w:right w:val="nil"/>
          <w:between w:val="nil"/>
        </w:pBdr>
        <w:spacing w:line="240" w:lineRule="auto"/>
        <w:ind w:left="567" w:right="0"/>
        <w:rPr>
          <w:color w:val="000000"/>
        </w:rPr>
      </w:pPr>
    </w:p>
    <w:p w14:paraId="7425293B" w14:textId="77777777" w:rsidR="006C767A" w:rsidRPr="006C767A" w:rsidRDefault="006C767A" w:rsidP="006C767A">
      <w:pPr>
        <w:pBdr>
          <w:top w:val="nil"/>
          <w:left w:val="nil"/>
          <w:bottom w:val="nil"/>
          <w:right w:val="nil"/>
          <w:between w:val="nil"/>
        </w:pBdr>
        <w:ind w:right="0"/>
        <w:rPr>
          <w:color w:val="000000"/>
        </w:rPr>
      </w:pPr>
      <w:r w:rsidRPr="006C767A">
        <w:rPr>
          <w:color w:val="000000"/>
        </w:rPr>
        <w:t xml:space="preserve">A federalização europeia criaria também um cenário de maior previsibilidade e estabilidade regulatória e orçamental dos Estados.    </w:t>
      </w:r>
    </w:p>
    <w:p w14:paraId="50ABBA76" w14:textId="77777777" w:rsidR="006C767A" w:rsidRPr="006C767A" w:rsidRDefault="006C767A" w:rsidP="006C767A">
      <w:pPr>
        <w:pBdr>
          <w:top w:val="nil"/>
          <w:left w:val="nil"/>
          <w:bottom w:val="nil"/>
          <w:right w:val="nil"/>
          <w:between w:val="nil"/>
        </w:pBdr>
        <w:ind w:right="0"/>
        <w:rPr>
          <w:color w:val="000000"/>
        </w:rPr>
      </w:pPr>
      <w:r w:rsidRPr="006C767A">
        <w:rPr>
          <w:color w:val="000000"/>
        </w:rPr>
        <w:t>Segundo Afonso e Hauptmeier, e baseando-se num estudo realizado no âmbito da União Europeia, dentro daquilo que é o panorama europeu, as regras orçamentais mais restritivas resultam numa maior solidez das finanças públicas, argumentando que recentemente parece existir uma forte integração dos níveis subnacionais de governo, que são caracterizados por um federalismo orçamental pronunciado.</w:t>
      </w:r>
    </w:p>
    <w:p w14:paraId="671D2EC9" w14:textId="59753041" w:rsidR="006C767A" w:rsidRPr="006C767A" w:rsidRDefault="006C767A" w:rsidP="006C767A">
      <w:pPr>
        <w:pBdr>
          <w:top w:val="nil"/>
          <w:left w:val="nil"/>
          <w:bottom w:val="nil"/>
          <w:right w:val="nil"/>
          <w:between w:val="nil"/>
        </w:pBdr>
        <w:ind w:right="0"/>
        <w:rPr>
          <w:color w:val="000000"/>
        </w:rPr>
      </w:pPr>
      <w:r w:rsidRPr="006C767A">
        <w:rPr>
          <w:color w:val="000000"/>
        </w:rPr>
        <w:t>Ou seja, sem uma coordenação da política orçamental ao nível central, o grau de endividamento do governo poderá aumentar</w:t>
      </w:r>
      <w:r w:rsidR="008E52BB">
        <w:rPr>
          <w:color w:val="000000"/>
        </w:rPr>
        <w:t xml:space="preserve"> </w:t>
      </w:r>
      <w:r w:rsidR="007F57E1">
        <w:rPr>
          <w:rStyle w:val="Refdenotaderodap"/>
          <w:color w:val="000000"/>
        </w:rPr>
        <w:footnoteReference w:id="94"/>
      </w:r>
      <w:r w:rsidRPr="006C767A">
        <w:rPr>
          <w:color w:val="000000"/>
        </w:rPr>
        <w:t>.</w:t>
      </w:r>
    </w:p>
    <w:p w14:paraId="6598C0C4" w14:textId="6FC2A292" w:rsidR="006C767A" w:rsidRPr="006C767A" w:rsidRDefault="006C767A" w:rsidP="006C767A">
      <w:pPr>
        <w:pBdr>
          <w:top w:val="nil"/>
          <w:left w:val="nil"/>
          <w:bottom w:val="nil"/>
          <w:right w:val="nil"/>
          <w:between w:val="nil"/>
        </w:pBdr>
        <w:ind w:right="0"/>
        <w:rPr>
          <w:color w:val="000000"/>
        </w:rPr>
      </w:pPr>
      <w:r w:rsidRPr="006C767A">
        <w:rPr>
          <w:color w:val="000000"/>
        </w:rPr>
        <w:t xml:space="preserve">Outros autores, como Holzinger e Schimmelfennigum, alertam que estes efeitos podem ser superiores numa situação de heterogeneidade entre os </w:t>
      </w:r>
      <w:r w:rsidR="008A43D5">
        <w:rPr>
          <w:color w:val="000000"/>
        </w:rPr>
        <w:t>E</w:t>
      </w:r>
      <w:r w:rsidRPr="006C767A">
        <w:rPr>
          <w:color w:val="000000"/>
        </w:rPr>
        <w:t>stados-</w:t>
      </w:r>
      <w:r w:rsidR="006732EC">
        <w:rPr>
          <w:color w:val="000000"/>
        </w:rPr>
        <w:t>M</w:t>
      </w:r>
      <w:r w:rsidRPr="006C767A">
        <w:rPr>
          <w:color w:val="000000"/>
        </w:rPr>
        <w:t xml:space="preserve">embros da União, ou seja, o aumento da heterogeneidade ameaça criar impasses numa organização baseada no consenso intergovernamental, mais claramente, no caso de negociações de tratados e acordos. </w:t>
      </w:r>
    </w:p>
    <w:p w14:paraId="302800B0" w14:textId="4EA66A72" w:rsidR="006C767A" w:rsidRPr="006C767A" w:rsidRDefault="006C767A" w:rsidP="006C767A">
      <w:pPr>
        <w:pBdr>
          <w:top w:val="nil"/>
          <w:left w:val="nil"/>
          <w:bottom w:val="nil"/>
          <w:right w:val="nil"/>
          <w:between w:val="nil"/>
        </w:pBdr>
        <w:ind w:right="0"/>
        <w:rPr>
          <w:color w:val="000000"/>
        </w:rPr>
      </w:pPr>
      <w:r w:rsidRPr="006C767A">
        <w:rPr>
          <w:color w:val="000000"/>
        </w:rPr>
        <w:t xml:space="preserve">A conclusão a que chegaram é que a centralização toma um papel importante na coordenação dos níveis de tomada de decisão, contribuindo para estabilidade não só </w:t>
      </w:r>
      <w:r w:rsidR="00FD69E2" w:rsidRPr="006C767A">
        <w:rPr>
          <w:color w:val="000000"/>
        </w:rPr>
        <w:t xml:space="preserve">política como </w:t>
      </w:r>
      <w:r w:rsidRPr="006C767A">
        <w:rPr>
          <w:color w:val="000000"/>
        </w:rPr>
        <w:t>económica</w:t>
      </w:r>
      <w:r w:rsidR="007F57E1">
        <w:rPr>
          <w:rStyle w:val="Refdenotaderodap"/>
          <w:color w:val="000000"/>
        </w:rPr>
        <w:footnoteReference w:id="95"/>
      </w:r>
      <w:r w:rsidRPr="006C767A">
        <w:rPr>
          <w:color w:val="000000"/>
        </w:rPr>
        <w:t xml:space="preserve">. </w:t>
      </w:r>
    </w:p>
    <w:p w14:paraId="1E57665C" w14:textId="4F2CA576" w:rsidR="006C767A" w:rsidRPr="006C767A" w:rsidRDefault="006C767A" w:rsidP="006C767A">
      <w:pPr>
        <w:pBdr>
          <w:top w:val="nil"/>
          <w:left w:val="nil"/>
          <w:bottom w:val="nil"/>
          <w:right w:val="nil"/>
          <w:between w:val="nil"/>
        </w:pBdr>
        <w:ind w:right="0"/>
        <w:rPr>
          <w:color w:val="000000"/>
        </w:rPr>
      </w:pPr>
      <w:r w:rsidRPr="006C767A">
        <w:rPr>
          <w:color w:val="000000"/>
        </w:rPr>
        <w:t>Isto porque se a União fornecer uma salvaguarda em caso de crises económicas e orçamentais aos Estados-</w:t>
      </w:r>
      <w:r w:rsidR="006732EC">
        <w:rPr>
          <w:color w:val="000000"/>
        </w:rPr>
        <w:t>M</w:t>
      </w:r>
      <w:r w:rsidRPr="006C767A">
        <w:rPr>
          <w:color w:val="000000"/>
        </w:rPr>
        <w:t>embros, estes podem ser tentados a implementar políticas de maior risco (</w:t>
      </w:r>
      <w:r w:rsidRPr="00B942DE">
        <w:rPr>
          <w:i/>
          <w:iCs/>
          <w:color w:val="000000"/>
        </w:rPr>
        <w:t>free-riding</w:t>
      </w:r>
      <w:r w:rsidRPr="006C767A">
        <w:rPr>
          <w:color w:val="000000"/>
        </w:rPr>
        <w:t>), já que este risco será partilhado por outros membros da união, mesmo que estes pratiquem políticas orçamentais saudáveis</w:t>
      </w:r>
      <w:r w:rsidR="007F57E1">
        <w:rPr>
          <w:rStyle w:val="Refdenotaderodap"/>
          <w:color w:val="000000"/>
        </w:rPr>
        <w:footnoteReference w:id="96"/>
      </w:r>
      <w:r w:rsidRPr="006C767A">
        <w:rPr>
          <w:color w:val="000000"/>
        </w:rPr>
        <w:t xml:space="preserve">. </w:t>
      </w:r>
    </w:p>
    <w:p w14:paraId="6EF22DDA" w14:textId="6A7F358C" w:rsidR="0019302D" w:rsidRDefault="006C767A" w:rsidP="004F7847">
      <w:pPr>
        <w:pBdr>
          <w:top w:val="nil"/>
          <w:left w:val="nil"/>
          <w:bottom w:val="nil"/>
          <w:right w:val="nil"/>
          <w:between w:val="nil"/>
        </w:pBdr>
        <w:ind w:right="0"/>
        <w:rPr>
          <w:color w:val="000000"/>
        </w:rPr>
      </w:pPr>
      <w:r w:rsidRPr="006C767A">
        <w:rPr>
          <w:color w:val="000000"/>
        </w:rPr>
        <w:t>Esta união orçamental teria apenas um problema, que seria a falta de incentivo de contribuidores líquidos (como por exemplo a Alemanha), para participar numa área global deste tipo.</w:t>
      </w:r>
    </w:p>
    <w:p w14:paraId="77A0DD6E" w14:textId="064509FC" w:rsidR="006844BE" w:rsidRDefault="006844BE" w:rsidP="004F7847">
      <w:pPr>
        <w:pBdr>
          <w:top w:val="nil"/>
          <w:left w:val="nil"/>
          <w:bottom w:val="nil"/>
          <w:right w:val="nil"/>
          <w:between w:val="nil"/>
        </w:pBdr>
        <w:ind w:right="0"/>
        <w:rPr>
          <w:color w:val="000000"/>
        </w:rPr>
      </w:pPr>
      <w:r>
        <w:rPr>
          <w:color w:val="000000"/>
        </w:rPr>
        <w:t xml:space="preserve">Por fim, e nas palavras de </w:t>
      </w:r>
      <w:r w:rsidRPr="006844BE">
        <w:rPr>
          <w:color w:val="000000"/>
        </w:rPr>
        <w:t>Mario Draghi</w:t>
      </w:r>
      <w:r>
        <w:rPr>
          <w:color w:val="000000"/>
        </w:rPr>
        <w:t>, “o</w:t>
      </w:r>
      <w:r w:rsidRPr="006844BE">
        <w:rPr>
          <w:color w:val="000000"/>
        </w:rPr>
        <w:t>nde a Europa se federou, [como] no comércio, na concorrência, no mercado único, na política monetária, somos respeitados como uma potência e negociamos como um</w:t>
      </w:r>
      <w:r>
        <w:rPr>
          <w:color w:val="000000"/>
        </w:rPr>
        <w:t>”, salientando que enquanto que a Europa está a tentar acompanhar o ritmo americano e chinês, fazer face à agressão russa na Ucrânia e lidar com um aliado americano que já não respeita os laços históricos entre os EUA e a Europa, que “e</w:t>
      </w:r>
      <w:r w:rsidRPr="006844BE">
        <w:rPr>
          <w:color w:val="000000"/>
        </w:rPr>
        <w:t>ste é um futuro em que a Europa corre o risco de se tornar subordinada, dividida e desindustrializada simultaneamente, e uma Europa que não consegue defender os seus interesses não preservará os seus valores por muito tempo</w:t>
      </w:r>
      <w:r>
        <w:rPr>
          <w:color w:val="000000"/>
        </w:rPr>
        <w:t>”.</w:t>
      </w:r>
    </w:p>
    <w:p w14:paraId="79B260C3" w14:textId="1CD4A9BD" w:rsidR="001A743C" w:rsidRPr="004F7847" w:rsidRDefault="006844BE" w:rsidP="004F7847">
      <w:pPr>
        <w:pBdr>
          <w:top w:val="nil"/>
          <w:left w:val="nil"/>
          <w:bottom w:val="nil"/>
          <w:right w:val="nil"/>
          <w:between w:val="nil"/>
        </w:pBdr>
        <w:ind w:right="0"/>
        <w:rPr>
          <w:color w:val="000000"/>
        </w:rPr>
      </w:pPr>
      <w:r>
        <w:rPr>
          <w:color w:val="000000"/>
        </w:rPr>
        <w:t xml:space="preserve">Assim, entende o antigo </w:t>
      </w:r>
      <w:r w:rsidR="001A743C">
        <w:rPr>
          <w:color w:val="000000"/>
        </w:rPr>
        <w:t>primeiro-ministro</w:t>
      </w:r>
      <w:r>
        <w:rPr>
          <w:color w:val="000000"/>
        </w:rPr>
        <w:t xml:space="preserve"> italiano e presidente do Banco Central Europeu, que somente o abandono do modelo confederado e a adopção de um modelo federado conseguirá conduzir os Estados-Membros da UE, a um estatuto de potência mundial na forma da União Europeia, </w:t>
      </w:r>
      <w:r w:rsidR="001A743C">
        <w:rPr>
          <w:color w:val="000000"/>
        </w:rPr>
        <w:t>alegando que actualmente, “s</w:t>
      </w:r>
      <w:r w:rsidR="001A743C" w:rsidRPr="001A743C">
        <w:rPr>
          <w:color w:val="000000"/>
        </w:rPr>
        <w:t xml:space="preserve">omos tratados como um conjunto </w:t>
      </w:r>
      <w:r w:rsidR="001A743C">
        <w:rPr>
          <w:color w:val="000000"/>
        </w:rPr>
        <w:t>solto</w:t>
      </w:r>
      <w:r w:rsidR="001A743C" w:rsidRPr="001A743C">
        <w:rPr>
          <w:color w:val="000000"/>
        </w:rPr>
        <w:t xml:space="preserve"> de </w:t>
      </w:r>
      <w:r w:rsidR="001A743C">
        <w:rPr>
          <w:color w:val="000000"/>
        </w:rPr>
        <w:t>E</w:t>
      </w:r>
      <w:r w:rsidR="001A743C" w:rsidRPr="001A743C">
        <w:rPr>
          <w:color w:val="000000"/>
        </w:rPr>
        <w:t xml:space="preserve">stados de tamanho médio, a serem divididos e tratados </w:t>
      </w:r>
      <w:r w:rsidR="001A743C">
        <w:rPr>
          <w:color w:val="000000"/>
        </w:rPr>
        <w:t xml:space="preserve">como tal”, sendo que a própria reacção da União às exigências americanas relativamente à Gronelândia mostram que o poder na Europa reside na cooperação e solidariedade dos Estados-Membros </w:t>
      </w:r>
      <w:r w:rsidR="001A743C">
        <w:rPr>
          <w:rStyle w:val="Refdenotaderodap"/>
          <w:color w:val="000000"/>
        </w:rPr>
        <w:footnoteReference w:id="97"/>
      </w:r>
      <w:r w:rsidR="001A743C">
        <w:rPr>
          <w:color w:val="000000"/>
        </w:rPr>
        <w:t>.</w:t>
      </w:r>
    </w:p>
    <w:p w14:paraId="1194870D" w14:textId="77777777" w:rsidR="004F7847" w:rsidRDefault="004F7847">
      <w:pPr>
        <w:spacing w:line="240" w:lineRule="auto"/>
      </w:pPr>
    </w:p>
    <w:p w14:paraId="6F02F9FA" w14:textId="58B3FFC0" w:rsidR="004F7847" w:rsidRPr="008A43D5" w:rsidRDefault="004F7847" w:rsidP="004F7847">
      <w:pPr>
        <w:pStyle w:val="Ttulo1"/>
        <w:rPr>
          <w:rFonts w:ascii="Helvetica Neue Light" w:hAnsi="Helvetica Neue Light"/>
        </w:rPr>
      </w:pPr>
      <w:bookmarkStart w:id="29" w:name="_Toc221648074"/>
      <w:r w:rsidRPr="008A43D5">
        <w:rPr>
          <w:rFonts w:ascii="Helvetica Neue Light" w:hAnsi="Helvetica Neue Light"/>
        </w:rPr>
        <w:t>5. Obstáculos jurídicos, políticos e sociais à federalização</w:t>
      </w:r>
      <w:bookmarkEnd w:id="29"/>
    </w:p>
    <w:p w14:paraId="372A6EBC" w14:textId="77777777" w:rsidR="00B75A50" w:rsidRDefault="004F7847" w:rsidP="004F7847">
      <w:r>
        <w:t xml:space="preserve">A federalização da União Europeia enfrenta obstáculos e riscos jurídicos, políticos e sociais que tornam o processo complexo e disputado. </w:t>
      </w:r>
    </w:p>
    <w:p w14:paraId="6EDB7743" w14:textId="7C98522C" w:rsidR="004F7847" w:rsidRDefault="004F7847" w:rsidP="004F7847">
      <w:r>
        <w:t>Estes desafios decorrem tanto da diversidade interna como dos mecanismos institucionais e culturais de cada Estado-</w:t>
      </w:r>
      <w:r w:rsidR="006732EC">
        <w:t>M</w:t>
      </w:r>
      <w:r>
        <w:t>embro.</w:t>
      </w:r>
    </w:p>
    <w:p w14:paraId="747B3D4C" w14:textId="7DE91717" w:rsidR="004F7847" w:rsidRDefault="004F7847" w:rsidP="004F7847">
      <w:r>
        <w:t>Analisando os diversos obstáculos  à federalização, no âmbito dos obstáculos jurídicos, levanta-se aqui a questão da implementação das competências federais, que inevitavelmente enfrentaria, além de complexidades inerentes a esta questão, resistência quanto à delimitação de poderes entre a União e os Estados-</w:t>
      </w:r>
      <w:r w:rsidR="006732EC">
        <w:t>M</w:t>
      </w:r>
      <w:r>
        <w:t>embros.</w:t>
      </w:r>
    </w:p>
    <w:p w14:paraId="36EB8578" w14:textId="77777777" w:rsidR="004F7847" w:rsidRDefault="004F7847" w:rsidP="004F7847">
      <w:r>
        <w:t>Ora, a União encontra-se dotada de competências balizadas numa norma jurídica específica dos Tratados que habilita a União a agir, não tendo por isso competências genéricas para actuar de forma limitada dentro daquilo que são as matérias cuja responsabilidade lhe foi atribuída.</w:t>
      </w:r>
    </w:p>
    <w:p w14:paraId="046C25FD" w14:textId="48A7D147" w:rsidR="004F7847" w:rsidRDefault="004F7847" w:rsidP="004F7847">
      <w:r>
        <w:t>As diversas e sucessivas revisões dos Tratados europeus resultaram numa clara emergência de um quadro competência</w:t>
      </w:r>
      <w:r w:rsidR="00FB47F3">
        <w:t>l</w:t>
      </w:r>
      <w:r>
        <w:t xml:space="preserve"> federal, que se desdobra actualmente em diversos tipos de competências, regulados por regras muito distintas e que se procurou clarificar na reforma de Lisboa.</w:t>
      </w:r>
    </w:p>
    <w:p w14:paraId="43FA02C6" w14:textId="77777777" w:rsidR="004F7847" w:rsidRDefault="004F7847" w:rsidP="004F7847">
      <w:r>
        <w:t xml:space="preserve">Pelo que não basta uma referência genérica aos diferentes capítulos dos Tratados para se compreender o exacto alcance dos poderes e das competências da União nas diversas áreas em que ela está habilitada a actuar. </w:t>
      </w:r>
    </w:p>
    <w:p w14:paraId="694931AE" w14:textId="691468AF" w:rsidR="004F7847" w:rsidRDefault="004F7847" w:rsidP="004F7847">
      <w:r>
        <w:t xml:space="preserve">Actualmente as diferentes categorias de competências previstas nos Tratados são: </w:t>
      </w:r>
      <w:r w:rsidRPr="00465D91">
        <w:t>exclusivas, partilhadas, de apoio, de coordenação, complementares e uma competência muito específica para implementar uma política externa e de segurança comum</w:t>
      </w:r>
      <w:r w:rsidR="00FB47F3" w:rsidRPr="00465D91">
        <w:rPr>
          <w:rStyle w:val="Refdenotaderodap"/>
        </w:rPr>
        <w:footnoteReference w:id="98"/>
      </w:r>
      <w:r w:rsidRPr="00465D91">
        <w:t>.</w:t>
      </w:r>
    </w:p>
    <w:p w14:paraId="3803D28D" w14:textId="77777777" w:rsidR="004F7847" w:rsidRDefault="004F7847" w:rsidP="004F7847">
      <w:r>
        <w:t>Todas estas competências, materialmente e procedimentalmente diferentes entre si, ilustram a complexidade da relação de poder entre os Estados e os órgãos da União, entre os diferentes órgãos desta e até mesmo da natureza e extensão das competências da União.</w:t>
      </w:r>
    </w:p>
    <w:p w14:paraId="05B14C1C" w14:textId="77777777" w:rsidR="004F7847" w:rsidRDefault="004F7847" w:rsidP="004F7847">
      <w:r>
        <w:t>Por exemplo, as competências dos órgãos da UE não são as mesmas quando estamos a falar de política de pesca e de política externa, de política agrícola e do mercado interno,  da matéria de saúde e de matéria de ambiente, existindo uma clara e relevante variação material entre as diferentes categorias de competências da União.</w:t>
      </w:r>
    </w:p>
    <w:p w14:paraId="7DC17C53" w14:textId="6D6DCF05" w:rsidR="004F7847" w:rsidRDefault="004F7847" w:rsidP="004F7847">
      <w:r>
        <w:t>A própria existência de distintos actores institucionais (seja a Comissão ou os Estados-</w:t>
      </w:r>
      <w:r w:rsidR="001460B9">
        <w:t>M</w:t>
      </w:r>
      <w:r>
        <w:t xml:space="preserve">embros), de diversos procedimentos decisórios e quóruns de decisão (da co-decisão à aprovação pelo Parlamento e das várias fórmulas da maioria à unanimidade), e da adopção de instrumentos jurídicos distintos (de regulamentos a directivas, sejam estas de uniformização ou harmonização, mínima, máxima, facultativa ou obrigatória, de </w:t>
      </w:r>
      <w:r w:rsidRPr="00B942DE">
        <w:rPr>
          <w:i/>
          <w:iCs/>
        </w:rPr>
        <w:t>hard law</w:t>
      </w:r>
      <w:r>
        <w:t xml:space="preserve"> a </w:t>
      </w:r>
      <w:r w:rsidRPr="00B942DE">
        <w:rPr>
          <w:i/>
          <w:iCs/>
        </w:rPr>
        <w:t>soft law</w:t>
      </w:r>
      <w:r>
        <w:t>), que implicam diferentes consequências jurídicas (sejam estas de preempção, harmonização ou coexistência), é prova mais do que suficiente da complexa relação jurídica existente nos quadros da União.</w:t>
      </w:r>
    </w:p>
    <w:p w14:paraId="02CB782A" w14:textId="62825883" w:rsidR="004F7847" w:rsidRDefault="004F7847" w:rsidP="004F7847">
      <w:r>
        <w:t xml:space="preserve">Esta relação jurídica é um produto da própria natureza da União, que não sendo um Estado federal, não deixa de ser também uma instituição supranacional e teve de se adaptar dentro de moldes </w:t>
      </w:r>
      <w:r w:rsidR="00F73E5C">
        <w:t>nunca</w:t>
      </w:r>
      <w:r>
        <w:t xml:space="preserve"> vistos e numa escala </w:t>
      </w:r>
      <w:r w:rsidR="00F73E5C">
        <w:t>nunca</w:t>
      </w:r>
      <w:r>
        <w:t xml:space="preserve"> tentada.</w:t>
      </w:r>
    </w:p>
    <w:p w14:paraId="52CD880C" w14:textId="77777777" w:rsidR="004F7847" w:rsidRDefault="004F7847" w:rsidP="004F7847">
      <w:r>
        <w:t>A delimitação dos poderes além de ser uma questão sofisticada e complexa, sofre de problemas de especificação clara.</w:t>
      </w:r>
    </w:p>
    <w:p w14:paraId="31E91552" w14:textId="77777777" w:rsidR="004F7847" w:rsidRDefault="004F7847" w:rsidP="004F7847">
      <w:r>
        <w:t>Por exemplo, não é evidente a fronteira entre a competência exclusiva da União relativa à união aduaneira e a competência partilhada com os Estados em matéria fiscal ou entre a competência exclusiva em matéria de direito da concorrência e partilhada quanto ao mercado interno.</w:t>
      </w:r>
    </w:p>
    <w:p w14:paraId="55E3B6EA" w14:textId="24AAF385" w:rsidR="004F7847" w:rsidRDefault="004F7847" w:rsidP="004F7847">
      <w:r>
        <w:t>Dois exemplos que na sua génese demonstram a complexidade das competências da UE, previstas e estabelecidas nos Tratados e que revelam além do mais, que não foram transferidas as</w:t>
      </w:r>
      <w:r w:rsidR="00B90601">
        <w:t xml:space="preserve"> </w:t>
      </w:r>
      <w:r>
        <w:t>competências típicas das federações à União, como por exemplo, a competência para cobrar impostos ou a competência para conduzir a política externa, no lugar dos seus Estados-Membros.</w:t>
      </w:r>
    </w:p>
    <w:p w14:paraId="1BED1DD4" w14:textId="77777777" w:rsidR="004F7847" w:rsidRDefault="004F7847" w:rsidP="004F7847">
      <w:r>
        <w:t>Ora, mesmo não se verificando esta atribuição de competências explícitas, não se pode ignorar o reconhecimento pelo TJUE das competências implícitas da União, enquanto actor decisivo no plano internacional, numa estrutura que convoca o exercício de diversas competências e a condução das relações internacionais da União por diferentes instituições.</w:t>
      </w:r>
    </w:p>
    <w:p w14:paraId="729E1A4A" w14:textId="7FB7C453" w:rsidR="004F7847" w:rsidRDefault="004F7847" w:rsidP="004F7847">
      <w:r>
        <w:t>Assim, a repartição de competências entre Estados e União, está longe de ser uma questão de fácil e pacífica resolução, visto que não só o quadro competencial da União que decorre dos Tratados é hoje extraordinariamente complexo, com competências que se encerram em fronteiras incertas</w:t>
      </w:r>
      <w:r w:rsidR="00A052F3">
        <w:rPr>
          <w:rStyle w:val="Refdenotaderodap"/>
        </w:rPr>
        <w:footnoteReference w:id="99"/>
      </w:r>
      <w:r>
        <w:t>.</w:t>
      </w:r>
    </w:p>
    <w:p w14:paraId="366385A4" w14:textId="12ECC99D" w:rsidR="004F7847" w:rsidRDefault="004F7847" w:rsidP="004F7847">
      <w:r>
        <w:t>Nesta perspectiva, a formalização de uma federação europeia iria requerer obrigatoriamente a clarificação destas competências, o que além de só por si ser uma questão de enorme complexidade, iria também forçar os Estados-</w:t>
      </w:r>
      <w:r w:rsidR="006732EC">
        <w:t>M</w:t>
      </w:r>
      <w:r>
        <w:t>embros e os órgãos da União a debater que competências é que seriam cedidas de forma clara e absoluta às instituições europeias e quais é que se manteriam nas mãos dos Estados.</w:t>
      </w:r>
    </w:p>
    <w:p w14:paraId="230AA8B1" w14:textId="77777777" w:rsidR="004F7847" w:rsidRDefault="004F7847" w:rsidP="004F7847">
      <w:r>
        <w:t xml:space="preserve">Não é difícil imaginar que um Estado europeu se manteriam reticentes a abdicar de competências que detiveram durante toda a sua existência. </w:t>
      </w:r>
    </w:p>
    <w:p w14:paraId="6AF6460C" w14:textId="77777777" w:rsidR="004F7847" w:rsidRDefault="004F7847" w:rsidP="004F7847">
      <w:r>
        <w:t>Imaginando que todos os Estados estariam de acordo na criação de um Estado federal, seria elementar que os órgãos centrais da União detivessem o poder de cobrar impostos e de conduzir a política externa em nome dos seus membros.</w:t>
      </w:r>
    </w:p>
    <w:p w14:paraId="04EA1999" w14:textId="022632F8" w:rsidR="004F7847" w:rsidRDefault="004F7847" w:rsidP="004F7847">
      <w:r>
        <w:t>Porém, existem competências e poderes que tanto os Estados-</w:t>
      </w:r>
      <w:r w:rsidR="006732EC">
        <w:t>M</w:t>
      </w:r>
      <w:r>
        <w:t xml:space="preserve">embros como os órgãos da UE tentariam manter ou obter para si (como a segurança, justiça, saúde, política de imigração, tributação, pensões e a educação) e cuja discussão causaria além de atritos, sérios empasses à formalização de uma federação europeia. </w:t>
      </w:r>
    </w:p>
    <w:p w14:paraId="23E4B0F7" w14:textId="77777777" w:rsidR="004F7847" w:rsidRDefault="004F7847" w:rsidP="004F7847">
      <w:r>
        <w:t>Esta atribuição de competências requereria um consenso político complexo, elevado pelo natural risco de bloqueio por parte de governos mais reticentes.</w:t>
      </w:r>
    </w:p>
    <w:p w14:paraId="1765B7EB" w14:textId="77777777" w:rsidR="004F7847" w:rsidRDefault="004F7847" w:rsidP="004F7847">
      <w:r>
        <w:t>Mantêm-se também a problemática de assegurar a legitimidade dos órgãos federais perante constituições nacionais.</w:t>
      </w:r>
    </w:p>
    <w:p w14:paraId="344D7116" w14:textId="77777777" w:rsidR="004F7847" w:rsidRDefault="004F7847" w:rsidP="004F7847">
      <w:r>
        <w:t>Actualmente, o Direito Europeu goza de primazia de aplicação sobre o direito nacional, mas não existe uma relação hierárquica formal com as constituições nacionais, tratando-se antes de uma ordem constitucional plural que procura a gestão de consensos, não a subordinação absoluta.</w:t>
      </w:r>
    </w:p>
    <w:p w14:paraId="19F8341C" w14:textId="5C62E4EE" w:rsidR="004F7847" w:rsidRDefault="004F7847" w:rsidP="004F7847">
      <w:r>
        <w:t xml:space="preserve">Sem nenhuma norma explícita que estabeleça que o direito adoptado pelas instituições da União têm primazia sobre o direito constitucional dos Estados-Membros, os conflitos entre o direito europeu e constituições nacionais permanecem em tensões permanentes, geridas caso a caso pelo </w:t>
      </w:r>
      <w:r w:rsidR="00A25201">
        <w:t>TJUE</w:t>
      </w:r>
      <w:r>
        <w:t xml:space="preserve"> e pelos tribunais constitucionais nacionais.</w:t>
      </w:r>
    </w:p>
    <w:p w14:paraId="61F3C4DA" w14:textId="3864EB27" w:rsidR="004F7847" w:rsidRDefault="004F7847" w:rsidP="004F7847">
      <w:r>
        <w:t xml:space="preserve">Num sistema federal, surgem dúvidas sobre quem é que detém a competência para controlar a conformidade das normas federais europeias à luz das constituições nacionais: os tribunais nacionais ou o </w:t>
      </w:r>
      <w:r w:rsidR="00A25201">
        <w:t>TJUE</w:t>
      </w:r>
      <w:r>
        <w:t>.</w:t>
      </w:r>
    </w:p>
    <w:p w14:paraId="7111CEA2" w14:textId="6EC0FAAC" w:rsidR="001460B9" w:rsidRDefault="004F7847" w:rsidP="004F7847">
      <w:r>
        <w:t xml:space="preserve">Diferentes modelos são possíveis, como </w:t>
      </w:r>
      <w:r w:rsidR="001460B9">
        <w:t>a r</w:t>
      </w:r>
      <w:r>
        <w:t>enúncia total</w:t>
      </w:r>
      <w:r w:rsidR="001460B9">
        <w:t>, na qual</w:t>
      </w:r>
      <w:r>
        <w:t xml:space="preserve"> os Tribunais nacionais delegam o controlo constitucional inteiramente ao TJUE</w:t>
      </w:r>
      <w:r w:rsidR="001460B9">
        <w:t>, a r</w:t>
      </w:r>
      <w:r>
        <w:t>enúncia parcial</w:t>
      </w:r>
      <w:r w:rsidR="001460B9">
        <w:t>, em que</w:t>
      </w:r>
      <w:r>
        <w:t xml:space="preserve"> apenas os Tribunais Constitucionais mantém a possibilidade de efectuar o controle da constitucionalidade da norma </w:t>
      </w:r>
      <w:r w:rsidR="00311CD0">
        <w:t>da União</w:t>
      </w:r>
      <w:r w:rsidR="001460B9">
        <w:t xml:space="preserve"> e o c</w:t>
      </w:r>
      <w:r>
        <w:t>ontrolo total</w:t>
      </w:r>
      <w:r w:rsidR="001460B9">
        <w:t>, no qual</w:t>
      </w:r>
      <w:r>
        <w:t xml:space="preserve"> o conjunto do poder judiciário nacional mantém intacta a sua competência para efectuar o controlo da constitucionalidade da norma primária e secundária. </w:t>
      </w:r>
    </w:p>
    <w:p w14:paraId="1E07E19C" w14:textId="25F5F3D3" w:rsidR="004F7847" w:rsidRDefault="004F7847" w:rsidP="004F7847">
      <w:r>
        <w:t xml:space="preserve">Significa, por exemplo, que uma norma </w:t>
      </w:r>
      <w:r w:rsidR="00311CD0">
        <w:t>de direito da União,</w:t>
      </w:r>
      <w:r>
        <w:t xml:space="preserve"> emanada tanto dos Tratados Constitutivos quanto dos órgãos decisórios conjuntos, poderia ter a sua inconstitucionalidade arguida perante qualquer juízo singular</w:t>
      </w:r>
      <w:r w:rsidR="00A052F3">
        <w:rPr>
          <w:rStyle w:val="Refdenotaderodap"/>
        </w:rPr>
        <w:footnoteReference w:id="100"/>
      </w:r>
      <w:r>
        <w:t>.</w:t>
      </w:r>
    </w:p>
    <w:p w14:paraId="2F66D1AC" w14:textId="77777777" w:rsidR="004F7847" w:rsidRDefault="004F7847" w:rsidP="004F7847">
      <w:r>
        <w:t>A própria legitimidade dos órgãos federais depende criticamente da aceitação da sua autoridade, por parte dos cidadãos e das instituições nacionais, o que exige a criação de mecanismos claros de equilíbrio, fiscalização e salvaguarda dos princípios fundamentais das constituições nacionais.</w:t>
      </w:r>
    </w:p>
    <w:p w14:paraId="16868F93" w14:textId="40F76C51" w:rsidR="004F7847" w:rsidRDefault="004F7847" w:rsidP="004F7847">
      <w:r>
        <w:t xml:space="preserve">Num modelo federal completo, seria por isso, necessário criar uma </w:t>
      </w:r>
      <w:r w:rsidR="00273018">
        <w:t>C</w:t>
      </w:r>
      <w:r>
        <w:t xml:space="preserve">onstituição </w:t>
      </w:r>
      <w:r w:rsidR="001460B9">
        <w:t>e</w:t>
      </w:r>
      <w:r>
        <w:t xml:space="preserve">uropeia que delimitasse inequivocamente as relações entre as constituições nacionais e os órgãos federais, de forma a assegurar tanto a primazia do direito e </w:t>
      </w:r>
      <w:r w:rsidR="00273018">
        <w:t>C</w:t>
      </w:r>
      <w:r>
        <w:t>onstituição europeus, como o respeito pelas constituições dos Estados-</w:t>
      </w:r>
      <w:r w:rsidR="006732EC">
        <w:t>M</w:t>
      </w:r>
      <w:r>
        <w:t>embros, reconhecendo as suas identidades constitucionais nacionais e criando mecanismos de fiscalização recíproca.</w:t>
      </w:r>
    </w:p>
    <w:p w14:paraId="433EB6F2" w14:textId="77777777" w:rsidR="004F7847" w:rsidRDefault="004F7847" w:rsidP="004F7847">
      <w:r>
        <w:t>Sem este quadro constitucional comum e consensual, os órgãos federais europeus continuariam a enfrentar défices de legitimidade e contestação jurídica e política.</w:t>
      </w:r>
    </w:p>
    <w:p w14:paraId="57FD32C3" w14:textId="77777777" w:rsidR="004F7847" w:rsidRDefault="004F7847" w:rsidP="004F7847">
      <w:r>
        <w:t>Por fim, existiriam sérias dificuldades em harmonizar os sistemas legais distintos de todos os Estados da União.</w:t>
      </w:r>
    </w:p>
    <w:p w14:paraId="27913C4E" w14:textId="1160CD9B" w:rsidR="004F7847" w:rsidRDefault="004F7847" w:rsidP="004F7847">
      <w:r>
        <w:t>A União é constituída por 27 Estados-</w:t>
      </w:r>
      <w:r w:rsidR="006732EC">
        <w:t>M</w:t>
      </w:r>
      <w:r>
        <w:t>embros que partilham entre si diversos princípios comuns, como o Estado de direito, direitos fundamentais e economia de mercado, mas os seus sistemas jurídicos diferem em tradições, fontes e estruturas institucionais.</w:t>
      </w:r>
    </w:p>
    <w:p w14:paraId="09C35188" w14:textId="75A14393" w:rsidR="004F7847" w:rsidRDefault="004F7847" w:rsidP="004F7847">
      <w:r>
        <w:t>A União é constituída por Estados-</w:t>
      </w:r>
      <w:r w:rsidR="006732EC">
        <w:t>M</w:t>
      </w:r>
      <w:r>
        <w:t xml:space="preserve">embros que integram ordenamentos jurídicos distintos, sejam eles de matriz romano-germânica, </w:t>
      </w:r>
      <w:r w:rsidRPr="00B942DE">
        <w:rPr>
          <w:i/>
          <w:iCs/>
        </w:rPr>
        <w:t>common law</w:t>
      </w:r>
      <w:r>
        <w:t xml:space="preserve"> e sistemas mistos.</w:t>
      </w:r>
    </w:p>
    <w:p w14:paraId="251B960A" w14:textId="77777777" w:rsidR="004F7847" w:rsidRDefault="004F7847" w:rsidP="004F7847">
      <w:r>
        <w:t xml:space="preserve">Cada ordenamento jurídico nacional acaba inevitavelmente por ser influenciado não só pela </w:t>
      </w:r>
      <w:r w:rsidRPr="001460B9">
        <w:t>“identidade constitucional”</w:t>
      </w:r>
      <w:r>
        <w:t xml:space="preserve"> do Estado, como pela sua história, cultura política e perspectiva face aos direitos fundamentais do cidadão.</w:t>
      </w:r>
    </w:p>
    <w:p w14:paraId="2E57C9FC" w14:textId="545B48D4" w:rsidR="004F7847" w:rsidRDefault="004F7847" w:rsidP="004F7847">
      <w:r>
        <w:t>A harmonização dos sistemas legais dos Estados-</w:t>
      </w:r>
      <w:r w:rsidR="006732EC">
        <w:t>M</w:t>
      </w:r>
      <w:r>
        <w:t>embros, implicaria necessariamente mexer em princípios estruturais dos mesmos, como o papel dos Tribunais Constitucionais, a força dos precedentes, o controlo difuso e concentrado dos Tribunais, etc.</w:t>
      </w:r>
    </w:p>
    <w:p w14:paraId="78ECA5E8" w14:textId="2B487CF4" w:rsidR="004F7847" w:rsidRDefault="004F7847" w:rsidP="004F7847">
      <w:r>
        <w:t>Ora, esta intrusão de modelos uniformizadores nos ordenamentos jurídicos dos Estados-</w:t>
      </w:r>
      <w:r w:rsidR="006732EC">
        <w:t>M</w:t>
      </w:r>
      <w:r>
        <w:t>embros, claramente geraria uma enorme resistência e desconfiança do primado agora mais robusto do direito europeu em áreas sensíveis, como o direito e processo civil e penal, direito da família, organização judiciária, direitos fundamentais, entre outros.</w:t>
      </w:r>
    </w:p>
    <w:p w14:paraId="29A59B8F" w14:textId="5584030E" w:rsidR="004F7847" w:rsidRDefault="004F7847" w:rsidP="004F7847">
      <w:r>
        <w:t xml:space="preserve">Isto seria percepcionado como uma invasão e degradação da soberania nacional dos Estados e inevitavelmente resultaria em Tribunais e parlamentos nacionais terem </w:t>
      </w:r>
      <w:r w:rsidR="001460B9">
        <w:t>de</w:t>
      </w:r>
      <w:r>
        <w:t xml:space="preserve"> </w:t>
      </w:r>
      <w:r w:rsidRPr="006146EE">
        <w:t xml:space="preserve">bater o pé, </w:t>
      </w:r>
      <w:r>
        <w:t>traçar linhas vermelhas e debater sobre o rumo que o ordenamento jurídico europeu tomaria, sem que houvesse uma resposta que satisfizesse a totalidade dos Estados da União.</w:t>
      </w:r>
    </w:p>
    <w:p w14:paraId="514D948A" w14:textId="26977FD6" w:rsidR="004F7847" w:rsidRDefault="004F7847" w:rsidP="004F7847">
      <w:r>
        <w:t xml:space="preserve">O que aconteceria, é que a forte harmonização das normas jurídicas dos Estados, implicaria que estas além de minuciosamente detalhadas, teriam </w:t>
      </w:r>
      <w:r w:rsidR="00B90601">
        <w:t>de</w:t>
      </w:r>
      <w:r>
        <w:t xml:space="preserve"> resultar de compromissos altamente negociados, acabando sempre por prejudicar algum Estado, dificultando a aplicação da lei nesses tribunais nacionais.</w:t>
      </w:r>
    </w:p>
    <w:p w14:paraId="284858F0" w14:textId="77777777" w:rsidR="004F7847" w:rsidRDefault="004F7847" w:rsidP="004F7847">
      <w:r>
        <w:t>Além do mais, alargar a harmonização para áreas do direito civil, penal ou constitucional reforça os críticos que alegam um défice democrático na UE e uma acentuada distância entre o cidadão europeu e a decisão normativa de Bruxelas.</w:t>
      </w:r>
    </w:p>
    <w:p w14:paraId="7A88AAC1" w14:textId="77777777" w:rsidR="004F7847" w:rsidRDefault="004F7847" w:rsidP="004F7847">
      <w:r>
        <w:t>Ora, sem uma percepção clara de representação e controlo democrático sobre o legislador europeu, reformas harmonizadoras profundas, como esta seria, acabariam por alimentar o eurocepticismo e resistência política interna, travando o próprio processo federalizador que se pretenderia consolidar.</w:t>
      </w:r>
    </w:p>
    <w:p w14:paraId="680B9776" w14:textId="77777777" w:rsidR="004F7847" w:rsidRDefault="004F7847" w:rsidP="004F7847">
      <w:r>
        <w:t xml:space="preserve">A criação de um </w:t>
      </w:r>
      <w:r w:rsidRPr="006146EE">
        <w:t xml:space="preserve">“federalismo jurídico” </w:t>
      </w:r>
      <w:r>
        <w:t>europeu teria de passar inevitavelmente por um sistema federal do qual as leis emanadas dos órgãos centrais sejam aplicáveis directamente em todo o território do Estado e no caso de conflito com as leis locais, a primazia da lei federal seria reconhecida face às leis do Estado federado, sendo ainda reconhecido ao direito federal, o beneficio de uma interpretação uniforme e de uma uniforme apreciação de validade em todo o espaço federal, assegurada por um Tribunal supremo habilitado para tal.</w:t>
      </w:r>
    </w:p>
    <w:p w14:paraId="1FBE72B2" w14:textId="6B5C647E" w:rsidR="004F7847" w:rsidRDefault="004F7847" w:rsidP="004F7847">
      <w:r>
        <w:t xml:space="preserve">Este princípio, consagrado pela primeira vez no artigo sexto da Constituição norte-americana, em concordância com a expressão </w:t>
      </w:r>
      <w:r w:rsidRPr="00B942DE">
        <w:rPr>
          <w:i/>
          <w:iCs/>
        </w:rPr>
        <w:t>droit federal passe droit du pays</w:t>
      </w:r>
      <w:r w:rsidRPr="006146EE">
        <w:t>,</w:t>
      </w:r>
      <w:r>
        <w:t xml:space="preserve"> é essencial à real conciliação legal dos Estados-</w:t>
      </w:r>
      <w:r w:rsidR="006732EC">
        <w:t>M</w:t>
      </w:r>
      <w:r>
        <w:t xml:space="preserve">embros, que teriam de reconhecer a primazia da </w:t>
      </w:r>
      <w:r w:rsidR="00273018">
        <w:t>C</w:t>
      </w:r>
      <w:r>
        <w:t>onstituição europeia, das leis federais e dos tratados celebrados enquanto direito supremo do país, ao qual os Estados federados devem obediência</w:t>
      </w:r>
      <w:r w:rsidR="00002753">
        <w:rPr>
          <w:rStyle w:val="Refdenotaderodap"/>
        </w:rPr>
        <w:footnoteReference w:id="101"/>
      </w:r>
      <w:r>
        <w:t xml:space="preserve">. </w:t>
      </w:r>
    </w:p>
    <w:p w14:paraId="6842CE8F" w14:textId="3B5717EF" w:rsidR="004F7847" w:rsidRDefault="004F7847" w:rsidP="004F7847">
      <w:r>
        <w:t xml:space="preserve">Ora, a realidade </w:t>
      </w:r>
      <w:r w:rsidR="00B90601">
        <w:t>actual</w:t>
      </w:r>
      <w:r>
        <w:t xml:space="preserve"> da União é que a prossecução dos objectivos dos tratados europeus exige a aplicação uniforme do direito da UE, enquanto direito comum dos Estados-</w:t>
      </w:r>
      <w:r w:rsidR="006732EC">
        <w:t>M</w:t>
      </w:r>
      <w:r>
        <w:t>embros, que pretendem realizar a sua integração económica dentro da mesma, fazendo alusão a uma clara e gradual importância do direito europeu na vida dos Estados, de tal forma pertinente e diária que roça o federalismo, ainda que lá não tenha, ou nunca venha a chegar.</w:t>
      </w:r>
    </w:p>
    <w:p w14:paraId="65FB311E" w14:textId="77777777" w:rsidR="004F7847" w:rsidRDefault="004F7847" w:rsidP="004F7847">
      <w:r>
        <w:t>A própria posição das jurisdições constitucionais encontra aqui um desafio.</w:t>
      </w:r>
    </w:p>
    <w:p w14:paraId="70983EB0" w14:textId="77777777" w:rsidR="004F7847" w:rsidRDefault="004F7847" w:rsidP="004F7847">
      <w:r>
        <w:t>Como conciliar as instâncias nacionais que se ocupam do controlo da constitucionalidade com o cada vez maior direito europeu, cujas zonas de contacto roçam o conflito com o direito constitucional nacional, especialmente no domínio dos direitos fundamentais?</w:t>
      </w:r>
    </w:p>
    <w:p w14:paraId="78368145" w14:textId="4F8DEB04" w:rsidR="00DA0DA2" w:rsidRDefault="00DA0DA2" w:rsidP="00DA0DA2">
      <w:r>
        <w:t>Ora, vale salientar que não existe um único constitucionalismo, mas sim vários, como o inglês, o americano, o francês, entre outros.</w:t>
      </w:r>
    </w:p>
    <w:p w14:paraId="38901677" w14:textId="021E6039" w:rsidR="00DA0DA2" w:rsidRDefault="00DA0DA2" w:rsidP="00DA0DA2">
      <w:r>
        <w:t>Estes diversos movimentos constitucionais, com corações nacionais mas alguns momentos de aproximação entre si, fornecem uma tessitura histórico-cultural complexa, sendo por isso, mais rigoroso falar em diversos movimentos constitucionais do que vários constitucionalismos, permitindo assumir desde já a existência de uma noção básica de constitucionalismo, enquanto teoria ou ideologia, que ergue o principio do governo limitado indispensável à garantia dos direitos em dimensão estruturante da organização político-social de uma comunidade</w:t>
      </w:r>
      <w:r>
        <w:rPr>
          <w:rStyle w:val="Refdenotaderodap"/>
        </w:rPr>
        <w:footnoteReference w:id="102"/>
      </w:r>
      <w:r>
        <w:t>.</w:t>
      </w:r>
    </w:p>
    <w:p w14:paraId="1BA9CA45" w14:textId="14D6BF7D" w:rsidR="004F7847" w:rsidRDefault="004F7847" w:rsidP="004F7847">
      <w:r>
        <w:t>Na realidade, dentro daquilo que é a União Europeia na sua forma actual, não existe uma resposta clara</w:t>
      </w:r>
      <w:r w:rsidR="00DA0DA2">
        <w:t xml:space="preserve"> à questão supra</w:t>
      </w:r>
      <w:r>
        <w:t>, divergindo entre a primazia tendencial do direito constitucional europeu, do direito constitucional nacional e de fricção tendencialmente paritária entre o direito constitucional nacional e o europeu.</w:t>
      </w:r>
    </w:p>
    <w:p w14:paraId="5BC174EF" w14:textId="0DD23F84" w:rsidR="004F7847" w:rsidRDefault="004F7847" w:rsidP="004F7847">
      <w:r>
        <w:t>Esta questão, se necessita urgentemente de uma resposta com a estrutura da União na sua fase actual, mais urgente seria num processo de federalização europeu, em que a estrutura constitucional da União exigiria uma pacificação e convivência das constituições estatais e federal</w:t>
      </w:r>
      <w:r w:rsidR="00002753">
        <w:rPr>
          <w:rStyle w:val="Refdenotaderodap"/>
        </w:rPr>
        <w:footnoteReference w:id="103"/>
      </w:r>
      <w:r>
        <w:t>.</w:t>
      </w:r>
    </w:p>
    <w:p w14:paraId="27AFD3AF" w14:textId="77777777" w:rsidR="004F7847" w:rsidRDefault="004F7847" w:rsidP="004F7847">
      <w:r>
        <w:t>Se considerarmos a União Europeia num modelo federal, não podemos desconsiderar a doutrina de preempção do direito federal norte-americano como inspiração para o modelo europeu.</w:t>
      </w:r>
    </w:p>
    <w:p w14:paraId="1F58B8C4" w14:textId="77777777" w:rsidR="004F7847" w:rsidRDefault="004F7847" w:rsidP="004F7847">
      <w:r>
        <w:t>A preempção é uma figura originária do direito constitucional norte-americano, que limita os poderes do Congresso (enquanto órgão legislativo) às competências que lhe foram atribuídas pela Constituição.</w:t>
      </w:r>
    </w:p>
    <w:p w14:paraId="29B50907" w14:textId="77777777" w:rsidR="004F7847" w:rsidRDefault="004F7847" w:rsidP="004F7847">
      <w:r>
        <w:t>Porém, tratando-se de um ordenamento jurídico federal caracterizado por uma repartição vertical de competências entre a União e os Estados constituintes, diversas situações surgem onde o nível de actuação dessas competências do Congresso são questionadas.</w:t>
      </w:r>
    </w:p>
    <w:p w14:paraId="21281282" w14:textId="77777777" w:rsidR="004F7847" w:rsidRDefault="004F7847" w:rsidP="004F7847">
      <w:r>
        <w:t>É aqui que a figura da preempção se torna relevante, ao analisar se um acto normativo estadual é admissível na ordem jurídica federal, de forma a entender se a divisão de competências entre as ordens jurídicas federal e estadual permite a preservação da normativa do Estado.</w:t>
      </w:r>
    </w:p>
    <w:p w14:paraId="195ACB36" w14:textId="674273B6" w:rsidR="004F7847" w:rsidRDefault="004F7847" w:rsidP="004F7847">
      <w:r>
        <w:t>Assim, caso um Estado federado legisle alguma norma ou regulamentação cuja matéria e competência pertença ao Congresso, esta é imediatamente afastada pela figura da preempção</w:t>
      </w:r>
      <w:r w:rsidR="00002753">
        <w:rPr>
          <w:rStyle w:val="Refdenotaderodap"/>
        </w:rPr>
        <w:footnoteReference w:id="104"/>
      </w:r>
      <w:r>
        <w:t>.</w:t>
      </w:r>
    </w:p>
    <w:p w14:paraId="3C69E2E7" w14:textId="77777777" w:rsidR="00B9702C" w:rsidRDefault="00B9702C" w:rsidP="00B9702C">
      <w:r>
        <w:t>Outro obstáculo no âmbito jurídico é o da repartição de competências.</w:t>
      </w:r>
    </w:p>
    <w:p w14:paraId="43CAAFA2" w14:textId="5D55B767" w:rsidR="00B9702C" w:rsidRDefault="00B9702C" w:rsidP="00B9702C">
      <w:r>
        <w:t>O maior problema do sistema federativo vai ser sempre o da delimitação das competências, que, segundo a tradição jurídica destes sistemas, acaba por ser resolvido por meio do primado, que põe término a conflitos de sobreposição que resultam de incidências de distintas competências sobre a mesma esfera da realidade.</w:t>
      </w:r>
    </w:p>
    <w:p w14:paraId="51C0B6C3" w14:textId="77777777" w:rsidR="00B9702C" w:rsidRDefault="00B9702C" w:rsidP="00B9702C">
      <w:r>
        <w:t>O grande problema que aqui se coloca, é que a grande maioria dos conflitos de competência nos sistemas federativos resulta da ilegítima invasão das competências de outrem, havendo aqui uma violação do supra-ordenamento constitucional que define as competências de cada nível governativo.</w:t>
      </w:r>
    </w:p>
    <w:p w14:paraId="693039AB" w14:textId="77777777" w:rsidR="00B9702C" w:rsidRDefault="00B9702C" w:rsidP="00B9702C">
      <w:r>
        <w:t>Estas disputas na sua maioria a conflitos de delimitação que são solucionadas através da consignação do objecto discutido a apenas um dos pretendentes.</w:t>
      </w:r>
    </w:p>
    <w:p w14:paraId="340DD1F1" w14:textId="03A9B98E" w:rsidR="00B9702C" w:rsidRDefault="00B9702C" w:rsidP="00B9702C">
      <w:r>
        <w:t>Esta questão não se colocava antes das alterações do Tratado de Lisboa,</w:t>
      </w:r>
      <w:r w:rsidR="006F3A29">
        <w:t xml:space="preserve"> visto que antes os Tratados constitutivos não definiam critérios que presidissem à repartição de competências entre Estados-Membros e a União.</w:t>
      </w:r>
    </w:p>
    <w:p w14:paraId="70DC2C7F" w14:textId="127B6A40" w:rsidR="00B9702C" w:rsidRDefault="00245B86" w:rsidP="00B9702C">
      <w:r>
        <w:t>Actualmente</w:t>
      </w:r>
      <w:r w:rsidR="006F3A29">
        <w:t>, as competências entre a União e os Estados-Membros estão formalmente repartidas, não sendo descabido afirmar-se que demos um passo no sentido de uma maior unidade jurídico-política, com cada vez mais evidentes conflitos de delimitação, habitualmente resolvidos pela tradição jurídica dos sistemas federativos, através da declaração de invalidade de normas produzidas em violação das competências constitucionalmente atribuídas a cada nível governativo</w:t>
      </w:r>
      <w:r w:rsidR="006F3A29">
        <w:rPr>
          <w:rStyle w:val="Refdenotaderodap"/>
        </w:rPr>
        <w:footnoteReference w:id="105"/>
      </w:r>
      <w:r w:rsidR="006F3A29">
        <w:t>.</w:t>
      </w:r>
    </w:p>
    <w:p w14:paraId="4B32A31E" w14:textId="77777777" w:rsidR="004F7847" w:rsidRDefault="004F7847" w:rsidP="004F7847">
      <w:r>
        <w:t>No âmbito dos obstáculos políticos, é de realçar o inevitável conflito dos interesses nacionais com os interesses comuns europeus.</w:t>
      </w:r>
    </w:p>
    <w:p w14:paraId="70A8A131" w14:textId="77777777" w:rsidR="004F7847" w:rsidRDefault="004F7847" w:rsidP="004F7847">
      <w:r>
        <w:t>As instituições da União, dotadas da responsabilidade de procurar o bem comum dos cidadãos europeus encontram-se em constante conflito com interesses nacionais que emergem dos governos e parlamentos responsáveis perante os seus eleitores nativos.</w:t>
      </w:r>
    </w:p>
    <w:p w14:paraId="103CD934" w14:textId="77777777" w:rsidR="004F7847" w:rsidRDefault="004F7847" w:rsidP="004F7847">
      <w:r>
        <w:t>O processo de federalização europeu deve ter em conta os interesses de todos os cidadãos da União, mas para tal, é necessário que os órgãos de poder nacionais tenham essa consideração, o que não se pode simplesmente esperar que aconteça.</w:t>
      </w:r>
    </w:p>
    <w:p w14:paraId="096551DF" w14:textId="7A05E623" w:rsidR="004F7847" w:rsidRDefault="004F7847" w:rsidP="004F7847">
      <w:r>
        <w:t xml:space="preserve">Estes não respondem perante o eleitorado ou </w:t>
      </w:r>
      <w:r w:rsidR="00B90601">
        <w:t>objectivos</w:t>
      </w:r>
      <w:r>
        <w:t xml:space="preserve"> europeus, mas sim os do seu próprio Estado, levando-os a tomar decisões que acima de tudo protejam os interesses daqueles que </w:t>
      </w:r>
      <w:r w:rsidR="00B90601">
        <w:t>efectivamente</w:t>
      </w:r>
      <w:r>
        <w:t xml:space="preserve"> representam.</w:t>
      </w:r>
    </w:p>
    <w:p w14:paraId="0F029169" w14:textId="77777777" w:rsidR="004F7847" w:rsidRDefault="004F7847" w:rsidP="004F7847">
      <w:r>
        <w:t>Uma solução poderia ser a de proporcionar aos representantes nacionais um espaço para convocar debates a nível europeu.</w:t>
      </w:r>
    </w:p>
    <w:p w14:paraId="709121DD" w14:textId="77777777" w:rsidR="004F7847" w:rsidRDefault="004F7847" w:rsidP="004F7847">
      <w:r>
        <w:t>A realidade é que caso esta questão da fraca representação do interesse comum não seja resolvida ou pelo menos atenuada, o caminho da integração federal está minado por recusas dos órgãos nacionais em ceder aos interesses da Europa.</w:t>
      </w:r>
    </w:p>
    <w:p w14:paraId="0ACD0862" w14:textId="77777777" w:rsidR="004F7847" w:rsidRDefault="004F7847" w:rsidP="004F7847">
      <w:r>
        <w:t>Além disto, o processo de federalização pode ser travado por vetos nacionais e campanhas de desinformação.</w:t>
      </w:r>
    </w:p>
    <w:p w14:paraId="76C75D0F" w14:textId="77777777" w:rsidR="004F7847" w:rsidRDefault="004F7847" w:rsidP="004F7847">
      <w:r>
        <w:t>O Brexit foi um exemplo perfeito de como campanhas de desinformação resultaram na difusão de dados dissimulados e noticias enganosas para convencer o eleitorado.</w:t>
      </w:r>
    </w:p>
    <w:p w14:paraId="5949F0E6" w14:textId="31E1B5FB" w:rsidR="004F7847" w:rsidRDefault="004F7847" w:rsidP="004F7847">
      <w:r>
        <w:t xml:space="preserve">A saída de um Estado da União foi algo nunca visto, com consequências difíceis de prever para tanto o Reino Unido como para a UE e um </w:t>
      </w:r>
      <w:r w:rsidR="00B90601">
        <w:t>factor</w:t>
      </w:r>
      <w:r>
        <w:t xml:space="preserve"> critico que contribuiu para o voto a favor da saída no referendo de 2016 foi a extensa campanha de desinformação que colocou o povo britânico contra as instituições europeias.</w:t>
      </w:r>
    </w:p>
    <w:p w14:paraId="04AB897D" w14:textId="77777777" w:rsidR="004F7847" w:rsidRDefault="004F7847" w:rsidP="004F7847">
      <w:r>
        <w:t xml:space="preserve">Um dos argumentos utilizados foi a ideia de que o Reino Unido enviava 350 milhões de libras por semana para a UE e que esse dinheiro poderia ser usado para o NHS, o serviço nacional de saúde britânico. </w:t>
      </w:r>
    </w:p>
    <w:p w14:paraId="43C64365" w14:textId="6C3BABDC" w:rsidR="004F7847" w:rsidRDefault="004F7847" w:rsidP="004F7847">
      <w:r>
        <w:t>Esse valor, além de falso, ignorava, por exemplo, os benefícios advindos do Cartão Europeu de Seguro de Doença (CESD), que dava acesso aos britânicos, a cuidados de saúde urgentes/necessários em países da UE, do Espaço Económico Europeu e da Suíça, enquanto residentes</w:t>
      </w:r>
      <w:r w:rsidR="002B4854">
        <w:rPr>
          <w:rStyle w:val="Refdenotaderodap"/>
        </w:rPr>
        <w:footnoteReference w:id="106"/>
      </w:r>
      <w:r>
        <w:t>, bem como os benefícios do formulário S2, destinado a tratamentos específicos, planeados e pré-autorizados, financiados pelo Estado, noutro país da EEE e Suíça, que requerem aprovação prévia do organismo de saúde do seu país de origem e cobre os custos no âmbito do sistema desse país (potencialmente com comparticipação do paciente)</w:t>
      </w:r>
      <w:r w:rsidR="002B4854">
        <w:rPr>
          <w:rStyle w:val="Refdenotaderodap"/>
        </w:rPr>
        <w:footnoteReference w:id="107"/>
      </w:r>
      <w:r>
        <w:t xml:space="preserve">. </w:t>
      </w:r>
    </w:p>
    <w:p w14:paraId="2814625E" w14:textId="00F807DF" w:rsidR="004F7847" w:rsidRDefault="004F7847" w:rsidP="004F7847">
      <w:r>
        <w:t xml:space="preserve">Ou seja, existia, por exemplo, um montante que regressava ao Reino Unido sob a forma de reembolsos, não sendo uma realidade assim tão simples como um </w:t>
      </w:r>
      <w:r w:rsidRPr="006146EE">
        <w:t>“cheque em branco”</w:t>
      </w:r>
      <w:r>
        <w:t xml:space="preserve"> de 350 milhões de libras que bastaria </w:t>
      </w:r>
      <w:r w:rsidR="00B90601">
        <w:t>redireccionar</w:t>
      </w:r>
      <w:r>
        <w:t>.</w:t>
      </w:r>
    </w:p>
    <w:p w14:paraId="310E8079" w14:textId="77777777" w:rsidR="004F7847" w:rsidRDefault="004F7847" w:rsidP="004F7847">
      <w:r>
        <w:t>O próprio veto nacional, como supramencionado, é uma ferramenta que corta pela raiz qualquer tentativa da União de prosseguir interesses que um Estado, ainda que reconhecendo o seu benefício para a UE como um todo, entenda ser prejudicial ao seu Estado ou seja contra as políticas do seu governo.</w:t>
      </w:r>
    </w:p>
    <w:p w14:paraId="14637102" w14:textId="77777777" w:rsidR="004F7847" w:rsidRDefault="004F7847" w:rsidP="004F7847">
      <w:r>
        <w:t>Por fim, resta analisar os obstáculos sociais à federalização europeia.</w:t>
      </w:r>
    </w:p>
    <w:p w14:paraId="45F32567" w14:textId="6DA5D461" w:rsidR="004F7847" w:rsidRDefault="004F7847" w:rsidP="004F7847">
      <w:r>
        <w:t>Ora, o apoio dos cidadãos à integração dos Estados-</w:t>
      </w:r>
      <w:r w:rsidR="006732EC">
        <w:t>M</w:t>
      </w:r>
      <w:r>
        <w:t xml:space="preserve">embros da União pode ser explicado segundo três </w:t>
      </w:r>
      <w:r w:rsidR="00B90601">
        <w:t>perspectivas</w:t>
      </w:r>
      <w:r>
        <w:t xml:space="preserve"> distintas.</w:t>
      </w:r>
    </w:p>
    <w:p w14:paraId="1BEECBCB" w14:textId="77777777" w:rsidR="004F7847" w:rsidRDefault="004F7847" w:rsidP="004F7847">
      <w:r>
        <w:t>A primeira dita que os cidadãos avaliam as consequências económicas que a integração europeia trará para eles próprios e os grupos com os quais eles se identificam (sejam eles a comunidade a que pertencem, grupo político, religioso ou étnico, estrato social e económico), numa espécie de cálculo de custos económicos e benefícios, retirando assim as suas conclusões face a este processo integrativo.</w:t>
      </w:r>
    </w:p>
    <w:p w14:paraId="330CE963" w14:textId="425D3D10" w:rsidR="004F7847" w:rsidRDefault="004F7847" w:rsidP="004F7847">
      <w:r>
        <w:t xml:space="preserve">A segunda </w:t>
      </w:r>
      <w:r w:rsidR="00B90601">
        <w:t>perspectiva</w:t>
      </w:r>
      <w:r>
        <w:t xml:space="preserve">, baseada em psicologia cognitiva e social, usada para avaliar a </w:t>
      </w:r>
      <w:r w:rsidR="00B90601">
        <w:t>reacção</w:t>
      </w:r>
      <w:r>
        <w:t xml:space="preserve"> dos indivíduos a pistas políticas, dita que estes reagem a ideologias ou propaganda vinda de elites, de forma a conseguir processar concisamente, questões novas e complexas.</w:t>
      </w:r>
    </w:p>
    <w:p w14:paraId="11624F1D" w14:textId="11B1B50B" w:rsidR="004F7847" w:rsidRDefault="004F7847" w:rsidP="004F7847">
      <w:r>
        <w:t xml:space="preserve">Por fim, a terceira </w:t>
      </w:r>
      <w:r w:rsidR="00B90601">
        <w:t>perspectiva</w:t>
      </w:r>
      <w:r>
        <w:t>, baseada na psicologia da participação em grupos e no apego emocional, considera como as identidades de grupo e, sobretudo, as identidades nacionais, influenciam o apoio à integração europeia.</w:t>
      </w:r>
    </w:p>
    <w:p w14:paraId="0381BE57" w14:textId="3E9DD012" w:rsidR="004F7847" w:rsidRDefault="004F7847" w:rsidP="004F7847">
      <w:r>
        <w:t xml:space="preserve">Cada uma destas </w:t>
      </w:r>
      <w:r w:rsidR="00B90601">
        <w:t>perspectivas</w:t>
      </w:r>
      <w:r>
        <w:t xml:space="preserve"> analisa a formação de uma atitude europeia de forma distinta.</w:t>
      </w:r>
    </w:p>
    <w:p w14:paraId="236FC8ED" w14:textId="441180B3" w:rsidR="004F7847" w:rsidRDefault="004F7847" w:rsidP="004F7847">
      <w:r>
        <w:t xml:space="preserve">A primeira </w:t>
      </w:r>
      <w:r w:rsidR="00B90601">
        <w:t>perspectiva</w:t>
      </w:r>
      <w:r>
        <w:t xml:space="preserve"> considera a União Europeia como uma ferramenta para facilitar as trocas comerciais, a segunda considera a União como uma extensão da política interna dos Estados e procura explicações para as atitudes públicas na ideologia interna ou nas instituições políticas internas, sobretudo nos partidos políticos nacionais, e por fim, a terceira </w:t>
      </w:r>
      <w:r w:rsidR="00B90601">
        <w:t>perspectiva</w:t>
      </w:r>
      <w:r>
        <w:t xml:space="preserve"> concebe a União como uma entidade política que abrange os Estados e considera como isso interage com as </w:t>
      </w:r>
      <w:r w:rsidR="00B90601">
        <w:t>concepções</w:t>
      </w:r>
      <w:r>
        <w:t xml:space="preserve"> que os cidadãos europeus têm da sua própria identidade.</w:t>
      </w:r>
    </w:p>
    <w:p w14:paraId="127C0437" w14:textId="63E4BA8D" w:rsidR="004F7847" w:rsidRDefault="004F7847" w:rsidP="004F7847">
      <w:r>
        <w:t xml:space="preserve">Apesar de todas as </w:t>
      </w:r>
      <w:r w:rsidR="00B90601">
        <w:t>perspectivas</w:t>
      </w:r>
      <w:r>
        <w:t xml:space="preserve"> supramencionadas terem o seu mérito e </w:t>
      </w:r>
      <w:r w:rsidR="00B90601">
        <w:t>efectivamente</w:t>
      </w:r>
      <w:r>
        <w:t xml:space="preserve"> contribuírem para a </w:t>
      </w:r>
      <w:r w:rsidR="00B90601">
        <w:t>concepção</w:t>
      </w:r>
      <w:r>
        <w:t xml:space="preserve"> </w:t>
      </w:r>
      <w:r w:rsidR="00B90601">
        <w:t>actual</w:t>
      </w:r>
      <w:r>
        <w:t xml:space="preserve"> da identidade europeia dos cidadãos, a terceira </w:t>
      </w:r>
      <w:r w:rsidR="00B90601">
        <w:t>perspectiva</w:t>
      </w:r>
      <w:r>
        <w:t xml:space="preserve"> é sem sombra de dúvida a mais proeminente.</w:t>
      </w:r>
    </w:p>
    <w:p w14:paraId="3ABA7CD6" w14:textId="6E832E5D" w:rsidR="004F7847" w:rsidRDefault="004F7847" w:rsidP="004F7847">
      <w:r>
        <w:t xml:space="preserve">Isto porque nenhuma das restantes </w:t>
      </w:r>
      <w:r w:rsidR="00B90601">
        <w:t>perspectivas</w:t>
      </w:r>
      <w:r>
        <w:t xml:space="preserve"> conseguem provocar a forte </w:t>
      </w:r>
      <w:r w:rsidR="00B90601">
        <w:t>reacção</w:t>
      </w:r>
      <w:r>
        <w:t xml:space="preserve"> emocional da terceira, que se baseia em estreitas ligações comunitárias</w:t>
      </w:r>
      <w:r w:rsidR="00AF623E">
        <w:rPr>
          <w:rStyle w:val="Refdenotaderodap"/>
        </w:rPr>
        <w:footnoteReference w:id="108"/>
      </w:r>
      <w:r>
        <w:t>.</w:t>
      </w:r>
    </w:p>
    <w:p w14:paraId="1F53E2D4" w14:textId="77777777" w:rsidR="004F7847" w:rsidRDefault="004F7847" w:rsidP="004F7847">
      <w:r>
        <w:t>E por isso, e indo ao encontro do que já foi anteriormente mencionado, as identidades nacionais, que tendem a ver a nação como uma comunidade fechada, formam um travão natural a uma maior integração política, enquanto a identidade europeia por norma forma-se em grupos de cidadãos mais móveis e integrados transnacionalmente, que acabam por formar laços fortes com comunidades além da sua.</w:t>
      </w:r>
    </w:p>
    <w:p w14:paraId="2874AF7B" w14:textId="77777777" w:rsidR="006146EE" w:rsidRDefault="004F7847" w:rsidP="004F7847">
      <w:r>
        <w:t xml:space="preserve">Enquanto a maior parte </w:t>
      </w:r>
      <w:r w:rsidR="00B90601">
        <w:t>de os</w:t>
      </w:r>
      <w:r>
        <w:t xml:space="preserve"> cidadãos da União não partilharem uma identidade primária, o </w:t>
      </w:r>
      <w:r w:rsidR="00B90601">
        <w:t>projecto</w:t>
      </w:r>
      <w:r>
        <w:t xml:space="preserve"> de integração europeu encontra-se seriamente limitado e acaba por contribuir para o chamado </w:t>
      </w:r>
      <w:r w:rsidR="00B90601">
        <w:t>eurocepticismo</w:t>
      </w:r>
      <w:r>
        <w:t xml:space="preserve">, outro obstáculo do </w:t>
      </w:r>
      <w:r w:rsidR="00B90601">
        <w:t>projecto</w:t>
      </w:r>
      <w:r>
        <w:t xml:space="preserve"> europeu.</w:t>
      </w:r>
    </w:p>
    <w:p w14:paraId="3B855E26" w14:textId="5800DC72" w:rsidR="004F7847" w:rsidRDefault="006146EE" w:rsidP="004F7847">
      <w:r>
        <w:t>O</w:t>
      </w:r>
      <w:r w:rsidR="004F7847" w:rsidRPr="006146EE">
        <w:t xml:space="preserve">s </w:t>
      </w:r>
      <w:r w:rsidR="00B90601" w:rsidRPr="006146EE">
        <w:t>eurocépticos</w:t>
      </w:r>
      <w:r w:rsidR="004F7847" w:rsidRPr="006146EE">
        <w:t xml:space="preserve"> </w:t>
      </w:r>
      <w:r>
        <w:t>podem ser classificados como</w:t>
      </w:r>
      <w:r w:rsidR="004F7847" w:rsidRPr="006146EE">
        <w:t xml:space="preserve"> cidadãos ou </w:t>
      </w:r>
      <w:r>
        <w:t xml:space="preserve">figuras </w:t>
      </w:r>
      <w:r w:rsidR="004F7847" w:rsidRPr="006146EE">
        <w:t>polític</w:t>
      </w:r>
      <w:r>
        <w:t>a</w:t>
      </w:r>
      <w:r w:rsidR="004F7847" w:rsidRPr="006146EE">
        <w:t xml:space="preserve">s que se </w:t>
      </w:r>
      <w:r>
        <w:t>posicionem</w:t>
      </w:r>
      <w:r w:rsidR="004F7847" w:rsidRPr="006146EE">
        <w:t xml:space="preserve"> como críticos à </w:t>
      </w:r>
      <w:r>
        <w:t>U</w:t>
      </w:r>
      <w:r w:rsidR="004F7847" w:rsidRPr="006146EE">
        <w:t>nião</w:t>
      </w:r>
      <w:r>
        <w:t>, alegando que esta</w:t>
      </w:r>
      <w:r w:rsidR="004F7847" w:rsidRPr="006146EE">
        <w:t xml:space="preserve"> retira os poderes do seu governo nacional e </w:t>
      </w:r>
      <w:r>
        <w:t>apresenta-se como</w:t>
      </w:r>
      <w:r w:rsidR="004F7847" w:rsidRPr="006146EE">
        <w:t xml:space="preserve"> uma ameaça à sua soberania nacional,</w:t>
      </w:r>
      <w:r w:rsidR="004F7847">
        <w:t xml:space="preserve"> ao passo do cada vez mais proeminente sentimento pessimista em relação à </w:t>
      </w:r>
      <w:r w:rsidR="00311CD0">
        <w:t>União</w:t>
      </w:r>
      <w:r w:rsidR="004F7847">
        <w:t>.</w:t>
      </w:r>
    </w:p>
    <w:p w14:paraId="0679B159" w14:textId="77777777" w:rsidR="004F7847" w:rsidRDefault="004F7847" w:rsidP="004F7847">
      <w:r>
        <w:t xml:space="preserve">Como a União Europeia baseia-se na livre circulação de pessoas, muita gente acaba por culpar a UE pelo aumento da migração, tanto entre países europeus como de fora da Europa.  </w:t>
      </w:r>
    </w:p>
    <w:p w14:paraId="05955922" w14:textId="77777777" w:rsidR="004F7847" w:rsidRDefault="004F7847" w:rsidP="004F7847">
      <w:r>
        <w:t>As críticas vêm muitas vezes do medo, de que essa diversidade ponha em risco as tradições e a identidade de cada país, seja devido a grupos étnicos específicos, como por exemplo as comunidades ciganas, seja por causa de religiões diferentes, como o islamismo.</w:t>
      </w:r>
    </w:p>
    <w:p w14:paraId="4D8930DD" w14:textId="3826D43F" w:rsidR="004F7847" w:rsidRDefault="004F7847" w:rsidP="004F7847">
      <w:r>
        <w:t xml:space="preserve">Há também uma versão menos ligada ao medo e mais ao lado económico, o chamado </w:t>
      </w:r>
      <w:r w:rsidRPr="006146EE">
        <w:t>“populismo assistencialista”,</w:t>
      </w:r>
      <w:r>
        <w:t xml:space="preserve"> que é uma forma de </w:t>
      </w:r>
      <w:r w:rsidR="00B90601">
        <w:t>eurocepticismo</w:t>
      </w:r>
      <w:r>
        <w:t xml:space="preserve"> mais comum nos países do norte da Europa, onde há o receio de que os imigrantes acabem por sobrecarregar ou aproveitar-se dos sistemas de apoio social nacionais</w:t>
      </w:r>
      <w:r w:rsidR="001D1636">
        <w:rPr>
          <w:rStyle w:val="Refdenotaderodap"/>
        </w:rPr>
        <w:footnoteReference w:id="109"/>
      </w:r>
      <w:r>
        <w:t xml:space="preserve">.  </w:t>
      </w:r>
    </w:p>
    <w:p w14:paraId="23245B04" w14:textId="3E715D1C" w:rsidR="004F7847" w:rsidRDefault="004F7847" w:rsidP="004F7847">
      <w:r>
        <w:t xml:space="preserve">Mas a questão da identidade nacional não é o único argumento dos </w:t>
      </w:r>
      <w:r w:rsidR="00B90601">
        <w:t>eurocépticos</w:t>
      </w:r>
      <w:r>
        <w:t xml:space="preserve">, que alegam o enfraquecimento da soberania nacional dos Estados, graças ao </w:t>
      </w:r>
      <w:r w:rsidR="00B90601">
        <w:t>projecto</w:t>
      </w:r>
      <w:r>
        <w:t xml:space="preserve"> europeu.</w:t>
      </w:r>
    </w:p>
    <w:p w14:paraId="44C45BEE" w14:textId="332694F6" w:rsidR="004F7847" w:rsidRDefault="004F7847" w:rsidP="004F7847">
      <w:r>
        <w:t xml:space="preserve">O </w:t>
      </w:r>
      <w:r w:rsidR="00B90601">
        <w:t>eurocepticismo</w:t>
      </w:r>
      <w:r>
        <w:t xml:space="preserve">, dentro daquilo que são as suas duas versões (a versão rígida que rejeita inteiramente o </w:t>
      </w:r>
      <w:r w:rsidR="00B90601">
        <w:t>projecto</w:t>
      </w:r>
      <w:r>
        <w:t xml:space="preserve"> europeu e a versão flexível que critica somente algumas das políticas/instituições europeias), tem obtido um crescimento gradual ao longo das décadas, com 30 partidos políticos de 18 Estados-</w:t>
      </w:r>
      <w:r w:rsidR="006732EC">
        <w:t>M</w:t>
      </w:r>
      <w:r>
        <w:t xml:space="preserve">embros de génese </w:t>
      </w:r>
      <w:r w:rsidR="00B90601">
        <w:t>eurocéptica</w:t>
      </w:r>
      <w:r>
        <w:t xml:space="preserve"> em 2014, a exercer </w:t>
      </w:r>
      <w:r w:rsidR="00B90601">
        <w:t>directa</w:t>
      </w:r>
      <w:r>
        <w:t xml:space="preserve"> ou </w:t>
      </w:r>
      <w:r w:rsidR="00B90601">
        <w:t>indirectamente</w:t>
      </w:r>
      <w:r>
        <w:t xml:space="preserve"> um impacto nos sistemas políticos nacionais.</w:t>
      </w:r>
    </w:p>
    <w:p w14:paraId="3C078B22" w14:textId="556E0269" w:rsidR="004F7847" w:rsidRDefault="004F7847" w:rsidP="004F7847">
      <w:r>
        <w:t xml:space="preserve">Um dos argumentos originários deste movimento é a ideia de que, ao passar poderes dos Estados-Membros para a União Europeia, os países estão a </w:t>
      </w:r>
      <w:r w:rsidRPr="00B90601">
        <w:t>perder</w:t>
      </w:r>
      <w:r>
        <w:t xml:space="preserve"> soberania, em vez de a partilhar, reforçada pelos chamados </w:t>
      </w:r>
      <w:r w:rsidRPr="006146EE">
        <w:t xml:space="preserve">“custos de conformidade”, </w:t>
      </w:r>
      <w:r>
        <w:t>ou seja, todas as exigências e regras da UE que os Estados têm de cumprir, supervisionados pela Comissão e pelo Tribunal de Justiça.</w:t>
      </w:r>
    </w:p>
    <w:p w14:paraId="087170BF" w14:textId="5BC04FB9" w:rsidR="004F7847" w:rsidRDefault="004F7847" w:rsidP="004F7847">
      <w:r>
        <w:t xml:space="preserve">Muitos movimentos </w:t>
      </w:r>
      <w:r w:rsidR="00B90601">
        <w:t>eurocépticos</w:t>
      </w:r>
      <w:r>
        <w:t xml:space="preserve"> usam este argumento para defender a devolução de certos poderes aos Estados, total ou parcialmente. </w:t>
      </w:r>
    </w:p>
    <w:p w14:paraId="02FEF741" w14:textId="2E05C772" w:rsidR="004F7847" w:rsidRDefault="004F7847" w:rsidP="004F7847">
      <w:r>
        <w:t xml:space="preserve">Esta linha de pensamento ganhou ainda mais destaque durante a crise de 2008, quando surgiu a Troika, vista por muitos como uma espécie de FMI europeu que impunha condições rigorosas aos países em dificuldades, vindo depois as reformas na governação da União Económica e Monetária acabar por impulsionar este tipo de </w:t>
      </w:r>
      <w:r w:rsidR="00B90601">
        <w:t>eurocepticismo</w:t>
      </w:r>
      <w:r w:rsidR="001D1636">
        <w:rPr>
          <w:rStyle w:val="Refdenotaderodap"/>
        </w:rPr>
        <w:footnoteReference w:id="110"/>
      </w:r>
      <w:r>
        <w:t>.</w:t>
      </w:r>
    </w:p>
    <w:p w14:paraId="0A601E02" w14:textId="77777777" w:rsidR="004F7847" w:rsidRDefault="004F7847" w:rsidP="004F7847">
      <w:r>
        <w:t>A própria transferência de competências para o governo europeu em Bruxelas, seja de matérias como a economia, legislação, política externa ou imigração, pode ser considerada como uma abdicação de capacidade de decisão e de controlo dos próprios assuntos dos Estados, reforçando a ideia de que a integração europeia deixou de ser uma simples cooperação entre Estados e passou a ser uma estrutura que limita a autonomia nacional.</w:t>
      </w:r>
    </w:p>
    <w:p w14:paraId="246BD858" w14:textId="0F77D19F" w:rsidR="004F7847" w:rsidRDefault="004F7847" w:rsidP="004F7847">
      <w:r>
        <w:t xml:space="preserve">O </w:t>
      </w:r>
      <w:r w:rsidR="00B90601">
        <w:t>eurocepticismo</w:t>
      </w:r>
      <w:r>
        <w:t xml:space="preserve"> em matéria de soberania nacional assentado na ideia de que a UE está a interferir em domínios internos tem diversos exemplos, entre os quais saliento o da Hungria.</w:t>
      </w:r>
    </w:p>
    <w:p w14:paraId="5857797B" w14:textId="77777777" w:rsidR="004F7847" w:rsidRDefault="004F7847" w:rsidP="004F7847">
      <w:r>
        <w:t xml:space="preserve">A Hungria, durante o governo de Viktor Orbán acusou o governo europeu de ameaçar a </w:t>
      </w:r>
      <w:r w:rsidRPr="006146EE">
        <w:t>“Hungria cristã”</w:t>
      </w:r>
      <w:r>
        <w:t xml:space="preserve"> e o controlo nacional das fronteiras.</w:t>
      </w:r>
    </w:p>
    <w:p w14:paraId="2EDC4641" w14:textId="77777777" w:rsidR="004F7847" w:rsidRDefault="004F7847" w:rsidP="004F7847">
      <w:r>
        <w:t xml:space="preserve">O próprio Tribunal Constitucional húngaro chegou a afirmar que existe uma </w:t>
      </w:r>
      <w:r w:rsidRPr="006146EE">
        <w:t xml:space="preserve">“identidade constitucional” </w:t>
      </w:r>
      <w:r>
        <w:t>própria, ligada à história e à nação, que pode servir de escudo contra certas obrigações do direito da UE, especialmente em matéria de migração.</w:t>
      </w:r>
    </w:p>
    <w:p w14:paraId="537FF03F" w14:textId="6B974769" w:rsidR="004F7847" w:rsidRDefault="004F7847" w:rsidP="004F7847">
      <w:r>
        <w:t xml:space="preserve">Este argumento foi utilizado para evitar o cumprimento de decisões do Tribunal de Justiça da UE relativas à recolocação de requerentes de asilo, alegando que tal faria a Hungria perder o controlo sobre quem entra e permanece no seu território, o que seria visto como uma violação da sua soberania e do direito de dispor da sua própria população. </w:t>
      </w:r>
    </w:p>
    <w:p w14:paraId="6E308969" w14:textId="2E203E0E" w:rsidR="004F7847" w:rsidRDefault="004F7847" w:rsidP="004F7847">
      <w:r>
        <w:t xml:space="preserve">Assim, a narrativa </w:t>
      </w:r>
      <w:r w:rsidR="00B90601">
        <w:t>eurocéptica</w:t>
      </w:r>
      <w:r>
        <w:t xml:space="preserve"> apresentada pelo governo de Orbán via a União como uma instituição que impunha políticas migratórias contrárias à vontade do povo húngaro, transformando o debate jurídico em conflito político sobre soberania</w:t>
      </w:r>
      <w:r w:rsidR="008E1604">
        <w:rPr>
          <w:rStyle w:val="Refdenotaderodap"/>
        </w:rPr>
        <w:footnoteReference w:id="111"/>
      </w:r>
      <w:r>
        <w:t>.</w:t>
      </w:r>
    </w:p>
    <w:p w14:paraId="571469E5" w14:textId="1997A070" w:rsidR="004F7847" w:rsidRDefault="004F7847" w:rsidP="004F7847">
      <w:r>
        <w:t>Além disto, acusações de um défice democrático das instituições europeias leva a críticas generalizadas de grupos eurocépticos e a desconfiança dos cidadãos europeus.</w:t>
      </w:r>
    </w:p>
    <w:p w14:paraId="452F4DA2" w14:textId="77777777" w:rsidR="004F7847" w:rsidRDefault="004F7847" w:rsidP="004F7847">
      <w:r>
        <w:t>Esta desconfiança e aversão às instituições da UE resultam em grande parte da dificuldade em participar na política da União, o que leva a uma maior ignorância e falta de vontade em participar nas políticas europeias.</w:t>
      </w:r>
    </w:p>
    <w:p w14:paraId="42C218B7" w14:textId="123A0D78" w:rsidR="004F7847" w:rsidRDefault="004F7847" w:rsidP="004F7847">
      <w:r>
        <w:t>A própria União, enquanto não expandir a participação popular pode correr o risco de gerar cada vez mais acusações de não só, um défice democrático, como também de elitismo.</w:t>
      </w:r>
    </w:p>
    <w:p w14:paraId="2B3B0EA8" w14:textId="1B1C90ED" w:rsidR="004F7847" w:rsidRDefault="004F7847" w:rsidP="004F7847">
      <w:r>
        <w:t>Estas acusações levam a pedidos de reformas</w:t>
      </w:r>
      <w:r w:rsidR="000F3F26">
        <w:t>,</w:t>
      </w:r>
      <w:r>
        <w:t xml:space="preserve"> enquanto uma reforma necessária e urgente para alterar a percepção que o eleitorado tem da própria União, tida já como democraticamente ilegítima por parte de certos decisores políticos, jornalistas, académicos e cidadãos europeus.</w:t>
      </w:r>
    </w:p>
    <w:p w14:paraId="608367A2" w14:textId="1C594137" w:rsidR="00CE06F2" w:rsidRDefault="00CE06F2" w:rsidP="004F7847">
      <w:r>
        <w:t>Em suma, estes obstáculos, sejam eles jurídicos, políticos ou sociais, não podem ser ignorados se quisermos prosseguir uma maior política de integração europeia, sendo ainda de realçar que estes são somente alguns exemplos entre diversos outros, não sendo possível sequer quantificar o quão longe estamos de uma federação europeia plena, ao mesmo tempo que apesar destes obstáculos, não podemos negar que a evolução dos moldes da União tem vertido constantemente para o modelo federal, apesar das diversas preocupações dos Estados e dos seus cidadãos, que desconfiados das intenções do governo europeu e das constantes perdas de parte da sua soberania, não podem evitar admitir o impacto benéfico que a União tem tido na vida e estabilidade politica, económica, social e defensiva dos Estados-</w:t>
      </w:r>
      <w:r w:rsidR="006732EC">
        <w:t>M</w:t>
      </w:r>
      <w:r>
        <w:t>embros.</w:t>
      </w:r>
    </w:p>
    <w:p w14:paraId="13AE0545" w14:textId="77777777" w:rsidR="004F7847" w:rsidRDefault="004F7847" w:rsidP="004F7847"/>
    <w:p w14:paraId="0D8CDAC6" w14:textId="77777777" w:rsidR="004F7847" w:rsidRPr="004F7847" w:rsidRDefault="004F7847" w:rsidP="004F7847"/>
    <w:p w14:paraId="4D9AAE66" w14:textId="7D1F0183" w:rsidR="0019302D" w:rsidRPr="00B90601" w:rsidRDefault="006E60C5" w:rsidP="00B90601">
      <w:pPr>
        <w:rPr>
          <w:vertAlign w:val="superscript"/>
        </w:rPr>
      </w:pPr>
      <w:bookmarkStart w:id="30" w:name="_heading=h.yu72qy3804oe" w:colFirst="0" w:colLast="0"/>
      <w:bookmarkEnd w:id="30"/>
      <w:r>
        <w:br w:type="page"/>
      </w:r>
    </w:p>
    <w:p w14:paraId="42214ABC" w14:textId="77777777" w:rsidR="0019302D" w:rsidRDefault="006E60C5" w:rsidP="00E02FF9">
      <w:pPr>
        <w:pStyle w:val="Ttulo1"/>
      </w:pPr>
      <w:bookmarkStart w:id="31" w:name="_Toc216867148"/>
      <w:bookmarkStart w:id="32" w:name="_Toc221648075"/>
      <w:r>
        <w:t>Conclusão</w:t>
      </w:r>
      <w:bookmarkEnd w:id="31"/>
      <w:bookmarkEnd w:id="32"/>
    </w:p>
    <w:p w14:paraId="580FDB79" w14:textId="03D8F264" w:rsidR="0019302D" w:rsidRDefault="00051F3D">
      <w:pPr>
        <w:pBdr>
          <w:top w:val="nil"/>
          <w:left w:val="nil"/>
          <w:bottom w:val="nil"/>
          <w:right w:val="nil"/>
          <w:between w:val="nil"/>
        </w:pBdr>
        <w:ind w:right="0"/>
        <w:rPr>
          <w:color w:val="000000"/>
        </w:rPr>
      </w:pPr>
      <w:r>
        <w:rPr>
          <w:color w:val="000000"/>
        </w:rPr>
        <w:t>Em suma, podemos concluir que a União</w:t>
      </w:r>
      <w:r w:rsidR="00E3272D">
        <w:rPr>
          <w:color w:val="000000"/>
        </w:rPr>
        <w:t xml:space="preserve"> </w:t>
      </w:r>
      <w:r>
        <w:rPr>
          <w:color w:val="000000"/>
        </w:rPr>
        <w:t>Europeia</w:t>
      </w:r>
      <w:r w:rsidR="00C47A29">
        <w:rPr>
          <w:color w:val="000000"/>
        </w:rPr>
        <w:t xml:space="preserve"> provou vezes e vezes sem conta, que independentemente de questões de identidade nacional, preservação de soberania e receios ou antagonismos por parte dos Estados, o rumo natural que a UE tem tomado, tem sido desde o seu início o da integração em grande escala, com abdicações cada vez maiores de soberania a favor dos órgãos europeus e de cooperação face aos desafios modernos.</w:t>
      </w:r>
    </w:p>
    <w:p w14:paraId="5D0BEC86" w14:textId="4C302532" w:rsidR="00C47A29" w:rsidRDefault="00C47A29">
      <w:pPr>
        <w:pBdr>
          <w:top w:val="nil"/>
          <w:left w:val="nil"/>
          <w:bottom w:val="nil"/>
          <w:right w:val="nil"/>
          <w:between w:val="nil"/>
        </w:pBdr>
        <w:ind w:right="0"/>
        <w:rPr>
          <w:color w:val="000000"/>
        </w:rPr>
      </w:pPr>
      <w:r>
        <w:rPr>
          <w:color w:val="000000"/>
        </w:rPr>
        <w:t>Apesar de diversas oposições a uma maior integração, como a dos franceses e</w:t>
      </w:r>
      <w:r w:rsidRPr="00C47A29">
        <w:t xml:space="preserve"> </w:t>
      </w:r>
      <w:r w:rsidRPr="00C47A29">
        <w:rPr>
          <w:color w:val="000000"/>
        </w:rPr>
        <w:t>neerlandeses</w:t>
      </w:r>
      <w:r>
        <w:rPr>
          <w:color w:val="000000"/>
        </w:rPr>
        <w:t xml:space="preserve"> durante o  projecto para uma Constituição europeia ou a de Vikto Orbán na procura de preservar a </w:t>
      </w:r>
      <w:r w:rsidRPr="006146EE">
        <w:rPr>
          <w:color w:val="000000"/>
        </w:rPr>
        <w:t>“identidade constitucional”</w:t>
      </w:r>
      <w:r>
        <w:rPr>
          <w:i/>
          <w:iCs/>
          <w:color w:val="000000"/>
        </w:rPr>
        <w:t xml:space="preserve"> </w:t>
      </w:r>
      <w:r>
        <w:rPr>
          <w:color w:val="000000"/>
        </w:rPr>
        <w:t>da Hungria, diversos saltos foram dados ao longo das décadas, cada vez mais e de maior magnitude, rumo a uma maior integração dos Estados-</w:t>
      </w:r>
      <w:r w:rsidR="006732EC">
        <w:rPr>
          <w:color w:val="000000"/>
        </w:rPr>
        <w:t>M</w:t>
      </w:r>
      <w:r>
        <w:rPr>
          <w:color w:val="000000"/>
        </w:rPr>
        <w:t>embros.</w:t>
      </w:r>
    </w:p>
    <w:p w14:paraId="06992942" w14:textId="45DB5524" w:rsidR="00C47A29" w:rsidRDefault="00C47A29">
      <w:pPr>
        <w:pBdr>
          <w:top w:val="nil"/>
          <w:left w:val="nil"/>
          <w:bottom w:val="nil"/>
          <w:right w:val="nil"/>
          <w:between w:val="nil"/>
        </w:pBdr>
        <w:ind w:right="0"/>
        <w:rPr>
          <w:color w:val="000000"/>
        </w:rPr>
      </w:pPr>
      <w:r>
        <w:rPr>
          <w:color w:val="000000"/>
        </w:rPr>
        <w:t>A atribuição de competências aos órgãos europeus, a primazia do direito comunitário, a existência cada vez maior de um sentimento de identidade europeu</w:t>
      </w:r>
      <w:r w:rsidR="00D20DE7">
        <w:rPr>
          <w:color w:val="000000"/>
        </w:rPr>
        <w:t xml:space="preserve"> aliado a uma cidadania europeia, a existência de uma política monetária comum, entre diversos outros, convida à ideia de que o rumo que tem sido tomado é o da gradual adopção de características federalistas, ainda que timidamente de forma a não antagonizar os Estados.</w:t>
      </w:r>
    </w:p>
    <w:p w14:paraId="48EE98F7" w14:textId="3593CB9A" w:rsidR="00D20DE7" w:rsidRDefault="00D20DE7">
      <w:pPr>
        <w:pBdr>
          <w:top w:val="nil"/>
          <w:left w:val="nil"/>
          <w:bottom w:val="nil"/>
          <w:right w:val="nil"/>
          <w:between w:val="nil"/>
        </w:pBdr>
        <w:ind w:right="0"/>
        <w:rPr>
          <w:color w:val="000000"/>
        </w:rPr>
      </w:pPr>
      <w:r>
        <w:rPr>
          <w:color w:val="000000"/>
        </w:rPr>
        <w:t>Apesar de hoje não ser concebível a criação de um Estado federal europeu, a verdade é que décadas atrás algumas das medidas adoptadas pela União também teriam sido tidas como inconcebíveis.</w:t>
      </w:r>
    </w:p>
    <w:p w14:paraId="55E757C1" w14:textId="46B93603" w:rsidR="00D20DE7" w:rsidRDefault="00D20DE7">
      <w:pPr>
        <w:pBdr>
          <w:top w:val="nil"/>
          <w:left w:val="nil"/>
          <w:bottom w:val="nil"/>
          <w:right w:val="nil"/>
          <w:between w:val="nil"/>
        </w:pBdr>
        <w:ind w:right="0"/>
        <w:rPr>
          <w:color w:val="000000"/>
        </w:rPr>
      </w:pPr>
      <w:r>
        <w:rPr>
          <w:color w:val="000000"/>
        </w:rPr>
        <w:t>A evolução da União em contraste com as necessidades geopolíticas, económicas, defensivas e sociais do mundo actual exigem e tem exigido que haja cada vez mais integração entre Estados, e estes tem percebido isso e de bom grado  abdicado parte de sua soberania a favor do projecto europeu.</w:t>
      </w:r>
    </w:p>
    <w:p w14:paraId="459EBAEF" w14:textId="706DC836" w:rsidR="00D20DE7" w:rsidRDefault="00D20DE7">
      <w:pPr>
        <w:pBdr>
          <w:top w:val="nil"/>
          <w:left w:val="nil"/>
          <w:bottom w:val="nil"/>
          <w:right w:val="nil"/>
          <w:between w:val="nil"/>
        </w:pBdr>
        <w:ind w:right="0"/>
        <w:rPr>
          <w:color w:val="000000"/>
        </w:rPr>
      </w:pPr>
      <w:r>
        <w:rPr>
          <w:color w:val="000000"/>
        </w:rPr>
        <w:t xml:space="preserve">Apesar de </w:t>
      </w:r>
      <w:r w:rsidR="00D10325">
        <w:rPr>
          <w:color w:val="000000"/>
        </w:rPr>
        <w:t>actualmente</w:t>
      </w:r>
      <w:r>
        <w:rPr>
          <w:color w:val="000000"/>
        </w:rPr>
        <w:t xml:space="preserve"> não ser possível esperar que os Estados-</w:t>
      </w:r>
      <w:r w:rsidR="006732EC">
        <w:rPr>
          <w:color w:val="000000"/>
        </w:rPr>
        <w:t>M</w:t>
      </w:r>
      <w:r>
        <w:rPr>
          <w:color w:val="000000"/>
        </w:rPr>
        <w:t xml:space="preserve">embros abdiquem totalmente da sua soberania, pelos diversos motivos acima debatidos, se há alguma coisa que a história da União provou é que esta tende a crescer, a moldar-se às necessidades do mundo em que vive e a integrar cada vez mais os seus membros, cuja mentalidade tem sido cada vez mais europeísta e favorável ao </w:t>
      </w:r>
      <w:r w:rsidR="00D10325">
        <w:rPr>
          <w:color w:val="000000"/>
        </w:rPr>
        <w:t>projecto</w:t>
      </w:r>
      <w:r>
        <w:rPr>
          <w:color w:val="000000"/>
        </w:rPr>
        <w:t xml:space="preserve"> europeu.</w:t>
      </w:r>
    </w:p>
    <w:p w14:paraId="123CD34F" w14:textId="41351F70" w:rsidR="00D20DE7" w:rsidRPr="00C47A29" w:rsidRDefault="00D20DE7">
      <w:pPr>
        <w:pBdr>
          <w:top w:val="nil"/>
          <w:left w:val="nil"/>
          <w:bottom w:val="nil"/>
          <w:right w:val="nil"/>
          <w:between w:val="nil"/>
        </w:pBdr>
        <w:ind w:right="0"/>
        <w:rPr>
          <w:color w:val="000000"/>
        </w:rPr>
        <w:sectPr w:rsidR="00D20DE7" w:rsidRPr="00C47A29">
          <w:footerReference w:type="default" r:id="rId18"/>
          <w:pgSz w:w="11906" w:h="16838"/>
          <w:pgMar w:top="1701" w:right="1701" w:bottom="1134" w:left="1701" w:header="567" w:footer="567" w:gutter="0"/>
          <w:pgNumType w:start="1"/>
          <w:cols w:space="720"/>
        </w:sectPr>
      </w:pPr>
      <w:r>
        <w:rPr>
          <w:color w:val="000000"/>
        </w:rPr>
        <w:t xml:space="preserve">Assim que entendo que não há </w:t>
      </w:r>
      <w:r w:rsidR="00D10325">
        <w:rPr>
          <w:color w:val="000000"/>
        </w:rPr>
        <w:t>dúvidas</w:t>
      </w:r>
      <w:r>
        <w:rPr>
          <w:color w:val="000000"/>
        </w:rPr>
        <w:t xml:space="preserve"> de que inevitavelmente a União caminhará para uma federalização total, ainda que não possa determinar quando, mas com a certeza de que será feita face a uma necessidade da UE</w:t>
      </w:r>
      <w:r w:rsidR="00D10325">
        <w:rPr>
          <w:color w:val="000000"/>
        </w:rPr>
        <w:t xml:space="preserve"> de se preservar, reestruturar e ser capaz de encontrar o seu lugar no mundo em que habita.</w:t>
      </w:r>
      <w:r>
        <w:rPr>
          <w:color w:val="000000"/>
        </w:rPr>
        <w:t xml:space="preserve"> </w:t>
      </w:r>
    </w:p>
    <w:p w14:paraId="7C0A72F9" w14:textId="24F87A60" w:rsidR="00C3639C" w:rsidRPr="00662635" w:rsidRDefault="006E60C5" w:rsidP="00C3639C">
      <w:pPr>
        <w:pStyle w:val="Ttulo1"/>
        <w:rPr>
          <w:lang w:val="en-US"/>
        </w:rPr>
      </w:pPr>
      <w:bookmarkStart w:id="33" w:name="_Toc216867149"/>
      <w:bookmarkStart w:id="34" w:name="_Toc221648076"/>
      <w:r w:rsidRPr="00662635">
        <w:rPr>
          <w:lang w:val="en-US"/>
        </w:rPr>
        <w:t>Referências</w:t>
      </w:r>
      <w:bookmarkEnd w:id="33"/>
      <w:r w:rsidR="00E3272D" w:rsidRPr="00662635">
        <w:rPr>
          <w:lang w:val="en-US"/>
        </w:rPr>
        <w:t xml:space="preserve"> Bibliográficas</w:t>
      </w:r>
      <w:bookmarkEnd w:id="34"/>
    </w:p>
    <w:p w14:paraId="456F17ED" w14:textId="6982D8DF" w:rsidR="00BE563E" w:rsidRPr="00662635" w:rsidRDefault="00C3639C" w:rsidP="00BE563E">
      <w:pPr>
        <w:shd w:val="clear" w:color="auto" w:fill="FFFFFF"/>
        <w:spacing w:before="100"/>
        <w:ind w:right="0"/>
        <w:jc w:val="left"/>
        <w:rPr>
          <w:color w:val="2C363A"/>
          <w:lang w:val="en-US"/>
        </w:rPr>
      </w:pPr>
      <w:r w:rsidRPr="00662635">
        <w:rPr>
          <w:color w:val="2C363A"/>
          <w:lang w:val="en-US"/>
        </w:rPr>
        <w:t>AFFONSO</w:t>
      </w:r>
      <w:r w:rsidR="00BE563E" w:rsidRPr="00662635">
        <w:rPr>
          <w:lang w:val="en-US"/>
        </w:rPr>
        <w:t xml:space="preserve"> </w:t>
      </w:r>
      <w:r w:rsidR="00BE563E" w:rsidRPr="00662635">
        <w:rPr>
          <w:color w:val="2C363A"/>
          <w:lang w:val="en-US"/>
        </w:rPr>
        <w:t xml:space="preserve">AFONSO, A.; HAUPTMEIER, S. Fiscal behaviour in the European Union: rules, fiscal decentralization and government indebtedness. </w:t>
      </w:r>
      <w:r w:rsidR="00BE563E" w:rsidRPr="00662635">
        <w:rPr>
          <w:i/>
          <w:iCs/>
          <w:color w:val="2C363A"/>
          <w:lang w:val="en-US"/>
        </w:rPr>
        <w:t>ECB Working Paper Series</w:t>
      </w:r>
      <w:r w:rsidR="00ED127A" w:rsidRPr="00662635">
        <w:rPr>
          <w:color w:val="2C363A"/>
          <w:lang w:val="en-US"/>
        </w:rPr>
        <w:t xml:space="preserve">. </w:t>
      </w:r>
      <w:r w:rsidR="00BE563E" w:rsidRPr="00662635">
        <w:rPr>
          <w:color w:val="2C363A"/>
          <w:lang w:val="en-US"/>
        </w:rPr>
        <w:t xml:space="preserve">Frankfurt am Main: European Central Bank, </w:t>
      </w:r>
      <w:r w:rsidR="00ED127A" w:rsidRPr="00662635">
        <w:rPr>
          <w:color w:val="2C363A"/>
          <w:lang w:val="en-US"/>
        </w:rPr>
        <w:t xml:space="preserve">1054, </w:t>
      </w:r>
      <w:r w:rsidR="00BE563E" w:rsidRPr="00662635">
        <w:rPr>
          <w:color w:val="2C363A"/>
          <w:lang w:val="en-US"/>
        </w:rPr>
        <w:t xml:space="preserve">2009, 45 páginas. </w:t>
      </w:r>
      <w:r w:rsidR="00BE563E" w:rsidRPr="005312B0">
        <w:rPr>
          <w:color w:val="2C363A"/>
        </w:rPr>
        <w:t xml:space="preserve">Disponível em: https://www.ecb.europa.eu/pub/pdf/scpwps/ecbwp1054.pdf. Consult. </w:t>
      </w:r>
      <w:r w:rsidR="00BE563E" w:rsidRPr="00662635">
        <w:rPr>
          <w:color w:val="2C363A"/>
          <w:lang w:val="en-US"/>
        </w:rPr>
        <w:t>07-09-2025.</w:t>
      </w:r>
    </w:p>
    <w:p w14:paraId="14E3DB2E" w14:textId="77777777" w:rsidR="00BE563E" w:rsidRPr="00662635" w:rsidRDefault="00BE563E" w:rsidP="00BE563E">
      <w:pPr>
        <w:shd w:val="clear" w:color="auto" w:fill="FFFFFF"/>
        <w:spacing w:before="100"/>
        <w:ind w:right="0"/>
        <w:jc w:val="left"/>
        <w:rPr>
          <w:color w:val="2C363A"/>
          <w:lang w:val="en-US"/>
        </w:rPr>
      </w:pPr>
    </w:p>
    <w:p w14:paraId="045C1ECC" w14:textId="77777777" w:rsidR="00BE563E" w:rsidRPr="00662635" w:rsidRDefault="00BE563E" w:rsidP="00BE563E">
      <w:pPr>
        <w:shd w:val="clear" w:color="auto" w:fill="FFFFFF"/>
        <w:spacing w:before="100"/>
        <w:ind w:right="0"/>
        <w:jc w:val="left"/>
        <w:rPr>
          <w:color w:val="2C363A"/>
          <w:lang w:val="en-US"/>
        </w:rPr>
      </w:pPr>
      <w:r w:rsidRPr="00662635">
        <w:rPr>
          <w:color w:val="2C363A"/>
          <w:lang w:val="en-US"/>
        </w:rPr>
        <w:t xml:space="preserve">ALLARD, C.; BROOKS, P.; BLUEDORN, J.; BORNHORST, F.; CHRISTOPHERSON, K.; OHNSORGE, F.; POGHOSYAN, T. Toward a fiscal union for the euro area. </w:t>
      </w:r>
      <w:r w:rsidRPr="008753DB">
        <w:rPr>
          <w:i/>
          <w:iCs/>
          <w:color w:val="2C363A"/>
        </w:rPr>
        <w:t xml:space="preserve">Staff Discussion Notes No. 2013/009, </w:t>
      </w:r>
      <w:r w:rsidRPr="005312B0">
        <w:rPr>
          <w:color w:val="2C363A"/>
        </w:rPr>
        <w:t xml:space="preserve">Vol. 009, 28 páginas. Disponível em: https://www.imf.org/en/publications/staff-discussion-notes/issues/2016/12/31/toward-a-fiscal-union-for-the-euro-area-40784. </w:t>
      </w:r>
      <w:r w:rsidRPr="00662635">
        <w:rPr>
          <w:color w:val="2C363A"/>
          <w:lang w:val="en-US"/>
        </w:rPr>
        <w:t>Consult. 13-12-2025.</w:t>
      </w:r>
    </w:p>
    <w:p w14:paraId="5D163C98" w14:textId="77777777" w:rsidR="00BE563E" w:rsidRPr="00662635" w:rsidRDefault="00BE563E" w:rsidP="00BE563E">
      <w:pPr>
        <w:shd w:val="clear" w:color="auto" w:fill="FFFFFF"/>
        <w:spacing w:before="100"/>
        <w:ind w:right="0"/>
        <w:jc w:val="left"/>
        <w:rPr>
          <w:color w:val="2C363A"/>
          <w:lang w:val="en-US"/>
        </w:rPr>
      </w:pPr>
    </w:p>
    <w:p w14:paraId="391F6DCF" w14:textId="77777777" w:rsidR="00BE563E" w:rsidRDefault="00BE563E" w:rsidP="00BE563E">
      <w:pPr>
        <w:shd w:val="clear" w:color="auto" w:fill="FFFFFF"/>
        <w:spacing w:before="100"/>
        <w:ind w:right="0"/>
        <w:jc w:val="left"/>
        <w:rPr>
          <w:color w:val="2C363A"/>
        </w:rPr>
      </w:pPr>
      <w:r w:rsidRPr="00662635">
        <w:rPr>
          <w:color w:val="2C363A"/>
          <w:lang w:val="en-US"/>
        </w:rPr>
        <w:t xml:space="preserve">ALTHUSIUS, Johannes. </w:t>
      </w:r>
      <w:r w:rsidRPr="00662635">
        <w:rPr>
          <w:i/>
          <w:iCs/>
          <w:color w:val="2C363A"/>
          <w:lang w:val="en-US"/>
        </w:rPr>
        <w:t>Politica.</w:t>
      </w:r>
      <w:r w:rsidRPr="00662635">
        <w:rPr>
          <w:color w:val="2C363A"/>
          <w:lang w:val="en-US"/>
        </w:rPr>
        <w:t xml:space="preserve"> The Online Library of Liberty [recurso eletrónico]. Indianapolis: A Project Of Liberty Fund, 2011. Disponível em: https://oll.libertyfund.org/titles/althusius-politica. </w:t>
      </w:r>
      <w:r w:rsidRPr="005312B0">
        <w:rPr>
          <w:color w:val="2C363A"/>
        </w:rPr>
        <w:t>Consult. 25-06-2025.</w:t>
      </w:r>
    </w:p>
    <w:p w14:paraId="5DEDD85B" w14:textId="77777777" w:rsidR="00FB0A75" w:rsidRPr="005312B0" w:rsidRDefault="00FB0A75" w:rsidP="00BE563E">
      <w:pPr>
        <w:shd w:val="clear" w:color="auto" w:fill="FFFFFF"/>
        <w:spacing w:before="100"/>
        <w:ind w:right="0"/>
        <w:jc w:val="left"/>
        <w:rPr>
          <w:color w:val="2C363A"/>
        </w:rPr>
      </w:pPr>
    </w:p>
    <w:p w14:paraId="15B13375" w14:textId="77777777" w:rsidR="00FB0A75" w:rsidRDefault="00FB0A75" w:rsidP="00FB0A75">
      <w:pPr>
        <w:shd w:val="clear" w:color="auto" w:fill="FFFFFF"/>
        <w:spacing w:before="100"/>
        <w:ind w:right="0"/>
        <w:jc w:val="left"/>
        <w:rPr>
          <w:color w:val="2C363A"/>
        </w:rPr>
      </w:pPr>
      <w:r w:rsidRPr="00FB0A75">
        <w:rPr>
          <w:color w:val="2C363A"/>
        </w:rPr>
        <w:t xml:space="preserve">ALVES, Dora Resende; BARATA, Mário Simões; CASTILHOS, Daniela Serra. </w:t>
      </w:r>
      <w:r w:rsidRPr="00FB0A75">
        <w:rPr>
          <w:i/>
          <w:iCs/>
          <w:color w:val="2C363A"/>
        </w:rPr>
        <w:t>Temas de Direito da União Europeia.</w:t>
      </w:r>
      <w:r w:rsidRPr="00FB0A75">
        <w:rPr>
          <w:color w:val="2C363A"/>
        </w:rPr>
        <w:t xml:space="preserve"> Instituto Iberoamericano de Estudos Jurídicos, 1.ª Edição, 2022, 336 páginas. ISBN: 978-989-53762-0-9.</w:t>
      </w:r>
    </w:p>
    <w:p w14:paraId="05C468D5" w14:textId="77777777" w:rsidR="00BE563E" w:rsidRPr="005312B0" w:rsidRDefault="00BE563E" w:rsidP="00BE563E">
      <w:pPr>
        <w:shd w:val="clear" w:color="auto" w:fill="FFFFFF"/>
        <w:spacing w:before="100"/>
        <w:ind w:right="0"/>
        <w:jc w:val="left"/>
        <w:rPr>
          <w:color w:val="2C363A"/>
        </w:rPr>
      </w:pPr>
    </w:p>
    <w:p w14:paraId="5AF6638E" w14:textId="77777777" w:rsidR="00BE563E" w:rsidRPr="005312B0" w:rsidRDefault="00BE563E" w:rsidP="00BE563E">
      <w:pPr>
        <w:shd w:val="clear" w:color="auto" w:fill="FFFFFF"/>
        <w:spacing w:before="100"/>
        <w:ind w:right="0"/>
        <w:jc w:val="left"/>
        <w:rPr>
          <w:color w:val="2C363A"/>
        </w:rPr>
      </w:pPr>
      <w:r w:rsidRPr="005312B0">
        <w:rPr>
          <w:color w:val="2C363A"/>
        </w:rPr>
        <w:t xml:space="preserve">ALVES, Dora Resende; SILVA, Maria Manuela Magalhães. </w:t>
      </w:r>
      <w:r w:rsidRPr="008753DB">
        <w:rPr>
          <w:i/>
          <w:iCs/>
          <w:color w:val="2C363A"/>
        </w:rPr>
        <w:t>Noções de Direito Constitucional e Ciência Política</w:t>
      </w:r>
      <w:r w:rsidRPr="005312B0">
        <w:rPr>
          <w:color w:val="2C363A"/>
        </w:rPr>
        <w:t>. 3.ª Edição, 2016, 356 páginas. ISBN: 978-989-8823-37-3.</w:t>
      </w:r>
    </w:p>
    <w:p w14:paraId="4FE7ADAF" w14:textId="77777777" w:rsidR="00FB0A75" w:rsidRPr="005312B0" w:rsidRDefault="00FB0A75" w:rsidP="00BE563E">
      <w:pPr>
        <w:shd w:val="clear" w:color="auto" w:fill="FFFFFF"/>
        <w:spacing w:before="100"/>
        <w:ind w:right="0"/>
        <w:jc w:val="left"/>
        <w:rPr>
          <w:color w:val="2C363A"/>
        </w:rPr>
      </w:pPr>
    </w:p>
    <w:p w14:paraId="3B85CAA2" w14:textId="77777777" w:rsidR="00BE563E" w:rsidRPr="00662635" w:rsidRDefault="00BE563E" w:rsidP="00BE563E">
      <w:pPr>
        <w:shd w:val="clear" w:color="auto" w:fill="FFFFFF"/>
        <w:spacing w:before="100"/>
        <w:ind w:right="0"/>
        <w:jc w:val="left"/>
        <w:rPr>
          <w:color w:val="2C363A"/>
          <w:lang w:val="en-US"/>
        </w:rPr>
      </w:pPr>
      <w:r w:rsidRPr="005312B0">
        <w:rPr>
          <w:color w:val="2C363A"/>
        </w:rPr>
        <w:t xml:space="preserve">ANICETO, Carlota; OLIVEIRA, João; SINTRA, Lara; SEABRA, Maria; REI, Raquel. </w:t>
      </w:r>
      <w:r w:rsidRPr="008753DB">
        <w:rPr>
          <w:i/>
          <w:iCs/>
          <w:color w:val="2C363A"/>
        </w:rPr>
        <w:t xml:space="preserve">O voto por maioria qualificada no âmbito da PESC: algumas considerações. </w:t>
      </w:r>
      <w:r w:rsidRPr="005312B0">
        <w:rPr>
          <w:color w:val="2C363A"/>
        </w:rPr>
        <w:t xml:space="preserve">Lisboa: EuroDefense Portugal, 2024, 20 páginas. Disponível em: https://eurodefense.pt/wp-content/uploads/2024/04/O-Voto-por-Maioria-Qualificada-no-Ambito-da-PESC.pdf. Consult. </w:t>
      </w:r>
      <w:r w:rsidRPr="00662635">
        <w:rPr>
          <w:color w:val="2C363A"/>
          <w:lang w:val="en-US"/>
        </w:rPr>
        <w:t>11-08-2025.</w:t>
      </w:r>
    </w:p>
    <w:p w14:paraId="16BB8CF5" w14:textId="77777777" w:rsidR="00BE563E" w:rsidRPr="00662635" w:rsidRDefault="00BE563E" w:rsidP="00BE563E">
      <w:pPr>
        <w:shd w:val="clear" w:color="auto" w:fill="FFFFFF"/>
        <w:spacing w:before="100"/>
        <w:ind w:right="0"/>
        <w:jc w:val="left"/>
        <w:rPr>
          <w:color w:val="2C363A"/>
          <w:lang w:val="en-US"/>
        </w:rPr>
      </w:pPr>
    </w:p>
    <w:p w14:paraId="341B6042" w14:textId="3A88F26A" w:rsidR="00BE563E" w:rsidRPr="005312B0" w:rsidRDefault="00BE563E" w:rsidP="00BE563E">
      <w:pPr>
        <w:shd w:val="clear" w:color="auto" w:fill="FFFFFF"/>
        <w:spacing w:before="100"/>
        <w:ind w:right="0"/>
        <w:jc w:val="left"/>
        <w:rPr>
          <w:color w:val="2C363A"/>
        </w:rPr>
      </w:pPr>
      <w:r w:rsidRPr="00662635">
        <w:rPr>
          <w:color w:val="2C363A"/>
          <w:lang w:val="en-US"/>
        </w:rPr>
        <w:t xml:space="preserve">BALLA, E. European citizenship in quest of a political culture: supranational by law or transnational by politics?. </w:t>
      </w:r>
      <w:r w:rsidRPr="008753DB">
        <w:rPr>
          <w:i/>
          <w:iCs/>
          <w:color w:val="2C363A"/>
        </w:rPr>
        <w:t>Revista Jurídica Portucalense</w:t>
      </w:r>
      <w:r w:rsidRPr="005312B0">
        <w:rPr>
          <w:color w:val="2C363A"/>
        </w:rPr>
        <w:t>. 2024, N.º 36, 652 páginas. Disponível em: https://doi.org/10.34625/issn.2183-2705(36)2024.ic-23. Consult. 04-07-2025.</w:t>
      </w:r>
    </w:p>
    <w:p w14:paraId="194881DF" w14:textId="77777777" w:rsidR="00BE563E" w:rsidRPr="005312B0" w:rsidRDefault="00BE563E" w:rsidP="00BE563E">
      <w:pPr>
        <w:shd w:val="clear" w:color="auto" w:fill="FFFFFF"/>
        <w:spacing w:before="100"/>
        <w:ind w:right="0"/>
        <w:jc w:val="left"/>
        <w:rPr>
          <w:color w:val="2C363A"/>
        </w:rPr>
      </w:pPr>
    </w:p>
    <w:p w14:paraId="0DAAFCD7" w14:textId="77777777" w:rsidR="00BE563E" w:rsidRPr="00662635" w:rsidRDefault="00BE563E" w:rsidP="00BE563E">
      <w:pPr>
        <w:shd w:val="clear" w:color="auto" w:fill="FFFFFF"/>
        <w:spacing w:before="100"/>
        <w:ind w:right="0"/>
        <w:jc w:val="left"/>
        <w:rPr>
          <w:color w:val="2C363A"/>
          <w:lang w:val="en-US"/>
        </w:rPr>
      </w:pPr>
      <w:r w:rsidRPr="005312B0">
        <w:rPr>
          <w:color w:val="2C363A"/>
        </w:rPr>
        <w:t xml:space="preserve">BARATA, Mário Simões. O Antifederalismo Americano como Linguagem Político-Constitucional Alternativa. </w:t>
      </w:r>
      <w:r w:rsidRPr="008753DB">
        <w:rPr>
          <w:i/>
          <w:iCs/>
          <w:color w:val="2C363A"/>
        </w:rPr>
        <w:t>Boletim da Faculdade de Direito</w:t>
      </w:r>
      <w:r w:rsidRPr="005312B0">
        <w:rPr>
          <w:color w:val="2C363A"/>
        </w:rPr>
        <w:t xml:space="preserve">. STUDIA IURIDICA 63. Coimbra: Coimbra Editora, 2002, 148 páginas. </w:t>
      </w:r>
      <w:r w:rsidRPr="00662635">
        <w:rPr>
          <w:color w:val="2C363A"/>
          <w:lang w:val="en-US"/>
        </w:rPr>
        <w:t>ISBN: 972-32-1077-0.</w:t>
      </w:r>
    </w:p>
    <w:p w14:paraId="5FF4B29A" w14:textId="77777777" w:rsidR="00225577" w:rsidRPr="00662635" w:rsidRDefault="00225577" w:rsidP="00BE563E">
      <w:pPr>
        <w:shd w:val="clear" w:color="auto" w:fill="FFFFFF"/>
        <w:spacing w:before="100"/>
        <w:ind w:right="0"/>
        <w:jc w:val="left"/>
        <w:rPr>
          <w:color w:val="2C363A"/>
          <w:lang w:val="en-US"/>
        </w:rPr>
      </w:pPr>
    </w:p>
    <w:p w14:paraId="03AD8F08" w14:textId="731653D4" w:rsidR="00225577" w:rsidRDefault="00225577" w:rsidP="00BE563E">
      <w:pPr>
        <w:shd w:val="clear" w:color="auto" w:fill="FFFFFF"/>
        <w:spacing w:before="100"/>
        <w:ind w:right="0"/>
        <w:jc w:val="left"/>
        <w:rPr>
          <w:color w:val="2C363A"/>
        </w:rPr>
      </w:pPr>
      <w:r w:rsidRPr="00662635">
        <w:rPr>
          <w:color w:val="2C363A"/>
          <w:lang w:val="en-US"/>
        </w:rPr>
        <w:t xml:space="preserve">BARATA, Mário Simões. Case C-852/19, Gavanozov II: European Investigation Order and the Right to an Effective Remedy in the CFREU. </w:t>
      </w:r>
      <w:r w:rsidRPr="00225577">
        <w:rPr>
          <w:i/>
          <w:iCs/>
          <w:color w:val="2C363A"/>
        </w:rPr>
        <w:t>Revista Jurídica Portucalense</w:t>
      </w:r>
      <w:r w:rsidRPr="00225577">
        <w:rPr>
          <w:color w:val="2C363A"/>
        </w:rPr>
        <w:t xml:space="preserve"> N.º 34. 2023, 379 páginas. Disponível em: https://revistas.rcaap.pt/juridica/article/view/32489. Consult. 03-07-2025. ISSN-e: 2183-5705</w:t>
      </w:r>
      <w:r>
        <w:rPr>
          <w:color w:val="2C363A"/>
        </w:rPr>
        <w:t>.</w:t>
      </w:r>
    </w:p>
    <w:p w14:paraId="2B2A29C9" w14:textId="77777777" w:rsidR="00225577" w:rsidRPr="00225577" w:rsidRDefault="00225577" w:rsidP="00225577">
      <w:pPr>
        <w:shd w:val="clear" w:color="auto" w:fill="FFFFFF"/>
        <w:spacing w:before="100"/>
        <w:ind w:right="0"/>
        <w:jc w:val="left"/>
        <w:rPr>
          <w:color w:val="2C363A"/>
        </w:rPr>
      </w:pPr>
    </w:p>
    <w:p w14:paraId="37F04195" w14:textId="4F5CD2A2" w:rsidR="00225577" w:rsidRDefault="00225577" w:rsidP="00225577">
      <w:pPr>
        <w:shd w:val="clear" w:color="auto" w:fill="FFFFFF"/>
        <w:spacing w:before="100"/>
        <w:ind w:right="0"/>
        <w:jc w:val="left"/>
        <w:rPr>
          <w:color w:val="2C363A"/>
        </w:rPr>
      </w:pPr>
      <w:r w:rsidRPr="00225577">
        <w:rPr>
          <w:color w:val="2C363A"/>
        </w:rPr>
        <w:t xml:space="preserve">BARATA, Mário Simões; ALVES, Dora Resende. Atualizações sobre iniciativa de Cidadania Europeia: um mecanismo de participação democrática do cidadão. [Comunicação oral na palestra] </w:t>
      </w:r>
      <w:r w:rsidRPr="00225577">
        <w:rPr>
          <w:i/>
          <w:iCs/>
          <w:color w:val="2C363A"/>
        </w:rPr>
        <w:t>Valores e Cidadania Europeia</w:t>
      </w:r>
      <w:r w:rsidRPr="00225577">
        <w:rPr>
          <w:color w:val="2C363A"/>
        </w:rPr>
        <w:t xml:space="preserve">. Lisboa, 2023. Disponível em: </w:t>
      </w:r>
      <w:hyperlink r:id="rId19" w:history="1">
        <w:r w:rsidRPr="00B42B32">
          <w:rPr>
            <w:rStyle w:val="Hiperligao"/>
          </w:rPr>
          <w:t>http://hdl.handle.net/11328/4760</w:t>
        </w:r>
      </w:hyperlink>
      <w:r>
        <w:rPr>
          <w:color w:val="2C363A"/>
        </w:rPr>
        <w:t xml:space="preserve">. </w:t>
      </w:r>
    </w:p>
    <w:p w14:paraId="23E6B25C" w14:textId="77777777" w:rsidR="00AD2C36" w:rsidRDefault="00AD2C36" w:rsidP="00225577">
      <w:pPr>
        <w:shd w:val="clear" w:color="auto" w:fill="FFFFFF"/>
        <w:spacing w:before="100"/>
        <w:ind w:right="0"/>
        <w:jc w:val="left"/>
        <w:rPr>
          <w:color w:val="2C363A"/>
        </w:rPr>
      </w:pPr>
    </w:p>
    <w:p w14:paraId="345179BE" w14:textId="257A0BEA" w:rsidR="00AD2C36" w:rsidRPr="00662635" w:rsidRDefault="00AD2C36" w:rsidP="00225577">
      <w:pPr>
        <w:shd w:val="clear" w:color="auto" w:fill="FFFFFF"/>
        <w:spacing w:before="100"/>
        <w:ind w:right="0"/>
        <w:jc w:val="left"/>
        <w:rPr>
          <w:color w:val="2C363A"/>
          <w:lang w:val="en-US"/>
        </w:rPr>
      </w:pPr>
      <w:r w:rsidRPr="00AD2C36">
        <w:rPr>
          <w:color w:val="2C363A"/>
        </w:rPr>
        <w:t xml:space="preserve">BARATA, Mário Simões; ALVES, Dora Resende. </w:t>
      </w:r>
      <w:r w:rsidRPr="00AD2C36">
        <w:rPr>
          <w:i/>
          <w:iCs/>
          <w:color w:val="2C363A"/>
        </w:rPr>
        <w:t>A União Europeia em Tempos de Crise: DIREITO E POLÍTICAS PÚBLICAS DE 2020 A 2023.</w:t>
      </w:r>
      <w:r w:rsidRPr="00AD2C36">
        <w:rPr>
          <w:color w:val="2C363A"/>
        </w:rPr>
        <w:t xml:space="preserve"> </w:t>
      </w:r>
      <w:r w:rsidRPr="00662635">
        <w:rPr>
          <w:color w:val="2C363A"/>
          <w:lang w:val="en-US"/>
        </w:rPr>
        <w:t xml:space="preserve">Coimbra: Edições Almedina S.A., 2023, </w:t>
      </w:r>
      <w:r w:rsidR="00FB0A75" w:rsidRPr="00662635">
        <w:rPr>
          <w:color w:val="2C363A"/>
          <w:lang w:val="en-US"/>
        </w:rPr>
        <w:t>423 páginas</w:t>
      </w:r>
      <w:r w:rsidRPr="00662635">
        <w:rPr>
          <w:color w:val="2C363A"/>
          <w:lang w:val="en-US"/>
        </w:rPr>
        <w:t>. ISBN: 978-989-40-1532-1.</w:t>
      </w:r>
    </w:p>
    <w:p w14:paraId="4B29AB61" w14:textId="77777777" w:rsidR="00225577" w:rsidRPr="00662635" w:rsidRDefault="00225577" w:rsidP="00225577">
      <w:pPr>
        <w:shd w:val="clear" w:color="auto" w:fill="FFFFFF"/>
        <w:spacing w:before="100"/>
        <w:ind w:right="0"/>
        <w:jc w:val="left"/>
        <w:rPr>
          <w:color w:val="2C363A"/>
          <w:lang w:val="en-US"/>
        </w:rPr>
      </w:pPr>
    </w:p>
    <w:p w14:paraId="60774D44" w14:textId="122E1329" w:rsidR="00225577" w:rsidRPr="005312B0" w:rsidRDefault="00225577" w:rsidP="00225577">
      <w:pPr>
        <w:shd w:val="clear" w:color="auto" w:fill="FFFFFF"/>
        <w:spacing w:before="100"/>
        <w:ind w:right="0"/>
        <w:jc w:val="left"/>
        <w:rPr>
          <w:color w:val="2C363A"/>
        </w:rPr>
      </w:pPr>
      <w:r w:rsidRPr="00662635">
        <w:rPr>
          <w:color w:val="2C363A"/>
          <w:lang w:val="en-US"/>
        </w:rPr>
        <w:t xml:space="preserve">BARATA, Mário Simões; LUCAS, Eugênio Pereira.Transnational impacts of the Principle of Primacy of European Union Law: Judgment nº 422/20 of the Portuguese Constitutional Court and the Politics of Constitutional Amendment. </w:t>
      </w:r>
      <w:r w:rsidRPr="00225577">
        <w:rPr>
          <w:i/>
          <w:iCs/>
          <w:color w:val="2C363A"/>
        </w:rPr>
        <w:t>Revista Jurídica Portucalense</w:t>
      </w:r>
      <w:r w:rsidRPr="00225577">
        <w:rPr>
          <w:color w:val="2C363A"/>
        </w:rPr>
        <w:t>, n.º 36. 2024, 652 páginas. ISSN-e: 2183-5705.</w:t>
      </w:r>
    </w:p>
    <w:p w14:paraId="73B279C0" w14:textId="77777777" w:rsidR="00BE563E" w:rsidRPr="005312B0" w:rsidRDefault="00BE563E" w:rsidP="00BE563E">
      <w:pPr>
        <w:shd w:val="clear" w:color="auto" w:fill="FFFFFF"/>
        <w:spacing w:before="100"/>
        <w:ind w:right="0"/>
        <w:jc w:val="left"/>
        <w:rPr>
          <w:color w:val="2C363A"/>
        </w:rPr>
      </w:pPr>
    </w:p>
    <w:p w14:paraId="20F5BD0D" w14:textId="77777777" w:rsidR="00BE563E" w:rsidRPr="00662635" w:rsidRDefault="00BE563E" w:rsidP="00BE563E">
      <w:pPr>
        <w:shd w:val="clear" w:color="auto" w:fill="FFFFFF"/>
        <w:spacing w:before="100"/>
        <w:ind w:right="0"/>
        <w:jc w:val="left"/>
        <w:rPr>
          <w:color w:val="2C363A"/>
          <w:lang w:val="en-US"/>
        </w:rPr>
      </w:pPr>
      <w:r w:rsidRPr="005312B0">
        <w:rPr>
          <w:color w:val="2C363A"/>
        </w:rPr>
        <w:t xml:space="preserve">BERTONCINI, Yves; KOENIG Nicole. </w:t>
      </w:r>
      <w:r w:rsidRPr="008753DB">
        <w:rPr>
          <w:i/>
          <w:iCs/>
          <w:color w:val="2C363A"/>
        </w:rPr>
        <w:t xml:space="preserve">EUROSCEPTICISM OR EUROPHOBIA: VOICE VS. EXIT? </w:t>
      </w:r>
      <w:r w:rsidRPr="005312B0">
        <w:rPr>
          <w:color w:val="2C363A"/>
        </w:rPr>
        <w:t xml:space="preserve">[recurso eletrónico]. Notre Europe Jacques Delors Institute. Policy Paper 121, 2014. 20 páginas. Disponível em: https://institutdelors.eu/content/uploads/2025/04/euroscepticismoreurophobia-bertoncini-koenig-ne-jdi-nov14-1.pdf. Consult. </w:t>
      </w:r>
      <w:r w:rsidRPr="00662635">
        <w:rPr>
          <w:color w:val="2C363A"/>
          <w:lang w:val="en-US"/>
        </w:rPr>
        <w:t>28-12-2025.</w:t>
      </w:r>
    </w:p>
    <w:p w14:paraId="0E6270C5" w14:textId="77777777" w:rsidR="00BE563E" w:rsidRPr="00662635" w:rsidRDefault="00BE563E" w:rsidP="00BE563E">
      <w:pPr>
        <w:shd w:val="clear" w:color="auto" w:fill="FFFFFF"/>
        <w:spacing w:before="100"/>
        <w:ind w:right="0"/>
        <w:jc w:val="left"/>
        <w:rPr>
          <w:color w:val="2C363A"/>
          <w:lang w:val="en-US"/>
        </w:rPr>
      </w:pPr>
    </w:p>
    <w:p w14:paraId="718CEF42" w14:textId="77777777" w:rsidR="00BE563E" w:rsidRDefault="00BE563E" w:rsidP="00BE563E">
      <w:pPr>
        <w:shd w:val="clear" w:color="auto" w:fill="FFFFFF"/>
        <w:spacing w:before="100"/>
        <w:ind w:right="0"/>
        <w:jc w:val="left"/>
        <w:rPr>
          <w:color w:val="2C363A"/>
        </w:rPr>
      </w:pPr>
      <w:r w:rsidRPr="00662635">
        <w:rPr>
          <w:color w:val="2C363A"/>
          <w:lang w:val="en-US"/>
        </w:rPr>
        <w:t xml:space="preserve">BLACK, Ian. </w:t>
      </w:r>
      <w:r w:rsidRPr="00662635">
        <w:rPr>
          <w:i/>
          <w:iCs/>
          <w:color w:val="2C363A"/>
          <w:lang w:val="en-US"/>
        </w:rPr>
        <w:t>Christianity Bedevils Talks on EU Treaty</w:t>
      </w:r>
      <w:r w:rsidRPr="00662635">
        <w:rPr>
          <w:color w:val="2C363A"/>
          <w:lang w:val="en-US"/>
        </w:rPr>
        <w:t xml:space="preserve"> [online]. The Guardian. </w:t>
      </w:r>
      <w:r w:rsidRPr="005312B0">
        <w:rPr>
          <w:color w:val="2C363A"/>
        </w:rPr>
        <w:t>Disponível em: https://www.theguardian.com/world/2004/may/25/eu.religion. Consult. 27/01/2023.</w:t>
      </w:r>
    </w:p>
    <w:p w14:paraId="32AAC308" w14:textId="77777777" w:rsidR="00225577" w:rsidRDefault="00225577" w:rsidP="00BE563E">
      <w:pPr>
        <w:shd w:val="clear" w:color="auto" w:fill="FFFFFF"/>
        <w:spacing w:before="100"/>
        <w:ind w:right="0"/>
        <w:jc w:val="left"/>
        <w:rPr>
          <w:color w:val="2C363A"/>
        </w:rPr>
      </w:pPr>
    </w:p>
    <w:p w14:paraId="7433A620" w14:textId="407A8625" w:rsidR="00225577" w:rsidRPr="00662635" w:rsidRDefault="00225577" w:rsidP="00225577">
      <w:pPr>
        <w:shd w:val="clear" w:color="auto" w:fill="FFFFFF"/>
        <w:spacing w:before="100"/>
        <w:ind w:right="0"/>
        <w:jc w:val="left"/>
        <w:rPr>
          <w:color w:val="2C363A"/>
          <w:lang w:val="en-US"/>
        </w:rPr>
      </w:pPr>
      <w:r w:rsidRPr="00225577">
        <w:rPr>
          <w:color w:val="2C363A"/>
        </w:rPr>
        <w:t xml:space="preserve">BOTELHO, Catarina Santos. </w:t>
      </w:r>
      <w:r w:rsidRPr="00225577">
        <w:rPr>
          <w:i/>
          <w:iCs/>
          <w:color w:val="2C363A"/>
        </w:rPr>
        <w:t xml:space="preserve">Aspirações Constitucionais e Força Normativa da Constituição – Requiem pelo «Conceito Ocidental de Constituição»? </w:t>
      </w:r>
      <w:r w:rsidRPr="00662635">
        <w:rPr>
          <w:i/>
          <w:iCs/>
          <w:color w:val="2C363A"/>
          <w:lang w:val="en-US"/>
        </w:rPr>
        <w:t>(Constitutional Aspirations and Normative Force of the Constitution - Requiem for the 'Western Concept</w:t>
      </w:r>
      <w:r w:rsidR="004E1267" w:rsidRPr="00662635">
        <w:rPr>
          <w:i/>
          <w:iCs/>
          <w:color w:val="2C363A"/>
          <w:lang w:val="en-US"/>
        </w:rPr>
        <w:t xml:space="preserve"> </w:t>
      </w:r>
      <w:r w:rsidRPr="00662635">
        <w:rPr>
          <w:i/>
          <w:iCs/>
          <w:color w:val="2C363A"/>
          <w:lang w:val="en-US"/>
        </w:rPr>
        <w:t>of Constitution'?).</w:t>
      </w:r>
      <w:r w:rsidRPr="00662635">
        <w:rPr>
          <w:color w:val="2C363A"/>
          <w:lang w:val="en-US"/>
        </w:rPr>
        <w:t xml:space="preserve"> </w:t>
      </w:r>
      <w:r w:rsidRPr="00225577">
        <w:rPr>
          <w:color w:val="2C363A"/>
        </w:rPr>
        <w:t>SSRN. 2017, 26 páginas. Disponível em:</w:t>
      </w:r>
      <w:r w:rsidR="004E1267">
        <w:rPr>
          <w:color w:val="2C363A"/>
        </w:rPr>
        <w:t xml:space="preserve"> </w:t>
      </w:r>
      <w:r w:rsidRPr="00225577">
        <w:rPr>
          <w:color w:val="2C363A"/>
        </w:rPr>
        <w:t xml:space="preserve">https://papers.ssrn.com/sol3/papers.cfm?abstract_id=2913580. </w:t>
      </w:r>
      <w:r w:rsidRPr="00662635">
        <w:rPr>
          <w:color w:val="2C363A"/>
          <w:lang w:val="en-US"/>
        </w:rPr>
        <w:t>Consult. 19-07-2025.</w:t>
      </w:r>
    </w:p>
    <w:p w14:paraId="4D25A8A8" w14:textId="77777777" w:rsidR="00225577" w:rsidRPr="00662635" w:rsidRDefault="00225577" w:rsidP="00225577">
      <w:pPr>
        <w:shd w:val="clear" w:color="auto" w:fill="FFFFFF"/>
        <w:spacing w:before="100"/>
        <w:ind w:right="0"/>
        <w:jc w:val="left"/>
        <w:rPr>
          <w:color w:val="2C363A"/>
          <w:lang w:val="en-US"/>
        </w:rPr>
      </w:pPr>
    </w:p>
    <w:p w14:paraId="5B01F479" w14:textId="198CDB21" w:rsidR="00225577" w:rsidRDefault="00225577" w:rsidP="00225577">
      <w:pPr>
        <w:shd w:val="clear" w:color="auto" w:fill="FFFFFF"/>
        <w:spacing w:before="100"/>
        <w:ind w:right="0"/>
        <w:jc w:val="left"/>
        <w:rPr>
          <w:color w:val="2C363A"/>
        </w:rPr>
      </w:pPr>
      <w:r w:rsidRPr="00662635">
        <w:rPr>
          <w:color w:val="2C363A"/>
          <w:lang w:val="en-US"/>
        </w:rPr>
        <w:t xml:space="preserve">BOTELHO, Catarina Santos. Transnational Constitutional Law. </w:t>
      </w:r>
      <w:r w:rsidRPr="00662635">
        <w:rPr>
          <w:i/>
          <w:iCs/>
          <w:color w:val="2C363A"/>
          <w:lang w:val="en-US"/>
        </w:rPr>
        <w:t>Max Planck Encyclopedia of Comparative Constitutional Law</w:t>
      </w:r>
      <w:r w:rsidRPr="00662635">
        <w:rPr>
          <w:color w:val="2C363A"/>
          <w:lang w:val="en-US"/>
        </w:rPr>
        <w:t xml:space="preserve">. </w:t>
      </w:r>
      <w:r w:rsidRPr="00225577">
        <w:rPr>
          <w:color w:val="2C363A"/>
        </w:rPr>
        <w:t>Oxford University Press, 2020, 22 páginas. Disponível em: https://papers.ssrn.com/sol3/papers.cfm?abstract_id=3666230. Consult. 25-06-2025.</w:t>
      </w:r>
    </w:p>
    <w:p w14:paraId="38983D57" w14:textId="77777777" w:rsidR="004E1267" w:rsidRDefault="004E1267" w:rsidP="00225577">
      <w:pPr>
        <w:shd w:val="clear" w:color="auto" w:fill="FFFFFF"/>
        <w:spacing w:before="100"/>
        <w:ind w:right="0"/>
        <w:jc w:val="left"/>
        <w:rPr>
          <w:color w:val="2C363A"/>
        </w:rPr>
      </w:pPr>
    </w:p>
    <w:p w14:paraId="46C3B1EF" w14:textId="18E9B944" w:rsidR="00BE563E" w:rsidRDefault="008E52BB" w:rsidP="00BE563E">
      <w:pPr>
        <w:shd w:val="clear" w:color="auto" w:fill="FFFFFF"/>
        <w:spacing w:before="100"/>
        <w:ind w:right="0"/>
        <w:jc w:val="left"/>
        <w:rPr>
          <w:color w:val="2C363A"/>
        </w:rPr>
      </w:pPr>
      <w:r w:rsidRPr="008E52BB">
        <w:rPr>
          <w:color w:val="2C363A"/>
        </w:rPr>
        <w:t xml:space="preserve">ALMEIDA, Lilian Barros de Oliveira Almeida (autora); BOTELHO, C., TERRINHA, L. H., COUTINHO, P. (eds.). </w:t>
      </w:r>
      <w:r w:rsidRPr="00662635">
        <w:rPr>
          <w:color w:val="2C363A"/>
          <w:lang w:val="en-US"/>
        </w:rPr>
        <w:t xml:space="preserve">Constitutionalism beyond the State and the question of the limitation of power. </w:t>
      </w:r>
      <w:r w:rsidRPr="008E52BB">
        <w:rPr>
          <w:color w:val="2C363A"/>
        </w:rPr>
        <w:t xml:space="preserve">In: </w:t>
      </w:r>
      <w:r w:rsidRPr="005F697A">
        <w:rPr>
          <w:i/>
          <w:iCs/>
          <w:color w:val="2C363A"/>
        </w:rPr>
        <w:t>Constitutionalism in a Plural World</w:t>
      </w:r>
      <w:r w:rsidRPr="008E52BB">
        <w:rPr>
          <w:color w:val="2C363A"/>
        </w:rPr>
        <w:t xml:space="preserve"> (online). Porto: Universidade Católica Editora, 2018, </w:t>
      </w:r>
      <w:r>
        <w:rPr>
          <w:color w:val="2C363A"/>
        </w:rPr>
        <w:t>269 páginas</w:t>
      </w:r>
      <w:r w:rsidRPr="008E52BB">
        <w:rPr>
          <w:color w:val="2C363A"/>
        </w:rPr>
        <w:t>. Disponível em: https://repositorio.ucp.pt/entities/publication/f14ccaad-46c3-4e04-ae27-691f7242a02b. Consult. 18-07-2025. ISBN: 978-989-8835-49-9.</w:t>
      </w:r>
    </w:p>
    <w:p w14:paraId="0731203E" w14:textId="77777777" w:rsidR="008E52BB" w:rsidRPr="005312B0" w:rsidRDefault="008E52BB" w:rsidP="00BE563E">
      <w:pPr>
        <w:shd w:val="clear" w:color="auto" w:fill="FFFFFF"/>
        <w:spacing w:before="100"/>
        <w:ind w:right="0"/>
        <w:jc w:val="left"/>
        <w:rPr>
          <w:color w:val="2C363A"/>
        </w:rPr>
      </w:pPr>
    </w:p>
    <w:p w14:paraId="5C8DFA82" w14:textId="77777777" w:rsidR="00BE563E" w:rsidRPr="005312B0" w:rsidRDefault="00BE563E" w:rsidP="00BE563E">
      <w:pPr>
        <w:shd w:val="clear" w:color="auto" w:fill="FFFFFF"/>
        <w:spacing w:before="100"/>
        <w:ind w:right="0"/>
        <w:jc w:val="left"/>
        <w:rPr>
          <w:color w:val="2C363A"/>
        </w:rPr>
      </w:pPr>
      <w:r w:rsidRPr="005312B0">
        <w:rPr>
          <w:color w:val="2C363A"/>
        </w:rPr>
        <w:t xml:space="preserve">BUNDESVERFASSUNGSGERICHT. </w:t>
      </w:r>
      <w:r w:rsidRPr="008753DB">
        <w:rPr>
          <w:i/>
          <w:iCs/>
          <w:color w:val="2C363A"/>
        </w:rPr>
        <w:t>Acórdão “Solange I” (BVerfGE 37, 271), decisão de 29 de maio de 1974 (2 BvL 52/71)</w:t>
      </w:r>
      <w:r w:rsidRPr="005312B0">
        <w:rPr>
          <w:color w:val="2C363A"/>
        </w:rPr>
        <w:t xml:space="preserve"> [recurso electrónico]. Bundesverfassungsgericht. Berlim. Bundesverfassungsgericht,1974. Disponível em: https://www.bundesverfassungsgericht.de/SharedDocs/Entscheidungen/EN/1974/ls19740529_2bvl005271en.html. Consult. 13-07-2025.</w:t>
      </w:r>
    </w:p>
    <w:p w14:paraId="4DD04184" w14:textId="77777777" w:rsidR="00BE563E" w:rsidRPr="005312B0" w:rsidRDefault="00BE563E" w:rsidP="00BE563E">
      <w:pPr>
        <w:shd w:val="clear" w:color="auto" w:fill="FFFFFF"/>
        <w:spacing w:before="100"/>
        <w:ind w:right="0"/>
        <w:jc w:val="left"/>
        <w:rPr>
          <w:color w:val="2C363A"/>
        </w:rPr>
      </w:pPr>
    </w:p>
    <w:p w14:paraId="496E3B32" w14:textId="77777777" w:rsidR="00BE563E" w:rsidRPr="005312B0" w:rsidRDefault="00BE563E" w:rsidP="00BE563E">
      <w:pPr>
        <w:shd w:val="clear" w:color="auto" w:fill="FFFFFF"/>
        <w:spacing w:before="100"/>
        <w:ind w:right="0"/>
        <w:jc w:val="left"/>
        <w:rPr>
          <w:color w:val="2C363A"/>
        </w:rPr>
      </w:pPr>
      <w:r w:rsidRPr="005312B0">
        <w:rPr>
          <w:color w:val="2C363A"/>
        </w:rPr>
        <w:t xml:space="preserve">CALLEJÓN, Francisco Balaguer. A relação dialética entre identidade constitucional nacional e europeia, no quadro do Direito Constitucional Europeu. </w:t>
      </w:r>
      <w:r w:rsidRPr="008753DB">
        <w:rPr>
          <w:i/>
          <w:iCs/>
          <w:color w:val="2C363A"/>
        </w:rPr>
        <w:t>UNIO - EU Law Journal.</w:t>
      </w:r>
      <w:r w:rsidRPr="005312B0">
        <w:rPr>
          <w:color w:val="2C363A"/>
        </w:rPr>
        <w:t xml:space="preserve"> Vol. 3, N.º 1, 2017, 150 páginas. ISSN: 2183-3435.</w:t>
      </w:r>
    </w:p>
    <w:p w14:paraId="24E1C9A1" w14:textId="77777777" w:rsidR="00BE563E" w:rsidRPr="005312B0" w:rsidRDefault="00BE563E" w:rsidP="00BE563E">
      <w:pPr>
        <w:shd w:val="clear" w:color="auto" w:fill="FFFFFF"/>
        <w:spacing w:before="100"/>
        <w:ind w:right="0"/>
        <w:jc w:val="left"/>
        <w:rPr>
          <w:color w:val="2C363A"/>
        </w:rPr>
      </w:pPr>
    </w:p>
    <w:p w14:paraId="0500DE83" w14:textId="77777777" w:rsidR="00BE563E" w:rsidRPr="005312B0" w:rsidRDefault="00BE563E" w:rsidP="00BE563E">
      <w:pPr>
        <w:shd w:val="clear" w:color="auto" w:fill="FFFFFF"/>
        <w:spacing w:before="100"/>
        <w:ind w:right="0"/>
        <w:jc w:val="left"/>
        <w:rPr>
          <w:color w:val="2C363A"/>
        </w:rPr>
      </w:pPr>
      <w:r w:rsidRPr="005312B0">
        <w:rPr>
          <w:color w:val="2C363A"/>
        </w:rPr>
        <w:t xml:space="preserve">CAMPOS, João Mota de. </w:t>
      </w:r>
      <w:r w:rsidRPr="008753DB">
        <w:rPr>
          <w:i/>
          <w:iCs/>
          <w:color w:val="2C363A"/>
        </w:rPr>
        <w:t>Manual de direito europeu: o sistema institucional: a ordem jurídica: o ordenamento económico da União Europeia</w:t>
      </w:r>
      <w:r w:rsidRPr="005312B0">
        <w:rPr>
          <w:color w:val="2C363A"/>
        </w:rPr>
        <w:t>. 6.ª ed. Coimbra: Coimbra Editora, 2010, 774 páginas. ISBN: 978-972-32-1812-1.</w:t>
      </w:r>
    </w:p>
    <w:p w14:paraId="0D6503D6" w14:textId="77777777" w:rsidR="00BE563E" w:rsidRPr="005312B0" w:rsidRDefault="00BE563E" w:rsidP="00BE563E">
      <w:pPr>
        <w:shd w:val="clear" w:color="auto" w:fill="FFFFFF"/>
        <w:spacing w:before="100"/>
        <w:ind w:right="0"/>
        <w:jc w:val="left"/>
        <w:rPr>
          <w:color w:val="2C363A"/>
        </w:rPr>
      </w:pPr>
    </w:p>
    <w:p w14:paraId="7750DDB7" w14:textId="77777777" w:rsidR="00BE563E" w:rsidRDefault="00BE563E" w:rsidP="00BE563E">
      <w:pPr>
        <w:shd w:val="clear" w:color="auto" w:fill="FFFFFF"/>
        <w:spacing w:before="100"/>
        <w:ind w:right="0"/>
        <w:jc w:val="left"/>
        <w:rPr>
          <w:color w:val="2C363A"/>
        </w:rPr>
      </w:pPr>
      <w:r w:rsidRPr="005312B0">
        <w:rPr>
          <w:color w:val="2C363A"/>
        </w:rPr>
        <w:t xml:space="preserve">CANOTILHO, J. J. Gomes. </w:t>
      </w:r>
      <w:r w:rsidRPr="008753DB">
        <w:rPr>
          <w:i/>
          <w:iCs/>
          <w:color w:val="2C363A"/>
        </w:rPr>
        <w:t>Direito Constitucional e Teoria da Constituição</w:t>
      </w:r>
      <w:r w:rsidRPr="005312B0">
        <w:rPr>
          <w:color w:val="2C363A"/>
        </w:rPr>
        <w:t>. 2.ª ed. Lisboa: Almedina, 1998, 1352 páginas. ISBN: 972-40-1102-X.</w:t>
      </w:r>
    </w:p>
    <w:p w14:paraId="413056FC" w14:textId="77777777" w:rsidR="00E75349" w:rsidRPr="00E75349" w:rsidRDefault="00E75349" w:rsidP="00E75349">
      <w:pPr>
        <w:shd w:val="clear" w:color="auto" w:fill="FFFFFF"/>
        <w:spacing w:before="100"/>
        <w:ind w:right="0"/>
        <w:jc w:val="left"/>
        <w:rPr>
          <w:color w:val="2C363A"/>
        </w:rPr>
      </w:pPr>
    </w:p>
    <w:p w14:paraId="26D4622E" w14:textId="7CA9203F" w:rsidR="00E75349" w:rsidRPr="00662635" w:rsidRDefault="00F17378" w:rsidP="00E75349">
      <w:pPr>
        <w:shd w:val="clear" w:color="auto" w:fill="FFFFFF"/>
        <w:spacing w:before="100"/>
        <w:ind w:right="0"/>
        <w:jc w:val="left"/>
        <w:rPr>
          <w:color w:val="2C363A"/>
          <w:lang w:val="en-US"/>
        </w:rPr>
      </w:pPr>
      <w:r w:rsidRPr="00E75349">
        <w:rPr>
          <w:color w:val="2C363A"/>
        </w:rPr>
        <w:t>COMISSÃO EUROPEIA</w:t>
      </w:r>
      <w:r w:rsidR="00E75349" w:rsidRPr="00E75349">
        <w:rPr>
          <w:color w:val="2C363A"/>
        </w:rPr>
        <w:t xml:space="preserve">. </w:t>
      </w:r>
      <w:r w:rsidR="00E75349" w:rsidRPr="00E75349">
        <w:rPr>
          <w:i/>
          <w:iCs/>
          <w:color w:val="2C363A"/>
        </w:rPr>
        <w:t xml:space="preserve">A União Europeia. </w:t>
      </w:r>
      <w:r w:rsidR="00E75349" w:rsidRPr="00E75349">
        <w:rPr>
          <w:color w:val="2C363A"/>
        </w:rPr>
        <w:t xml:space="preserve">União Europeia. Disponível em: https://portugal.representation.ec.europa.eu/quem-somos/uniao-europeia_pt. </w:t>
      </w:r>
      <w:r w:rsidR="00E75349" w:rsidRPr="00662635">
        <w:rPr>
          <w:color w:val="2C363A"/>
          <w:lang w:val="en-US"/>
        </w:rPr>
        <w:t>Consult. 12-12-2025.</w:t>
      </w:r>
    </w:p>
    <w:p w14:paraId="74569F6D" w14:textId="77777777" w:rsidR="00BE563E" w:rsidRPr="00662635" w:rsidRDefault="00BE563E" w:rsidP="00BE563E">
      <w:pPr>
        <w:shd w:val="clear" w:color="auto" w:fill="FFFFFF"/>
        <w:spacing w:before="100"/>
        <w:ind w:right="0"/>
        <w:jc w:val="left"/>
        <w:rPr>
          <w:color w:val="2C363A"/>
          <w:lang w:val="en-US"/>
        </w:rPr>
      </w:pPr>
    </w:p>
    <w:p w14:paraId="3A2F12CE" w14:textId="77777777" w:rsidR="00BE563E" w:rsidRPr="00662635" w:rsidRDefault="00BE563E" w:rsidP="00BE563E">
      <w:pPr>
        <w:shd w:val="clear" w:color="auto" w:fill="FFFFFF"/>
        <w:spacing w:before="100"/>
        <w:ind w:right="0"/>
        <w:jc w:val="left"/>
        <w:rPr>
          <w:color w:val="2C363A"/>
          <w:lang w:val="en-US"/>
        </w:rPr>
      </w:pPr>
      <w:r w:rsidRPr="00662635">
        <w:rPr>
          <w:color w:val="2C363A"/>
          <w:lang w:val="en-US"/>
        </w:rPr>
        <w:t xml:space="preserve">COMISSÃO EUROPEIA. </w:t>
      </w:r>
      <w:r w:rsidRPr="00662635">
        <w:rPr>
          <w:i/>
          <w:iCs/>
          <w:color w:val="2C363A"/>
          <w:lang w:val="en-US"/>
        </w:rPr>
        <w:t>Presidency Conclusions European Council meeting in Laeken 14 and 15 december 2001.</w:t>
      </w:r>
      <w:r w:rsidRPr="00662635">
        <w:rPr>
          <w:color w:val="2C363A"/>
          <w:lang w:val="en-US"/>
        </w:rPr>
        <w:t xml:space="preserve"> </w:t>
      </w:r>
      <w:r w:rsidRPr="005312B0">
        <w:rPr>
          <w:color w:val="2C363A"/>
        </w:rPr>
        <w:t xml:space="preserve">Comissão Europeia. Disponível em: https://ec.europa.eu/commission/presscorner/detail/en/DOC_01_18. </w:t>
      </w:r>
      <w:r w:rsidRPr="00662635">
        <w:rPr>
          <w:color w:val="2C363A"/>
          <w:lang w:val="en-US"/>
        </w:rPr>
        <w:t>Consult. 23/01/2023.</w:t>
      </w:r>
    </w:p>
    <w:p w14:paraId="3AF14C91" w14:textId="77777777" w:rsidR="00BE563E" w:rsidRPr="00662635" w:rsidRDefault="00BE563E" w:rsidP="00BE563E">
      <w:pPr>
        <w:shd w:val="clear" w:color="auto" w:fill="FFFFFF"/>
        <w:spacing w:before="100"/>
        <w:ind w:right="0"/>
        <w:jc w:val="left"/>
        <w:rPr>
          <w:color w:val="2C363A"/>
          <w:lang w:val="en-US"/>
        </w:rPr>
      </w:pPr>
    </w:p>
    <w:p w14:paraId="56132773" w14:textId="77777777" w:rsidR="00BE563E" w:rsidRPr="005312B0" w:rsidRDefault="00BE563E" w:rsidP="00BE563E">
      <w:pPr>
        <w:shd w:val="clear" w:color="auto" w:fill="FFFFFF"/>
        <w:spacing w:before="100"/>
        <w:ind w:right="0"/>
        <w:jc w:val="left"/>
        <w:rPr>
          <w:color w:val="2C363A"/>
        </w:rPr>
      </w:pPr>
      <w:r w:rsidRPr="00662635">
        <w:rPr>
          <w:color w:val="2C363A"/>
          <w:lang w:val="en-US"/>
        </w:rPr>
        <w:t xml:space="preserve">COMISSÃO EUROPEIA. </w:t>
      </w:r>
      <w:r w:rsidRPr="00662635">
        <w:rPr>
          <w:i/>
          <w:iCs/>
          <w:color w:val="2C363A"/>
          <w:lang w:val="en-US"/>
        </w:rPr>
        <w:t>Romano Prodi President of the European Commission Planning our work until the end of the term and the Convention Conference of Presidents of the European Parliament Strasbourg, 13 May 2002.</w:t>
      </w:r>
      <w:r w:rsidRPr="00662635">
        <w:rPr>
          <w:color w:val="2C363A"/>
          <w:lang w:val="en-US"/>
        </w:rPr>
        <w:t xml:space="preserve"> </w:t>
      </w:r>
      <w:r w:rsidRPr="005312B0">
        <w:rPr>
          <w:color w:val="2C363A"/>
        </w:rPr>
        <w:t>Comissão Europeia. Disponível em: https://ec.europa.eu/commission/presscorner/detail/en/SPEECH_03_242. Consult. 27/01/2023.</w:t>
      </w:r>
    </w:p>
    <w:p w14:paraId="37DD3946" w14:textId="77777777" w:rsidR="00BE563E" w:rsidRPr="005312B0" w:rsidRDefault="00BE563E" w:rsidP="00BE563E">
      <w:pPr>
        <w:shd w:val="clear" w:color="auto" w:fill="FFFFFF"/>
        <w:spacing w:before="100"/>
        <w:ind w:right="0"/>
        <w:jc w:val="left"/>
        <w:rPr>
          <w:color w:val="2C363A"/>
        </w:rPr>
      </w:pPr>
    </w:p>
    <w:p w14:paraId="3CEB0BBF" w14:textId="77777777" w:rsidR="00BE563E" w:rsidRPr="005312B0" w:rsidRDefault="00BE563E" w:rsidP="00BE563E">
      <w:pPr>
        <w:shd w:val="clear" w:color="auto" w:fill="FFFFFF"/>
        <w:spacing w:before="100"/>
        <w:ind w:right="0"/>
        <w:jc w:val="left"/>
        <w:rPr>
          <w:color w:val="2C363A"/>
        </w:rPr>
      </w:pPr>
      <w:r w:rsidRPr="005312B0">
        <w:rPr>
          <w:color w:val="2C363A"/>
        </w:rPr>
        <w:t xml:space="preserve">COMISSÃO EUROPEIA. </w:t>
      </w:r>
      <w:r w:rsidRPr="008753DB">
        <w:rPr>
          <w:i/>
          <w:iCs/>
          <w:color w:val="2C363A"/>
        </w:rPr>
        <w:t>European Health Insurance Card</w:t>
      </w:r>
      <w:r w:rsidRPr="005312B0">
        <w:rPr>
          <w:color w:val="2C363A"/>
        </w:rPr>
        <w:t>. União Europeia. Disponível em: https://employment-social-affairs.ec.europa.eu/policies-and-activities/moving-working-europe/eu-social-security-coordination/european-health-insurance-card_en. Consult. 13-12-2025.</w:t>
      </w:r>
    </w:p>
    <w:p w14:paraId="2EFE3AD1" w14:textId="39BD7CE8" w:rsidR="00BE563E" w:rsidRPr="005312B0" w:rsidRDefault="00BE563E" w:rsidP="00BE563E">
      <w:pPr>
        <w:shd w:val="clear" w:color="auto" w:fill="FFFFFF"/>
        <w:spacing w:before="100"/>
        <w:ind w:right="0"/>
        <w:jc w:val="left"/>
        <w:rPr>
          <w:color w:val="2C363A"/>
        </w:rPr>
      </w:pPr>
      <w:r w:rsidRPr="005312B0">
        <w:rPr>
          <w:rFonts w:ascii="Arial" w:hAnsi="Arial" w:cs="Arial"/>
          <w:color w:val="2C363A"/>
        </w:rPr>
        <w:t>​</w:t>
      </w:r>
    </w:p>
    <w:p w14:paraId="6A232F87" w14:textId="77777777" w:rsidR="00BE563E" w:rsidRPr="005312B0" w:rsidRDefault="00BE563E" w:rsidP="00BE563E">
      <w:pPr>
        <w:shd w:val="clear" w:color="auto" w:fill="FFFFFF"/>
        <w:spacing w:before="100"/>
        <w:ind w:right="0"/>
        <w:jc w:val="left"/>
        <w:rPr>
          <w:color w:val="2C363A"/>
        </w:rPr>
      </w:pPr>
      <w:r w:rsidRPr="005312B0">
        <w:rPr>
          <w:color w:val="2C363A"/>
        </w:rPr>
        <w:t>CONFERÊNCIA SOBRE O FUTURO DA EUROPA</w:t>
      </w:r>
      <w:r w:rsidRPr="008753DB">
        <w:rPr>
          <w:i/>
          <w:iCs/>
          <w:color w:val="2C363A"/>
        </w:rPr>
        <w:t>. Conference on the Future of Europe: report on the final outcome</w:t>
      </w:r>
      <w:r w:rsidRPr="005312B0">
        <w:rPr>
          <w:color w:val="2C363A"/>
        </w:rPr>
        <w:t xml:space="preserve"> [recurso eletrónico]. Luxemburgo: Serviço das Publicações da União Europeia, 2022, . Disponível em: https://www.europarl.europa.eu/resources/library/media/20220509RES29121/20220509RES29121.pdf. Consult. 09-07-2025.</w:t>
      </w:r>
    </w:p>
    <w:p w14:paraId="62E33272" w14:textId="77777777" w:rsidR="00BE563E" w:rsidRPr="005312B0" w:rsidRDefault="00BE563E" w:rsidP="00BE563E">
      <w:pPr>
        <w:shd w:val="clear" w:color="auto" w:fill="FFFFFF"/>
        <w:spacing w:before="100"/>
        <w:ind w:right="0"/>
        <w:jc w:val="left"/>
        <w:rPr>
          <w:color w:val="2C363A"/>
        </w:rPr>
      </w:pPr>
    </w:p>
    <w:p w14:paraId="4113288A" w14:textId="77777777" w:rsidR="00BE563E" w:rsidRPr="005312B0" w:rsidRDefault="00BE563E" w:rsidP="00BE563E">
      <w:pPr>
        <w:shd w:val="clear" w:color="auto" w:fill="FFFFFF"/>
        <w:spacing w:before="100"/>
        <w:ind w:right="0"/>
        <w:jc w:val="left"/>
        <w:rPr>
          <w:color w:val="2C363A"/>
        </w:rPr>
      </w:pPr>
      <w:r w:rsidRPr="005312B0">
        <w:rPr>
          <w:color w:val="2C363A"/>
        </w:rPr>
        <w:t xml:space="preserve">CONSELHO DA UNIÃO EUROPEIA (2024 – 01- 30). </w:t>
      </w:r>
      <w:r w:rsidRPr="008753DB">
        <w:rPr>
          <w:i/>
          <w:iCs/>
          <w:color w:val="2C363A"/>
        </w:rPr>
        <w:t xml:space="preserve">A resposta da UE à pandemia de COVID-19 Uma panorâmica das principais medidas tomadas a nível da UE para coordenar a resposta ao surto de COVID-19, atenuar o impacto socioeconómico da pandemia e apoiar a recuperação dos países da UE. </w:t>
      </w:r>
      <w:r w:rsidRPr="005312B0">
        <w:rPr>
          <w:color w:val="2C363A"/>
        </w:rPr>
        <w:t>Conselho da União Europeia. Disponível em: https://www.consilium.europa.eu/pt/policies/coronavirus-pandemic/. Consult. 02-09-2025.</w:t>
      </w:r>
    </w:p>
    <w:p w14:paraId="170709E8" w14:textId="77777777" w:rsidR="00BE563E" w:rsidRPr="005312B0" w:rsidRDefault="00BE563E" w:rsidP="00BE563E">
      <w:pPr>
        <w:shd w:val="clear" w:color="auto" w:fill="FFFFFF"/>
        <w:spacing w:before="100"/>
        <w:ind w:right="0"/>
        <w:jc w:val="left"/>
        <w:rPr>
          <w:color w:val="2C363A"/>
        </w:rPr>
      </w:pPr>
    </w:p>
    <w:p w14:paraId="0413BF9C" w14:textId="77777777" w:rsidR="00BE563E" w:rsidRPr="005312B0" w:rsidRDefault="00BE563E" w:rsidP="00BE563E">
      <w:pPr>
        <w:shd w:val="clear" w:color="auto" w:fill="FFFFFF"/>
        <w:spacing w:before="100"/>
        <w:ind w:right="0"/>
        <w:jc w:val="left"/>
        <w:rPr>
          <w:color w:val="2C363A"/>
        </w:rPr>
      </w:pPr>
      <w:r w:rsidRPr="005312B0">
        <w:rPr>
          <w:color w:val="2C363A"/>
        </w:rPr>
        <w:t xml:space="preserve">COUTINHO, Francisco Pereira. </w:t>
      </w:r>
      <w:r w:rsidRPr="008753DB">
        <w:rPr>
          <w:i/>
          <w:iCs/>
          <w:color w:val="2C363A"/>
        </w:rPr>
        <w:t>Os Tribunais Nacionais na Ordem Jurídica da União Europeia: O Caso Português</w:t>
      </w:r>
      <w:r w:rsidRPr="005312B0">
        <w:rPr>
          <w:color w:val="2C363A"/>
        </w:rPr>
        <w:t>. 1.ª Edição. Coimbra: Coimbra Editora, 2013, 508 páginas. ISBN: 978-972-32-2148-0.</w:t>
      </w:r>
    </w:p>
    <w:p w14:paraId="04AA6B3D" w14:textId="77777777" w:rsidR="00BE563E" w:rsidRPr="005312B0" w:rsidRDefault="00BE563E" w:rsidP="00BE563E">
      <w:pPr>
        <w:shd w:val="clear" w:color="auto" w:fill="FFFFFF"/>
        <w:spacing w:before="100"/>
        <w:ind w:right="0"/>
        <w:jc w:val="left"/>
        <w:rPr>
          <w:color w:val="2C363A"/>
        </w:rPr>
      </w:pPr>
    </w:p>
    <w:p w14:paraId="18E0B30B" w14:textId="77777777" w:rsidR="00BE563E" w:rsidRPr="005312B0" w:rsidRDefault="00BE563E" w:rsidP="00BE563E">
      <w:pPr>
        <w:shd w:val="clear" w:color="auto" w:fill="FFFFFF"/>
        <w:spacing w:before="100"/>
        <w:ind w:right="0"/>
        <w:jc w:val="left"/>
        <w:rPr>
          <w:color w:val="2C363A"/>
        </w:rPr>
      </w:pPr>
      <w:r w:rsidRPr="005312B0">
        <w:rPr>
          <w:color w:val="2C363A"/>
        </w:rPr>
        <w:t xml:space="preserve">COUTINHO, Luís P. Pereira. </w:t>
      </w:r>
      <w:r w:rsidRPr="008753DB">
        <w:rPr>
          <w:i/>
          <w:iCs/>
          <w:color w:val="2C363A"/>
        </w:rPr>
        <w:t>Instituições políticas supranacionais: algumas notas</w:t>
      </w:r>
      <w:r w:rsidRPr="005312B0">
        <w:rPr>
          <w:color w:val="2C363A"/>
        </w:rPr>
        <w:t xml:space="preserve"> [recurso electrónico]. Lisboa: Instituto de Ciências Jurídico-Políticas, 2010, 11 páginas. Disponível em: https://www.icjp.pt/sites/default/files/media/757-1152.pdf. Consult. 05-07-2025.</w:t>
      </w:r>
    </w:p>
    <w:p w14:paraId="7F416317" w14:textId="77777777" w:rsidR="00BE563E" w:rsidRPr="005312B0" w:rsidRDefault="00BE563E" w:rsidP="00BE563E">
      <w:pPr>
        <w:shd w:val="clear" w:color="auto" w:fill="FFFFFF"/>
        <w:spacing w:before="100"/>
        <w:ind w:right="0"/>
        <w:jc w:val="left"/>
        <w:rPr>
          <w:color w:val="2C363A"/>
        </w:rPr>
      </w:pPr>
    </w:p>
    <w:p w14:paraId="0A836F1B" w14:textId="77777777" w:rsidR="00BE563E" w:rsidRPr="005312B0" w:rsidRDefault="00BE563E" w:rsidP="00BE563E">
      <w:pPr>
        <w:shd w:val="clear" w:color="auto" w:fill="FFFFFF"/>
        <w:spacing w:before="100"/>
        <w:ind w:right="0"/>
        <w:jc w:val="left"/>
        <w:rPr>
          <w:color w:val="2C363A"/>
        </w:rPr>
      </w:pPr>
      <w:r w:rsidRPr="005312B0">
        <w:rPr>
          <w:color w:val="2C363A"/>
        </w:rPr>
        <w:t>CRUZ, Paulo Márcio; BODNAR, Zenildo. A transnacionalidade e a emergência do Estado e do direito transnacionais [recurso eletrónico]. R</w:t>
      </w:r>
      <w:r w:rsidRPr="008753DB">
        <w:rPr>
          <w:i/>
          <w:iCs/>
          <w:color w:val="2C363A"/>
        </w:rPr>
        <w:t>evista da Faculdade de Direito do Sul de Minas.</w:t>
      </w:r>
      <w:r w:rsidRPr="005312B0">
        <w:rPr>
          <w:color w:val="2C363A"/>
        </w:rPr>
        <w:t xml:space="preserve"> Faculdade de Direito do Sul de Minas. 2010, v. 26, n. 1, 196 páginas. Disponível em: https://revista.fdsm.edu.br/index.php/revistafdsm/article/view/577. Consult. 25-06-2025.</w:t>
      </w:r>
    </w:p>
    <w:p w14:paraId="6F4A1B20" w14:textId="77777777" w:rsidR="00BE563E" w:rsidRPr="005312B0" w:rsidRDefault="00BE563E" w:rsidP="00BE563E">
      <w:pPr>
        <w:shd w:val="clear" w:color="auto" w:fill="FFFFFF"/>
        <w:spacing w:before="100"/>
        <w:ind w:right="0"/>
        <w:jc w:val="left"/>
        <w:rPr>
          <w:color w:val="2C363A"/>
        </w:rPr>
      </w:pPr>
    </w:p>
    <w:p w14:paraId="08FF7CEF" w14:textId="77777777" w:rsidR="00BE563E" w:rsidRPr="005312B0" w:rsidRDefault="00BE563E" w:rsidP="00BE563E">
      <w:pPr>
        <w:shd w:val="clear" w:color="auto" w:fill="FFFFFF"/>
        <w:spacing w:before="100"/>
        <w:ind w:right="0"/>
        <w:jc w:val="left"/>
        <w:rPr>
          <w:color w:val="2C363A"/>
        </w:rPr>
      </w:pPr>
      <w:r w:rsidRPr="005312B0">
        <w:rPr>
          <w:color w:val="2C363A"/>
        </w:rPr>
        <w:t xml:space="preserve">CUNHA, Paulo de Pitta e. </w:t>
      </w:r>
      <w:r w:rsidRPr="008753DB">
        <w:rPr>
          <w:i/>
          <w:iCs/>
          <w:color w:val="2C363A"/>
        </w:rPr>
        <w:t>Integração europeia: estudos de economia, direito e política comunitários: (1963-1993).</w:t>
      </w:r>
      <w:r w:rsidRPr="005312B0">
        <w:rPr>
          <w:color w:val="2C363A"/>
        </w:rPr>
        <w:t xml:space="preserve"> 2.ª ed . Coimbra: Almedina, 2004, 739 páginas. ISBN: 972-40-2252-8.</w:t>
      </w:r>
    </w:p>
    <w:p w14:paraId="4C689C4A" w14:textId="77777777" w:rsidR="00BE563E" w:rsidRPr="005312B0" w:rsidRDefault="00BE563E" w:rsidP="00BE563E">
      <w:pPr>
        <w:shd w:val="clear" w:color="auto" w:fill="FFFFFF"/>
        <w:spacing w:before="100"/>
        <w:ind w:right="0"/>
        <w:jc w:val="left"/>
        <w:rPr>
          <w:color w:val="2C363A"/>
        </w:rPr>
      </w:pPr>
    </w:p>
    <w:p w14:paraId="644096F3" w14:textId="77777777" w:rsidR="00BE563E" w:rsidRPr="00662635" w:rsidRDefault="00BE563E" w:rsidP="00BE563E">
      <w:pPr>
        <w:shd w:val="clear" w:color="auto" w:fill="FFFFFF"/>
        <w:spacing w:before="100"/>
        <w:ind w:right="0"/>
        <w:jc w:val="left"/>
        <w:rPr>
          <w:color w:val="2C363A"/>
          <w:lang w:val="en-US"/>
        </w:rPr>
      </w:pPr>
      <w:r w:rsidRPr="005312B0">
        <w:rPr>
          <w:color w:val="2C363A"/>
        </w:rPr>
        <w:t xml:space="preserve">DALLARI, Dalmo de Abreu. </w:t>
      </w:r>
      <w:r w:rsidRPr="008753DB">
        <w:rPr>
          <w:i/>
          <w:iCs/>
          <w:color w:val="2C363A"/>
        </w:rPr>
        <w:t>O estado federal.</w:t>
      </w:r>
      <w:r w:rsidRPr="005312B0">
        <w:rPr>
          <w:color w:val="2C363A"/>
        </w:rPr>
        <w:t xml:space="preserve"> São Paulo: Ática, 1986, 87 páginas. </w:t>
      </w:r>
      <w:r w:rsidRPr="00662635">
        <w:rPr>
          <w:color w:val="2C363A"/>
          <w:lang w:val="en-US"/>
        </w:rPr>
        <w:t>ISBN: 85-08-01495-3.</w:t>
      </w:r>
    </w:p>
    <w:p w14:paraId="1CEBE0D7" w14:textId="77777777" w:rsidR="00BE563E" w:rsidRPr="00662635" w:rsidRDefault="00BE563E" w:rsidP="00BE563E">
      <w:pPr>
        <w:shd w:val="clear" w:color="auto" w:fill="FFFFFF"/>
        <w:spacing w:before="100"/>
        <w:ind w:right="0"/>
        <w:jc w:val="left"/>
        <w:rPr>
          <w:color w:val="2C363A"/>
          <w:lang w:val="en-US"/>
        </w:rPr>
      </w:pPr>
    </w:p>
    <w:p w14:paraId="201D558D" w14:textId="77777777" w:rsidR="00BE563E" w:rsidRPr="005312B0" w:rsidRDefault="00BE563E" w:rsidP="00BE563E">
      <w:pPr>
        <w:shd w:val="clear" w:color="auto" w:fill="FFFFFF"/>
        <w:spacing w:before="100"/>
        <w:ind w:right="0"/>
        <w:jc w:val="left"/>
        <w:rPr>
          <w:color w:val="2C363A"/>
        </w:rPr>
      </w:pPr>
      <w:r w:rsidRPr="00662635">
        <w:rPr>
          <w:color w:val="2C363A"/>
          <w:lang w:val="en-US"/>
        </w:rPr>
        <w:t xml:space="preserve">DEBEUF, Koert. </w:t>
      </w:r>
      <w:r w:rsidRPr="00662635">
        <w:rPr>
          <w:i/>
          <w:iCs/>
          <w:color w:val="2C363A"/>
          <w:lang w:val="en-US"/>
        </w:rPr>
        <w:t>France and Netherlands vote against the Constitution</w:t>
      </w:r>
      <w:r w:rsidRPr="00662635">
        <w:rPr>
          <w:color w:val="2C363A"/>
          <w:lang w:val="en-US"/>
        </w:rPr>
        <w:t xml:space="preserve"> [online]. </w:t>
      </w:r>
      <w:r w:rsidRPr="005312B0">
        <w:rPr>
          <w:color w:val="2C363A"/>
        </w:rPr>
        <w:t>Disponível na internet: https://euobserver.com/96591/2005-france-and-netherlands-vote-against-the-constitution/. Consult. 2/02/2023.</w:t>
      </w:r>
    </w:p>
    <w:p w14:paraId="2067B39A" w14:textId="77777777" w:rsidR="00BE563E" w:rsidRPr="005312B0" w:rsidRDefault="00BE563E" w:rsidP="00BE563E">
      <w:pPr>
        <w:shd w:val="clear" w:color="auto" w:fill="FFFFFF"/>
        <w:spacing w:before="100"/>
        <w:ind w:right="0"/>
        <w:jc w:val="left"/>
        <w:rPr>
          <w:color w:val="2C363A"/>
        </w:rPr>
      </w:pPr>
    </w:p>
    <w:p w14:paraId="4561E952" w14:textId="20221751" w:rsidR="00BE563E" w:rsidRPr="005312B0" w:rsidRDefault="00BE563E" w:rsidP="00BE563E">
      <w:pPr>
        <w:shd w:val="clear" w:color="auto" w:fill="FFFFFF"/>
        <w:spacing w:before="100"/>
        <w:ind w:right="0"/>
        <w:jc w:val="left"/>
        <w:rPr>
          <w:color w:val="2C363A"/>
        </w:rPr>
      </w:pPr>
      <w:r w:rsidRPr="005312B0">
        <w:rPr>
          <w:color w:val="2C363A"/>
        </w:rPr>
        <w:t>DELPÉRÉE, Francis</w:t>
      </w:r>
      <w:r w:rsidR="008753DB">
        <w:rPr>
          <w:color w:val="2C363A"/>
        </w:rPr>
        <w:t>.</w:t>
      </w:r>
      <w:r w:rsidRPr="005312B0">
        <w:rPr>
          <w:color w:val="2C363A"/>
        </w:rPr>
        <w:t xml:space="preserve"> </w:t>
      </w:r>
      <w:r w:rsidRPr="008753DB">
        <w:rPr>
          <w:i/>
          <w:iCs/>
          <w:color w:val="2C363A"/>
        </w:rPr>
        <w:t>Le Fédéralisme en Europe</w:t>
      </w:r>
      <w:r w:rsidRPr="005312B0">
        <w:rPr>
          <w:color w:val="2C363A"/>
        </w:rPr>
        <w:t>. Paris: Presses Universitaires de France. Que sais-je ?. 1.ª Edição. 2000, 128 páginas. ISBN-10 : 2130506852.</w:t>
      </w:r>
    </w:p>
    <w:p w14:paraId="5840C87A" w14:textId="77777777" w:rsidR="00BE563E" w:rsidRPr="005312B0" w:rsidRDefault="00BE563E" w:rsidP="00BE563E">
      <w:pPr>
        <w:shd w:val="clear" w:color="auto" w:fill="FFFFFF"/>
        <w:spacing w:before="100"/>
        <w:ind w:right="0"/>
        <w:jc w:val="left"/>
        <w:rPr>
          <w:color w:val="2C363A"/>
        </w:rPr>
      </w:pPr>
    </w:p>
    <w:p w14:paraId="4857DA6B" w14:textId="77777777" w:rsidR="00BE563E" w:rsidRPr="005312B0" w:rsidRDefault="00BE563E" w:rsidP="00BE563E">
      <w:pPr>
        <w:shd w:val="clear" w:color="auto" w:fill="FFFFFF"/>
        <w:spacing w:before="100"/>
        <w:ind w:right="0"/>
        <w:jc w:val="left"/>
        <w:rPr>
          <w:color w:val="2C363A"/>
        </w:rPr>
      </w:pPr>
      <w:r w:rsidRPr="005312B0">
        <w:rPr>
          <w:color w:val="2C363A"/>
        </w:rPr>
        <w:t xml:space="preserve">DIÁRIO DA REPÚBLICA. </w:t>
      </w:r>
      <w:r w:rsidRPr="008753DB">
        <w:rPr>
          <w:i/>
          <w:iCs/>
          <w:color w:val="2C363A"/>
        </w:rPr>
        <w:t>Confederação.</w:t>
      </w:r>
      <w:r w:rsidRPr="005312B0">
        <w:rPr>
          <w:color w:val="2C363A"/>
        </w:rPr>
        <w:t xml:space="preserve"> Jornal Oficial da República Portuguesa. Disponível em: https://diariodarepublica.pt/dr/lexionario/termo/confederacao. Consult. 25-06-2025.</w:t>
      </w:r>
    </w:p>
    <w:p w14:paraId="6D631C80" w14:textId="77777777" w:rsidR="00BE563E" w:rsidRPr="005312B0" w:rsidRDefault="00BE563E" w:rsidP="00BE563E">
      <w:pPr>
        <w:shd w:val="clear" w:color="auto" w:fill="FFFFFF"/>
        <w:spacing w:before="100"/>
        <w:ind w:right="0"/>
        <w:jc w:val="left"/>
        <w:rPr>
          <w:color w:val="2C363A"/>
        </w:rPr>
      </w:pPr>
    </w:p>
    <w:p w14:paraId="0E494E58" w14:textId="77777777" w:rsidR="00BE563E" w:rsidRPr="005312B0" w:rsidRDefault="00BE563E" w:rsidP="00BE563E">
      <w:pPr>
        <w:shd w:val="clear" w:color="auto" w:fill="FFFFFF"/>
        <w:spacing w:before="100"/>
        <w:ind w:right="0"/>
        <w:jc w:val="left"/>
        <w:rPr>
          <w:color w:val="2C363A"/>
        </w:rPr>
      </w:pPr>
      <w:r w:rsidRPr="005312B0">
        <w:rPr>
          <w:color w:val="2C363A"/>
        </w:rPr>
        <w:t xml:space="preserve">DUARTE, Maria Luísa. </w:t>
      </w:r>
      <w:r w:rsidRPr="008753DB">
        <w:rPr>
          <w:i/>
          <w:iCs/>
          <w:color w:val="2C363A"/>
        </w:rPr>
        <w:t>Direito Internacional Público: E Ordem Jurídica Global do Século XXI.</w:t>
      </w:r>
      <w:r w:rsidRPr="005312B0">
        <w:rPr>
          <w:color w:val="2C363A"/>
        </w:rPr>
        <w:t xml:space="preserve"> 1.ª Edição. Coimbra: Coimbra Editora, 2014, 337 páginas. ISBN: 978-972-32-2265-4.</w:t>
      </w:r>
    </w:p>
    <w:p w14:paraId="2D4F328D" w14:textId="77777777" w:rsidR="00BE563E" w:rsidRPr="005312B0" w:rsidRDefault="00BE563E" w:rsidP="00BE563E">
      <w:pPr>
        <w:shd w:val="clear" w:color="auto" w:fill="FFFFFF"/>
        <w:spacing w:before="100"/>
        <w:ind w:right="0"/>
        <w:jc w:val="left"/>
        <w:rPr>
          <w:color w:val="2C363A"/>
        </w:rPr>
      </w:pPr>
    </w:p>
    <w:p w14:paraId="525327FC" w14:textId="32C8A7EC" w:rsidR="00BE563E" w:rsidRPr="00662635" w:rsidRDefault="00BE563E" w:rsidP="00BE563E">
      <w:pPr>
        <w:shd w:val="clear" w:color="auto" w:fill="FFFFFF"/>
        <w:spacing w:before="100"/>
        <w:ind w:right="0"/>
        <w:jc w:val="left"/>
        <w:rPr>
          <w:color w:val="2C363A"/>
          <w:lang w:val="en-US"/>
        </w:rPr>
      </w:pPr>
      <w:r w:rsidRPr="005312B0">
        <w:rPr>
          <w:color w:val="2C363A"/>
        </w:rPr>
        <w:t xml:space="preserve">ELAZAR, Daniel J. </w:t>
      </w:r>
      <w:r w:rsidRPr="008753DB">
        <w:rPr>
          <w:i/>
          <w:iCs/>
          <w:color w:val="2C363A"/>
        </w:rPr>
        <w:t>Europe and Federal Experience.</w:t>
      </w:r>
      <w:r w:rsidRPr="005312B0">
        <w:rPr>
          <w:color w:val="2C363A"/>
        </w:rPr>
        <w:t xml:space="preserve"> </w:t>
      </w:r>
      <w:r w:rsidRPr="00662635">
        <w:rPr>
          <w:color w:val="2C363A"/>
          <w:lang w:val="en-US"/>
        </w:rPr>
        <w:t xml:space="preserve">Jerusalem Center for Public Affairs. </w:t>
      </w:r>
      <w:r w:rsidRPr="005312B0">
        <w:rPr>
          <w:color w:val="2C363A"/>
        </w:rPr>
        <w:t xml:space="preserve">Disponível em: https://dje.jcpa.org/articles/eur-fed-bruges.htm. Consult. </w:t>
      </w:r>
      <w:r w:rsidRPr="00662635">
        <w:rPr>
          <w:color w:val="2C363A"/>
          <w:lang w:val="en-US"/>
        </w:rPr>
        <w:t>15-06-2025.</w:t>
      </w:r>
    </w:p>
    <w:p w14:paraId="5B31C370" w14:textId="77777777" w:rsidR="00BE563E" w:rsidRPr="00662635" w:rsidRDefault="00BE563E" w:rsidP="00BE563E">
      <w:pPr>
        <w:shd w:val="clear" w:color="auto" w:fill="FFFFFF"/>
        <w:spacing w:before="100"/>
        <w:ind w:right="0"/>
        <w:jc w:val="left"/>
        <w:rPr>
          <w:color w:val="2C363A"/>
          <w:lang w:val="en-US"/>
        </w:rPr>
      </w:pPr>
    </w:p>
    <w:p w14:paraId="1F23982D" w14:textId="2F303020" w:rsidR="00BE563E" w:rsidRPr="005312B0" w:rsidRDefault="00BE563E" w:rsidP="00BE563E">
      <w:pPr>
        <w:shd w:val="clear" w:color="auto" w:fill="FFFFFF"/>
        <w:spacing w:before="100"/>
        <w:ind w:right="0"/>
        <w:jc w:val="left"/>
        <w:rPr>
          <w:color w:val="2C363A"/>
        </w:rPr>
      </w:pPr>
      <w:r w:rsidRPr="00662635">
        <w:rPr>
          <w:color w:val="2C363A"/>
          <w:lang w:val="en-US"/>
        </w:rPr>
        <w:t xml:space="preserve">ERWIN, Paul C.; MUCHECK, Kenneth W.; BROWNSON Ross C.; Different Responses to COVID-19 in Four US States: Washington, New York, Missouri, and Alabama. </w:t>
      </w:r>
      <w:r w:rsidRPr="008753DB">
        <w:rPr>
          <w:i/>
          <w:iCs/>
          <w:color w:val="2C363A"/>
        </w:rPr>
        <w:t>American Journal of Public Health</w:t>
      </w:r>
      <w:r w:rsidR="008753DB">
        <w:rPr>
          <w:i/>
          <w:iCs/>
          <w:color w:val="2C363A"/>
        </w:rPr>
        <w:t>.</w:t>
      </w:r>
      <w:r w:rsidRPr="005312B0">
        <w:rPr>
          <w:color w:val="2C363A"/>
        </w:rPr>
        <w:t xml:space="preserve"> 111. 2021, N.º 4, 752 páginas. Disponível em: https://pmc.ncbi.nlm.nih.gov/articles/PMC7958009/. Consult. 04-08-2025.</w:t>
      </w:r>
    </w:p>
    <w:p w14:paraId="3391ACD2" w14:textId="77777777" w:rsidR="00BE563E" w:rsidRPr="005312B0" w:rsidRDefault="00BE563E" w:rsidP="00BE563E">
      <w:pPr>
        <w:shd w:val="clear" w:color="auto" w:fill="FFFFFF"/>
        <w:spacing w:before="100"/>
        <w:ind w:right="0"/>
        <w:jc w:val="left"/>
        <w:rPr>
          <w:color w:val="2C363A"/>
        </w:rPr>
      </w:pPr>
    </w:p>
    <w:p w14:paraId="769FD026" w14:textId="65560671" w:rsidR="00BE563E" w:rsidRPr="005312B0" w:rsidRDefault="00F17378" w:rsidP="00BE563E">
      <w:pPr>
        <w:shd w:val="clear" w:color="auto" w:fill="FFFFFF"/>
        <w:spacing w:before="100"/>
        <w:ind w:right="0"/>
        <w:jc w:val="left"/>
        <w:rPr>
          <w:color w:val="2C363A"/>
        </w:rPr>
      </w:pPr>
      <w:r w:rsidRPr="005312B0">
        <w:rPr>
          <w:color w:val="2C363A"/>
        </w:rPr>
        <w:t xml:space="preserve">EUROCID (ABRIL DE 2022). </w:t>
      </w:r>
      <w:r w:rsidR="00BE563E" w:rsidRPr="008753DB">
        <w:rPr>
          <w:i/>
          <w:iCs/>
          <w:color w:val="2C363A"/>
        </w:rPr>
        <w:t>Eurobarómetro - Cidadania Europeia (2021-2022) Opinião pública europeia Eurobarómetro n</w:t>
      </w:r>
      <w:r w:rsidR="0025493C">
        <w:rPr>
          <w:i/>
          <w:iCs/>
          <w:color w:val="2C363A"/>
        </w:rPr>
        <w:t>.</w:t>
      </w:r>
      <w:r w:rsidR="00BE563E" w:rsidRPr="008753DB">
        <w:rPr>
          <w:i/>
          <w:iCs/>
          <w:color w:val="2C363A"/>
        </w:rPr>
        <w:t xml:space="preserve">º 96, de 18 de janeiro a 14 de fevereiro de 2022, publicado em abril de 2022. </w:t>
      </w:r>
      <w:r w:rsidR="00BE563E" w:rsidRPr="005312B0">
        <w:rPr>
          <w:color w:val="2C363A"/>
        </w:rPr>
        <w:t>Centro de informação europeia Jacques Delors. Disponível em: https://eurocid.mne.gov.pt/artigos/eurobarometro-cidadania-europeia-2021-2022#:~:text=Sentimento%20de%20Cidadania%20Europeia&amp;text=Atrav%C3%A9s%20da%20an%C3%A1lise%20nacional%20verificamos%20que%20os,s%C3%A3o%20Portugal%20(85%25)%2C%20Irlanda%20e%20Luxemburgo%20(84%25). Consult. 23-07-2025.</w:t>
      </w:r>
    </w:p>
    <w:p w14:paraId="6C01362A" w14:textId="77777777" w:rsidR="00BE563E" w:rsidRPr="005312B0" w:rsidRDefault="00BE563E" w:rsidP="00BE563E">
      <w:pPr>
        <w:shd w:val="clear" w:color="auto" w:fill="FFFFFF"/>
        <w:spacing w:before="100"/>
        <w:ind w:right="0"/>
        <w:jc w:val="left"/>
        <w:rPr>
          <w:color w:val="2C363A"/>
        </w:rPr>
      </w:pPr>
    </w:p>
    <w:p w14:paraId="0587ECE9" w14:textId="702D3D87" w:rsidR="00BE563E" w:rsidRDefault="00F17378" w:rsidP="00BE563E">
      <w:pPr>
        <w:shd w:val="clear" w:color="auto" w:fill="FFFFFF"/>
        <w:spacing w:before="100"/>
        <w:ind w:right="0"/>
        <w:jc w:val="left"/>
        <w:rPr>
          <w:color w:val="2C363A"/>
        </w:rPr>
      </w:pPr>
      <w:r w:rsidRPr="005312B0">
        <w:rPr>
          <w:color w:val="2C363A"/>
        </w:rPr>
        <w:t>EURONEWS</w:t>
      </w:r>
      <w:r w:rsidR="00BE563E" w:rsidRPr="005312B0">
        <w:rPr>
          <w:color w:val="2C363A"/>
        </w:rPr>
        <w:t xml:space="preserve"> (2024-05-27). </w:t>
      </w:r>
      <w:r w:rsidR="00BE563E" w:rsidRPr="008753DB">
        <w:rPr>
          <w:i/>
          <w:iCs/>
          <w:color w:val="2C363A"/>
        </w:rPr>
        <w:t>"Já foi longe demais". Países da UE mostram-se descontentes com vetos da Hungria à ajuda à Ucrânia.</w:t>
      </w:r>
      <w:r w:rsidR="00BE563E" w:rsidRPr="005312B0">
        <w:rPr>
          <w:color w:val="2C363A"/>
        </w:rPr>
        <w:t xml:space="preserve"> EuroNews. Disponível em: https://pt.euronews.com/my-europe/2024/05/27/ja-foi-longe-demais-paises-da-ue-mostram-se-descontentes-com-vetos-da-hungria-a-ajuda-a-uc. Consult. 10-08-2025.</w:t>
      </w:r>
    </w:p>
    <w:p w14:paraId="4A985FAA" w14:textId="77777777" w:rsidR="00BE563E" w:rsidRPr="005312B0" w:rsidRDefault="00BE563E" w:rsidP="00BE563E">
      <w:pPr>
        <w:shd w:val="clear" w:color="auto" w:fill="FFFFFF"/>
        <w:spacing w:before="100"/>
        <w:ind w:right="0"/>
        <w:jc w:val="left"/>
        <w:rPr>
          <w:color w:val="2C363A"/>
        </w:rPr>
      </w:pPr>
    </w:p>
    <w:p w14:paraId="5ACB960E" w14:textId="77777777" w:rsidR="00BE563E" w:rsidRPr="005312B0" w:rsidRDefault="00BE563E" w:rsidP="00BE563E">
      <w:pPr>
        <w:shd w:val="clear" w:color="auto" w:fill="FFFFFF"/>
        <w:spacing w:before="100"/>
        <w:ind w:right="0"/>
        <w:jc w:val="left"/>
        <w:rPr>
          <w:color w:val="2C363A"/>
        </w:rPr>
      </w:pPr>
    </w:p>
    <w:p w14:paraId="4F488C59" w14:textId="77777777" w:rsidR="00BE563E" w:rsidRPr="005312B0" w:rsidRDefault="00BE563E" w:rsidP="00BE563E">
      <w:pPr>
        <w:shd w:val="clear" w:color="auto" w:fill="FFFFFF"/>
        <w:spacing w:before="100"/>
        <w:ind w:right="0"/>
        <w:jc w:val="left"/>
        <w:rPr>
          <w:color w:val="2C363A"/>
        </w:rPr>
      </w:pPr>
      <w:r w:rsidRPr="005312B0">
        <w:rPr>
          <w:color w:val="2C363A"/>
        </w:rPr>
        <w:t xml:space="preserve">FERNANDES, José Pedro Teixeira. Federalismo: solução para a crise na União Europeia? Uma perspectiva portuguesa [recurso eletrónico]. </w:t>
      </w:r>
      <w:r w:rsidRPr="008753DB">
        <w:rPr>
          <w:i/>
          <w:iCs/>
          <w:color w:val="2C363A"/>
        </w:rPr>
        <w:t>Relações Internacionais</w:t>
      </w:r>
      <w:r w:rsidRPr="005312B0">
        <w:rPr>
          <w:color w:val="2C363A"/>
        </w:rPr>
        <w:t>, n.º 44, 2014, 110 páginas. Disponível em: https://ipri.unl.pt/index.php/pt/publicacoes/revista-r-i/arquivo-de-revista-r-i/41-relacoes-internacionais-n-44. Consult. 07-09-2025.</w:t>
      </w:r>
    </w:p>
    <w:p w14:paraId="2D3D1670" w14:textId="77777777" w:rsidR="00BE563E" w:rsidRPr="005312B0" w:rsidRDefault="00BE563E" w:rsidP="00BE563E">
      <w:pPr>
        <w:shd w:val="clear" w:color="auto" w:fill="FFFFFF"/>
        <w:spacing w:before="100"/>
        <w:ind w:right="0"/>
        <w:jc w:val="left"/>
        <w:rPr>
          <w:color w:val="2C363A"/>
        </w:rPr>
      </w:pPr>
    </w:p>
    <w:p w14:paraId="1B9293F1" w14:textId="77777777" w:rsidR="00BE563E" w:rsidRDefault="00BE563E" w:rsidP="00BE563E">
      <w:pPr>
        <w:shd w:val="clear" w:color="auto" w:fill="FFFFFF"/>
        <w:spacing w:before="100"/>
        <w:ind w:right="0"/>
        <w:jc w:val="left"/>
        <w:rPr>
          <w:color w:val="2C363A"/>
        </w:rPr>
      </w:pPr>
      <w:r w:rsidRPr="005312B0">
        <w:rPr>
          <w:color w:val="2C363A"/>
        </w:rPr>
        <w:t xml:space="preserve">FLIGSTEIN, Neil; POLYAKOVA, Alina; SANDHOLTZ, Wayne. European Integration, Nationalism, and European Identity. </w:t>
      </w:r>
      <w:r w:rsidRPr="008753DB">
        <w:rPr>
          <w:i/>
          <w:iCs/>
          <w:color w:val="2C363A"/>
        </w:rPr>
        <w:t>Journal of Common Market Studies</w:t>
      </w:r>
      <w:r w:rsidRPr="005312B0">
        <w:rPr>
          <w:color w:val="2C363A"/>
        </w:rPr>
        <w:t xml:space="preserve"> [recurso eletrónico]. UC Berkeley Working Paper Series. 2011, 164 páginas. Disponível em: https://onlinelibrary.wiley.com/toc/14685965/2012/50/s1. Consult. 03-08-2025.</w:t>
      </w:r>
    </w:p>
    <w:p w14:paraId="4A82F3FA" w14:textId="77777777" w:rsidR="00225577" w:rsidRDefault="00225577" w:rsidP="00BE563E">
      <w:pPr>
        <w:shd w:val="clear" w:color="auto" w:fill="FFFFFF"/>
        <w:spacing w:before="100"/>
        <w:ind w:right="0"/>
        <w:jc w:val="left"/>
        <w:rPr>
          <w:color w:val="2C363A"/>
        </w:rPr>
      </w:pPr>
    </w:p>
    <w:p w14:paraId="6E824BB4" w14:textId="78EA43F2" w:rsidR="00225577" w:rsidRPr="005312B0" w:rsidRDefault="00225577" w:rsidP="00BE563E">
      <w:pPr>
        <w:shd w:val="clear" w:color="auto" w:fill="FFFFFF"/>
        <w:spacing w:before="100"/>
        <w:ind w:right="0"/>
        <w:jc w:val="left"/>
        <w:rPr>
          <w:color w:val="2C363A"/>
        </w:rPr>
      </w:pPr>
      <w:r w:rsidRPr="00225577">
        <w:rPr>
          <w:color w:val="2C363A"/>
        </w:rPr>
        <w:t>FROUFE, Pedro Madeira. 30 anos depois de “Maastricht”: o passado e o futuro da integração (em comemoração ao Dia da Europa). Officialblogunio. Disponível em: https://officialblogofunio.com/2023/05/17/editorial-of-may-2023/. Consult. 29-06-2025</w:t>
      </w:r>
    </w:p>
    <w:p w14:paraId="61424271" w14:textId="77777777" w:rsidR="00BE563E" w:rsidRPr="005312B0" w:rsidRDefault="00BE563E" w:rsidP="00BE563E">
      <w:pPr>
        <w:shd w:val="clear" w:color="auto" w:fill="FFFFFF"/>
        <w:spacing w:before="100"/>
        <w:ind w:right="0"/>
        <w:jc w:val="left"/>
        <w:rPr>
          <w:color w:val="2C363A"/>
        </w:rPr>
      </w:pPr>
    </w:p>
    <w:p w14:paraId="45FBC43D" w14:textId="77777777" w:rsidR="00BE563E" w:rsidRPr="005312B0" w:rsidRDefault="00BE563E" w:rsidP="00BE563E">
      <w:pPr>
        <w:shd w:val="clear" w:color="auto" w:fill="FFFFFF"/>
        <w:spacing w:before="100"/>
        <w:ind w:right="0"/>
        <w:jc w:val="left"/>
        <w:rPr>
          <w:color w:val="2C363A"/>
        </w:rPr>
      </w:pPr>
      <w:r w:rsidRPr="005312B0">
        <w:rPr>
          <w:color w:val="2C363A"/>
        </w:rPr>
        <w:t xml:space="preserve">GORJÃO-HENRIQUES, Miguel. </w:t>
      </w:r>
      <w:r w:rsidRPr="008753DB">
        <w:rPr>
          <w:i/>
          <w:iCs/>
          <w:color w:val="2C363A"/>
        </w:rPr>
        <w:t>Direito da União : história, direito, cidadania, mercado interno e concorrência</w:t>
      </w:r>
      <w:r w:rsidRPr="005312B0">
        <w:rPr>
          <w:color w:val="2C363A"/>
        </w:rPr>
        <w:t>. 9.ª Edição. Coimbra : Almedina, 2023, 769 páginas. ISBN: 978-972-40-7658-4.</w:t>
      </w:r>
    </w:p>
    <w:p w14:paraId="66A4342C" w14:textId="77777777" w:rsidR="00BE563E" w:rsidRPr="005312B0" w:rsidRDefault="00BE563E" w:rsidP="00BE563E">
      <w:pPr>
        <w:shd w:val="clear" w:color="auto" w:fill="FFFFFF"/>
        <w:spacing w:before="100"/>
        <w:ind w:right="0"/>
        <w:jc w:val="left"/>
        <w:rPr>
          <w:color w:val="2C363A"/>
        </w:rPr>
      </w:pPr>
    </w:p>
    <w:p w14:paraId="447257EC" w14:textId="77777777" w:rsidR="00BE563E" w:rsidRPr="005312B0" w:rsidRDefault="00BE563E" w:rsidP="00BE563E">
      <w:pPr>
        <w:shd w:val="clear" w:color="auto" w:fill="FFFFFF"/>
        <w:spacing w:before="100"/>
        <w:ind w:right="0"/>
        <w:jc w:val="left"/>
        <w:rPr>
          <w:color w:val="2C363A"/>
        </w:rPr>
      </w:pPr>
      <w:r w:rsidRPr="005312B0">
        <w:rPr>
          <w:color w:val="2C363A"/>
        </w:rPr>
        <w:t xml:space="preserve">HALMAI, Gábor. Abuse of Constitutional Identity. The Hungarian Constitutional Court on Interpretation of Article E) (2) of the Fundamental Law [recurso eletrónico]. </w:t>
      </w:r>
      <w:r w:rsidRPr="008753DB">
        <w:rPr>
          <w:i/>
          <w:iCs/>
          <w:color w:val="2C363A"/>
        </w:rPr>
        <w:t>Review of Central and East European Law</w:t>
      </w:r>
      <w:r w:rsidRPr="005312B0">
        <w:rPr>
          <w:color w:val="2C363A"/>
        </w:rPr>
        <w:t>, vol. 43, 2018, 43 páginas. Disponível em: https://cadmus.eui.eu/entities/publication/f0ec80ae-5942-5144-8303-959110bac6eb. Consult. 03-01-2026.</w:t>
      </w:r>
    </w:p>
    <w:p w14:paraId="71A3CDB3" w14:textId="77777777" w:rsidR="00BE563E" w:rsidRPr="005312B0" w:rsidRDefault="00BE563E" w:rsidP="00BE563E">
      <w:pPr>
        <w:shd w:val="clear" w:color="auto" w:fill="FFFFFF"/>
        <w:spacing w:before="100"/>
        <w:ind w:right="0"/>
        <w:jc w:val="left"/>
        <w:rPr>
          <w:color w:val="2C363A"/>
        </w:rPr>
      </w:pPr>
    </w:p>
    <w:p w14:paraId="34174B7B" w14:textId="77777777" w:rsidR="00BE563E" w:rsidRPr="005312B0" w:rsidRDefault="00BE563E" w:rsidP="00BE563E">
      <w:pPr>
        <w:shd w:val="clear" w:color="auto" w:fill="FFFFFF"/>
        <w:spacing w:before="100"/>
        <w:ind w:right="0"/>
        <w:jc w:val="left"/>
        <w:rPr>
          <w:color w:val="2C363A"/>
        </w:rPr>
      </w:pPr>
      <w:r w:rsidRPr="005312B0">
        <w:rPr>
          <w:color w:val="2C363A"/>
        </w:rPr>
        <w:t xml:space="preserve">HOLZINGER, K.; SCHIMMELFENNIG, F. Differentiated integration in the European Union: many concepts, sparse theory, few data. </w:t>
      </w:r>
      <w:r w:rsidRPr="00EF1DAC">
        <w:rPr>
          <w:i/>
          <w:iCs/>
          <w:color w:val="2C363A"/>
        </w:rPr>
        <w:t>Journal of European Public Policy</w:t>
      </w:r>
      <w:r w:rsidRPr="005312B0">
        <w:rPr>
          <w:color w:val="2C363A"/>
        </w:rPr>
        <w:t>, 2012, vol. 19, n.º 2, 305 páginas. Disponível em: https://www.researchgate.net/publication/233149306_Differentiated_Integration_in_the_European_Union_Many_Concepts_Sparse_Theory_Few_Data. Consult. 13-12-2025.</w:t>
      </w:r>
    </w:p>
    <w:p w14:paraId="7CB78678" w14:textId="77777777" w:rsidR="00BE563E" w:rsidRPr="005312B0" w:rsidRDefault="00BE563E" w:rsidP="00BE563E">
      <w:pPr>
        <w:shd w:val="clear" w:color="auto" w:fill="FFFFFF"/>
        <w:spacing w:before="100"/>
        <w:ind w:right="0"/>
        <w:jc w:val="left"/>
        <w:rPr>
          <w:color w:val="2C363A"/>
        </w:rPr>
      </w:pPr>
    </w:p>
    <w:p w14:paraId="27AEB32A" w14:textId="56DED349" w:rsidR="00BE563E" w:rsidRPr="005312B0" w:rsidRDefault="00BE563E" w:rsidP="00BE563E">
      <w:pPr>
        <w:shd w:val="clear" w:color="auto" w:fill="FFFFFF"/>
        <w:spacing w:before="100"/>
        <w:ind w:right="0"/>
        <w:jc w:val="left"/>
        <w:rPr>
          <w:color w:val="2C363A"/>
        </w:rPr>
      </w:pPr>
      <w:r w:rsidRPr="005312B0">
        <w:rPr>
          <w:color w:val="2C363A"/>
        </w:rPr>
        <w:t xml:space="preserve">HORTA, Raul Machado. Repartição de competências na Constituição Federal. </w:t>
      </w:r>
      <w:r w:rsidRPr="00EF1DAC">
        <w:rPr>
          <w:i/>
          <w:iCs/>
          <w:color w:val="2C363A"/>
        </w:rPr>
        <w:t>Revista da Faculdade de Direito</w:t>
      </w:r>
      <w:r w:rsidRPr="005312B0">
        <w:rPr>
          <w:color w:val="2C363A"/>
        </w:rPr>
        <w:t>. Universidade Federal de Minas Gerais. 1991, n.º 33, 520 páginas. Disponível em: https://revista.direito.ufmg.br/index.php/revista/pt/article/view/1431. Consult. 24-05-2025. ISSN: 0304-2340</w:t>
      </w:r>
    </w:p>
    <w:p w14:paraId="30A51615" w14:textId="77777777" w:rsidR="00BE563E" w:rsidRPr="005312B0" w:rsidRDefault="00BE563E" w:rsidP="00BE563E">
      <w:pPr>
        <w:shd w:val="clear" w:color="auto" w:fill="FFFFFF"/>
        <w:spacing w:before="100"/>
        <w:ind w:right="0"/>
        <w:jc w:val="left"/>
        <w:rPr>
          <w:color w:val="2C363A"/>
        </w:rPr>
      </w:pPr>
    </w:p>
    <w:p w14:paraId="484CEB2F" w14:textId="14F44BAF" w:rsidR="00BE563E" w:rsidRDefault="00F17378" w:rsidP="00BE563E">
      <w:pPr>
        <w:shd w:val="clear" w:color="auto" w:fill="FFFFFF"/>
        <w:spacing w:before="100"/>
        <w:ind w:right="0"/>
        <w:jc w:val="left"/>
        <w:rPr>
          <w:color w:val="2C363A"/>
        </w:rPr>
      </w:pPr>
      <w:r w:rsidRPr="005312B0">
        <w:rPr>
          <w:color w:val="2C363A"/>
        </w:rPr>
        <w:t xml:space="preserve">JORNAL DE NEGÓCIOS </w:t>
      </w:r>
      <w:r w:rsidR="00BE563E" w:rsidRPr="005312B0">
        <w:rPr>
          <w:color w:val="2C363A"/>
        </w:rPr>
        <w:t xml:space="preserve">(2022-04-05). </w:t>
      </w:r>
      <w:r w:rsidR="00BE563E" w:rsidRPr="00EF1DAC">
        <w:rPr>
          <w:i/>
          <w:iCs/>
          <w:color w:val="2C363A"/>
        </w:rPr>
        <w:t>Veto da Polónia adia IRC mínimo de 15% na União Europeia.</w:t>
      </w:r>
      <w:r w:rsidR="00BE563E" w:rsidRPr="005312B0">
        <w:rPr>
          <w:color w:val="2C363A"/>
        </w:rPr>
        <w:t xml:space="preserve"> Jornal de Negócios. Disponível em: https://www.jornaldenegocios.pt/economia/europa/uniao-europeia/detalhe/veto-da-polonia-adia-irc-minimo-de-15-na-uniao-europeia. Consult. 09-08-2025.</w:t>
      </w:r>
    </w:p>
    <w:p w14:paraId="6E638BBE" w14:textId="77777777" w:rsidR="008F6291" w:rsidRPr="008F6291" w:rsidRDefault="008F6291" w:rsidP="008F6291">
      <w:pPr>
        <w:shd w:val="clear" w:color="auto" w:fill="FFFFFF"/>
        <w:spacing w:before="100"/>
        <w:ind w:right="0"/>
        <w:jc w:val="left"/>
        <w:rPr>
          <w:color w:val="2C363A"/>
        </w:rPr>
      </w:pPr>
    </w:p>
    <w:p w14:paraId="7B71AC44" w14:textId="076B93E9" w:rsidR="008F6291" w:rsidRPr="005312B0" w:rsidRDefault="00F17378" w:rsidP="008F6291">
      <w:pPr>
        <w:shd w:val="clear" w:color="auto" w:fill="FFFFFF"/>
        <w:spacing w:before="100"/>
        <w:ind w:right="0"/>
        <w:jc w:val="left"/>
        <w:rPr>
          <w:color w:val="2C363A"/>
        </w:rPr>
      </w:pPr>
      <w:r w:rsidRPr="008F6291">
        <w:rPr>
          <w:color w:val="2C363A"/>
        </w:rPr>
        <w:t>JORNAL OFICIAL DA UNIÃO EUROPEIA</w:t>
      </w:r>
      <w:r w:rsidR="008F6291" w:rsidRPr="008F6291">
        <w:rPr>
          <w:color w:val="2C363A"/>
        </w:rPr>
        <w:t>. TRATADO QUE ESTABELECE UMA</w:t>
      </w:r>
      <w:r w:rsidR="008F6291">
        <w:rPr>
          <w:color w:val="2C363A"/>
        </w:rPr>
        <w:t xml:space="preserve"> </w:t>
      </w:r>
      <w:r w:rsidR="008F6291" w:rsidRPr="008F6291">
        <w:rPr>
          <w:color w:val="2C363A"/>
        </w:rPr>
        <w:t>CONSTITUIÇÃO PARA A EUROPA. União Europeia. Disponível em: https://eur-lex.europa.eu/legal-content/PT/ALL/?uri=OJ%3AC%3A2004%3A310%3ATOC. Consult. 01/02/2023.</w:t>
      </w:r>
    </w:p>
    <w:p w14:paraId="49E755D2" w14:textId="77777777" w:rsidR="00BE563E" w:rsidRPr="005312B0" w:rsidRDefault="00BE563E" w:rsidP="00BE563E">
      <w:pPr>
        <w:shd w:val="clear" w:color="auto" w:fill="FFFFFF"/>
        <w:spacing w:before="100"/>
        <w:ind w:right="0"/>
        <w:jc w:val="left"/>
        <w:rPr>
          <w:color w:val="2C363A"/>
        </w:rPr>
      </w:pPr>
    </w:p>
    <w:p w14:paraId="4AD43AC5" w14:textId="77777777" w:rsidR="00BE563E" w:rsidRPr="005312B0" w:rsidRDefault="00BE563E" w:rsidP="00BE563E">
      <w:pPr>
        <w:shd w:val="clear" w:color="auto" w:fill="FFFFFF"/>
        <w:spacing w:before="100"/>
        <w:ind w:right="0"/>
        <w:jc w:val="left"/>
        <w:rPr>
          <w:color w:val="2C363A"/>
        </w:rPr>
      </w:pPr>
      <w:r w:rsidRPr="005312B0">
        <w:rPr>
          <w:color w:val="2C363A"/>
        </w:rPr>
        <w:t xml:space="preserve">JUDT, Tony. </w:t>
      </w:r>
      <w:r w:rsidRPr="00EF1DAC">
        <w:rPr>
          <w:i/>
          <w:iCs/>
          <w:color w:val="2C363A"/>
        </w:rPr>
        <w:t>Pós-Guerra – História da Europa desde 1945</w:t>
      </w:r>
      <w:r w:rsidRPr="005312B0">
        <w:rPr>
          <w:color w:val="2C363A"/>
        </w:rPr>
        <w:t>. Lisboa: Edições 70, 2006, 996 páginas. ISBN: 9789724413006</w:t>
      </w:r>
    </w:p>
    <w:p w14:paraId="4ADF7D78" w14:textId="77777777" w:rsidR="00BE563E" w:rsidRPr="005312B0" w:rsidRDefault="00BE563E" w:rsidP="00BE563E">
      <w:pPr>
        <w:shd w:val="clear" w:color="auto" w:fill="FFFFFF"/>
        <w:spacing w:before="100"/>
        <w:ind w:right="0"/>
        <w:jc w:val="left"/>
        <w:rPr>
          <w:color w:val="2C363A"/>
        </w:rPr>
      </w:pPr>
    </w:p>
    <w:p w14:paraId="7ADD3FA1" w14:textId="77777777" w:rsidR="00BE563E" w:rsidRPr="005312B0" w:rsidRDefault="00BE563E" w:rsidP="00BE563E">
      <w:pPr>
        <w:shd w:val="clear" w:color="auto" w:fill="FFFFFF"/>
        <w:spacing w:before="100"/>
        <w:ind w:right="0"/>
        <w:jc w:val="left"/>
        <w:rPr>
          <w:color w:val="2C363A"/>
        </w:rPr>
      </w:pPr>
      <w:r w:rsidRPr="005312B0">
        <w:rPr>
          <w:color w:val="2C363A"/>
        </w:rPr>
        <w:t xml:space="preserve">KEGEL, Patrícia Luíza; AMAL, Mohamed. Instituições, Direito e soberania: a efetividade jurídica nos processos de integração regional nos exemplos da União Européia e do Mercosul. </w:t>
      </w:r>
      <w:r w:rsidRPr="00EF1DAC">
        <w:rPr>
          <w:i/>
          <w:iCs/>
          <w:color w:val="2C363A"/>
        </w:rPr>
        <w:t>Revista Brasileira de Política Internacional</w:t>
      </w:r>
      <w:r w:rsidRPr="005312B0">
        <w:rPr>
          <w:color w:val="2C363A"/>
        </w:rPr>
        <w:t>. Centro de Estudos Globais da Universidade de Brasília. 2009, n.º 52 (1), 191 páginas. ISSN online version: 1983-3121</w:t>
      </w:r>
    </w:p>
    <w:p w14:paraId="14DEF7EE" w14:textId="77777777" w:rsidR="00BE563E" w:rsidRPr="005312B0" w:rsidRDefault="00BE563E" w:rsidP="00BE563E">
      <w:pPr>
        <w:shd w:val="clear" w:color="auto" w:fill="FFFFFF"/>
        <w:spacing w:before="100"/>
        <w:ind w:right="0"/>
        <w:jc w:val="left"/>
        <w:rPr>
          <w:color w:val="2C363A"/>
        </w:rPr>
      </w:pPr>
    </w:p>
    <w:p w14:paraId="48DA236D" w14:textId="44C40DE5" w:rsidR="00BE563E" w:rsidRPr="005312B0" w:rsidRDefault="00BE563E" w:rsidP="00BE563E">
      <w:pPr>
        <w:shd w:val="clear" w:color="auto" w:fill="FFFFFF"/>
        <w:spacing w:before="100"/>
        <w:ind w:right="0"/>
        <w:jc w:val="left"/>
        <w:rPr>
          <w:color w:val="2C363A"/>
        </w:rPr>
      </w:pPr>
      <w:r w:rsidRPr="005312B0">
        <w:rPr>
          <w:color w:val="2C363A"/>
        </w:rPr>
        <w:t>KRASNER, Stephen. Soberania: concepções alternativas e normas contestadas.</w:t>
      </w:r>
      <w:r w:rsidRPr="00EF1DAC">
        <w:rPr>
          <w:i/>
          <w:iCs/>
          <w:color w:val="2C363A"/>
        </w:rPr>
        <w:t xml:space="preserve"> Political Internacional.</w:t>
      </w:r>
      <w:r w:rsidRPr="005312B0">
        <w:rPr>
          <w:color w:val="2C363A"/>
        </w:rPr>
        <w:t xml:space="preserve"> Lisboa, v. 3, n</w:t>
      </w:r>
      <w:r w:rsidR="0025493C">
        <w:rPr>
          <w:color w:val="2C363A"/>
        </w:rPr>
        <w:t>.</w:t>
      </w:r>
      <w:r w:rsidRPr="005312B0">
        <w:rPr>
          <w:color w:val="2C363A"/>
        </w:rPr>
        <w:t>º 22, 46 páginas. ISSN 0873-6650.</w:t>
      </w:r>
    </w:p>
    <w:p w14:paraId="738DEEC0" w14:textId="77777777" w:rsidR="00BE563E" w:rsidRPr="005312B0" w:rsidRDefault="00BE563E" w:rsidP="00BE563E">
      <w:pPr>
        <w:shd w:val="clear" w:color="auto" w:fill="FFFFFF"/>
        <w:spacing w:before="100"/>
        <w:ind w:right="0"/>
        <w:jc w:val="left"/>
        <w:rPr>
          <w:color w:val="2C363A"/>
        </w:rPr>
      </w:pPr>
    </w:p>
    <w:p w14:paraId="270D3A02" w14:textId="77777777" w:rsidR="00BE563E" w:rsidRPr="005312B0" w:rsidRDefault="00BE563E" w:rsidP="00BE563E">
      <w:pPr>
        <w:shd w:val="clear" w:color="auto" w:fill="FFFFFF"/>
        <w:spacing w:before="100"/>
        <w:ind w:right="0"/>
        <w:jc w:val="left"/>
        <w:rPr>
          <w:color w:val="2C363A"/>
        </w:rPr>
      </w:pPr>
      <w:r w:rsidRPr="005312B0">
        <w:rPr>
          <w:color w:val="2C363A"/>
        </w:rPr>
        <w:t xml:space="preserve">LENZA, Pedro. </w:t>
      </w:r>
      <w:r w:rsidRPr="00EF1DAC">
        <w:rPr>
          <w:i/>
          <w:iCs/>
          <w:color w:val="2C363A"/>
        </w:rPr>
        <w:t>Direito constitucional esquematizado</w:t>
      </w:r>
      <w:r w:rsidRPr="005312B0">
        <w:rPr>
          <w:color w:val="2C363A"/>
        </w:rPr>
        <w:t>. São Paulo: Saraiva, 2015, 19ª edição, 2512 páginas. ISBN 978850262752-9</w:t>
      </w:r>
    </w:p>
    <w:p w14:paraId="62E84BFC" w14:textId="77777777" w:rsidR="00BE563E" w:rsidRPr="005312B0" w:rsidRDefault="00BE563E" w:rsidP="00BE563E">
      <w:pPr>
        <w:shd w:val="clear" w:color="auto" w:fill="FFFFFF"/>
        <w:spacing w:before="100"/>
        <w:ind w:right="0"/>
        <w:jc w:val="left"/>
        <w:rPr>
          <w:color w:val="2C363A"/>
        </w:rPr>
      </w:pPr>
    </w:p>
    <w:p w14:paraId="04B7DD84" w14:textId="77777777" w:rsidR="00BE563E" w:rsidRPr="005312B0" w:rsidRDefault="00BE563E" w:rsidP="00BE563E">
      <w:pPr>
        <w:shd w:val="clear" w:color="auto" w:fill="FFFFFF"/>
        <w:spacing w:before="100"/>
        <w:ind w:right="0"/>
        <w:jc w:val="left"/>
        <w:rPr>
          <w:color w:val="2C363A"/>
        </w:rPr>
      </w:pPr>
      <w:r w:rsidRPr="005312B0">
        <w:rPr>
          <w:color w:val="2C363A"/>
        </w:rPr>
        <w:t>LUCAS, Eugénio Pereira</w:t>
      </w:r>
      <w:r w:rsidRPr="00EF1DAC">
        <w:rPr>
          <w:i/>
          <w:iCs/>
          <w:color w:val="2C363A"/>
        </w:rPr>
        <w:t>. Lições de direito da União Europeia</w:t>
      </w:r>
      <w:r w:rsidRPr="005312B0">
        <w:rPr>
          <w:color w:val="2C363A"/>
        </w:rPr>
        <w:t>. Lisboa: Quid Juris, 2021, 400 páginas. ISBN: 978-972-724-846-9</w:t>
      </w:r>
    </w:p>
    <w:p w14:paraId="1CB9B1B3" w14:textId="77777777" w:rsidR="00BE563E" w:rsidRPr="005312B0" w:rsidRDefault="00BE563E" w:rsidP="00BE563E">
      <w:pPr>
        <w:shd w:val="clear" w:color="auto" w:fill="FFFFFF"/>
        <w:spacing w:before="100"/>
        <w:ind w:right="0"/>
        <w:jc w:val="left"/>
        <w:rPr>
          <w:color w:val="2C363A"/>
        </w:rPr>
      </w:pPr>
    </w:p>
    <w:p w14:paraId="1AE2E1F8" w14:textId="77777777" w:rsidR="00BE563E" w:rsidRPr="005312B0" w:rsidRDefault="00BE563E" w:rsidP="00BE563E">
      <w:pPr>
        <w:shd w:val="clear" w:color="auto" w:fill="FFFFFF"/>
        <w:spacing w:before="100"/>
        <w:ind w:right="0"/>
        <w:jc w:val="left"/>
        <w:rPr>
          <w:color w:val="2C363A"/>
        </w:rPr>
      </w:pPr>
      <w:r w:rsidRPr="005312B0">
        <w:rPr>
          <w:color w:val="2C363A"/>
        </w:rPr>
        <w:t>MACHADO, Jónatas E. M</w:t>
      </w:r>
      <w:r w:rsidRPr="00EF1DAC">
        <w:rPr>
          <w:i/>
          <w:iCs/>
          <w:color w:val="2C363A"/>
        </w:rPr>
        <w:t>. Direito da União Europeia</w:t>
      </w:r>
      <w:r w:rsidRPr="005312B0">
        <w:rPr>
          <w:color w:val="2C363A"/>
        </w:rPr>
        <w:t>. Coimbra: Coimbra Editora, 2014. 692 páginas. ISBN: 9789899136038.</w:t>
      </w:r>
    </w:p>
    <w:p w14:paraId="0D039494" w14:textId="77777777" w:rsidR="00BE563E" w:rsidRPr="005312B0" w:rsidRDefault="00BE563E" w:rsidP="00BE563E">
      <w:pPr>
        <w:shd w:val="clear" w:color="auto" w:fill="FFFFFF"/>
        <w:spacing w:before="100"/>
        <w:ind w:right="0"/>
        <w:jc w:val="left"/>
        <w:rPr>
          <w:color w:val="2C363A"/>
        </w:rPr>
      </w:pPr>
    </w:p>
    <w:p w14:paraId="5D67AF0E" w14:textId="77777777" w:rsidR="00BE563E" w:rsidRPr="005312B0" w:rsidRDefault="00BE563E" w:rsidP="00BE563E">
      <w:pPr>
        <w:shd w:val="clear" w:color="auto" w:fill="FFFFFF"/>
        <w:spacing w:before="100"/>
        <w:ind w:right="0"/>
        <w:jc w:val="left"/>
        <w:rPr>
          <w:color w:val="2C363A"/>
        </w:rPr>
      </w:pPr>
      <w:r w:rsidRPr="005312B0">
        <w:rPr>
          <w:color w:val="2C363A"/>
        </w:rPr>
        <w:t xml:space="preserve">MAGALHÃES, M.D.M. </w:t>
      </w:r>
      <w:r w:rsidRPr="00EF1DAC">
        <w:rPr>
          <w:i/>
          <w:iCs/>
          <w:color w:val="2C363A"/>
        </w:rPr>
        <w:t>O direito das comunidades europeias: rumo a uma eventual constitucionalização?</w:t>
      </w:r>
      <w:r w:rsidRPr="005312B0">
        <w:rPr>
          <w:color w:val="2C363A"/>
        </w:rPr>
        <w:t xml:space="preserve"> (Tese de doutoramento). Universidade Portucalense, Portugal, 2002, 505 páginas. Disponível em: http://hdl.handle.net/11328/636. Consult. 19-07-2025.</w:t>
      </w:r>
    </w:p>
    <w:p w14:paraId="6DB39C40" w14:textId="77777777" w:rsidR="00BE563E" w:rsidRPr="005312B0" w:rsidRDefault="00BE563E" w:rsidP="00BE563E">
      <w:pPr>
        <w:shd w:val="clear" w:color="auto" w:fill="FFFFFF"/>
        <w:spacing w:before="100"/>
        <w:ind w:right="0"/>
        <w:jc w:val="left"/>
        <w:rPr>
          <w:color w:val="2C363A"/>
        </w:rPr>
      </w:pPr>
    </w:p>
    <w:p w14:paraId="1E7E403C" w14:textId="77777777" w:rsidR="00BE563E" w:rsidRPr="005312B0" w:rsidRDefault="00BE563E" w:rsidP="00BE563E">
      <w:pPr>
        <w:shd w:val="clear" w:color="auto" w:fill="FFFFFF"/>
        <w:spacing w:before="100"/>
        <w:ind w:right="0"/>
        <w:jc w:val="left"/>
        <w:rPr>
          <w:color w:val="2C363A"/>
        </w:rPr>
      </w:pPr>
      <w:r w:rsidRPr="005312B0">
        <w:rPr>
          <w:color w:val="2C363A"/>
        </w:rPr>
        <w:t xml:space="preserve">MARKS, Gary; HOOGHE, Liesbet. National identity and support for European integration. </w:t>
      </w:r>
      <w:r w:rsidRPr="00EF1DAC">
        <w:rPr>
          <w:i/>
          <w:iCs/>
          <w:color w:val="2C363A"/>
        </w:rPr>
        <w:t>WZB Discussion Paper</w:t>
      </w:r>
      <w:r w:rsidRPr="005312B0">
        <w:rPr>
          <w:color w:val="2C363A"/>
        </w:rPr>
        <w:t>. Berlim. 2003. 44 páginas. Disponível em: https://www.econstor.eu/bitstream/10419/49727/1/371681197.pdf. Consult. 28-12-2025.</w:t>
      </w:r>
    </w:p>
    <w:p w14:paraId="6C72F05F" w14:textId="77777777" w:rsidR="00BE563E" w:rsidRPr="005312B0" w:rsidRDefault="00BE563E" w:rsidP="00BE563E">
      <w:pPr>
        <w:shd w:val="clear" w:color="auto" w:fill="FFFFFF"/>
        <w:spacing w:before="100"/>
        <w:ind w:right="0"/>
        <w:jc w:val="left"/>
        <w:rPr>
          <w:color w:val="2C363A"/>
        </w:rPr>
      </w:pPr>
    </w:p>
    <w:p w14:paraId="08AA9B62" w14:textId="228758A2" w:rsidR="00CA7020" w:rsidRPr="005312B0" w:rsidRDefault="00CA7020" w:rsidP="00CA7020">
      <w:pPr>
        <w:shd w:val="clear" w:color="auto" w:fill="FFFFFF"/>
        <w:spacing w:before="100"/>
        <w:ind w:right="0"/>
        <w:jc w:val="left"/>
        <w:rPr>
          <w:color w:val="2C363A"/>
        </w:rPr>
      </w:pPr>
      <w:r w:rsidRPr="005312B0">
        <w:rPr>
          <w:color w:val="2C363A"/>
        </w:rPr>
        <w:t>MADURO, Miguel Poiares.</w:t>
      </w:r>
      <w:r w:rsidRPr="005312B0">
        <w:t xml:space="preserve"> </w:t>
      </w:r>
      <w:r w:rsidRPr="00EF1DAC">
        <w:rPr>
          <w:i/>
          <w:iCs/>
          <w:color w:val="2C363A"/>
        </w:rPr>
        <w:t>A Constituição Plural: Constitucionalismo e União Europeia.</w:t>
      </w:r>
      <w:r w:rsidRPr="005312B0">
        <w:rPr>
          <w:color w:val="2C363A"/>
        </w:rPr>
        <w:t xml:space="preserve"> Principia, 2003, 368 páginas. ISBN: 9789728818593.</w:t>
      </w:r>
    </w:p>
    <w:p w14:paraId="1E4FD1F7" w14:textId="77777777" w:rsidR="00CA7020" w:rsidRPr="005312B0" w:rsidRDefault="00CA7020" w:rsidP="00BE563E">
      <w:pPr>
        <w:shd w:val="clear" w:color="auto" w:fill="FFFFFF"/>
        <w:spacing w:before="100"/>
        <w:ind w:right="0"/>
        <w:jc w:val="left"/>
        <w:rPr>
          <w:color w:val="2C363A"/>
        </w:rPr>
      </w:pPr>
    </w:p>
    <w:p w14:paraId="107C5DA8" w14:textId="3D5C8D75" w:rsidR="00BE563E" w:rsidRPr="005312B0" w:rsidRDefault="00BE563E" w:rsidP="00BE563E">
      <w:pPr>
        <w:shd w:val="clear" w:color="auto" w:fill="FFFFFF"/>
        <w:spacing w:before="100"/>
        <w:ind w:right="0"/>
        <w:jc w:val="left"/>
        <w:rPr>
          <w:color w:val="2C363A"/>
        </w:rPr>
      </w:pPr>
      <w:r w:rsidRPr="005312B0">
        <w:rPr>
          <w:color w:val="2C363A"/>
        </w:rPr>
        <w:t xml:space="preserve">MARTINS, N. F. M., &amp; NORONHA RODRIGUES, J. Sovereignty Showdown: The EU`s Constitutional Tug-of-War. </w:t>
      </w:r>
      <w:r w:rsidRPr="00EF1DAC">
        <w:rPr>
          <w:i/>
          <w:iCs/>
          <w:color w:val="2C363A"/>
        </w:rPr>
        <w:t>Revista Jurídica Portucalense</w:t>
      </w:r>
      <w:r w:rsidRPr="005312B0">
        <w:rPr>
          <w:color w:val="2C363A"/>
        </w:rPr>
        <w:t>. 2024, n.º 36, 652 páginas. Disponível em: https://doi.org/10.34625/issn.2183-2705(36)2024. ISSN-e: 2183-5705</w:t>
      </w:r>
    </w:p>
    <w:p w14:paraId="0E21B44D" w14:textId="77777777" w:rsidR="00BE563E" w:rsidRPr="005312B0" w:rsidRDefault="00BE563E" w:rsidP="00BE563E">
      <w:pPr>
        <w:shd w:val="clear" w:color="auto" w:fill="FFFFFF"/>
        <w:spacing w:before="100"/>
        <w:ind w:right="0"/>
        <w:jc w:val="left"/>
        <w:rPr>
          <w:color w:val="2C363A"/>
        </w:rPr>
      </w:pPr>
    </w:p>
    <w:p w14:paraId="3E0E9F47" w14:textId="4BBF4F10" w:rsidR="00BE563E" w:rsidRDefault="00BE563E" w:rsidP="00BE563E">
      <w:pPr>
        <w:shd w:val="clear" w:color="auto" w:fill="FFFFFF"/>
        <w:spacing w:before="100"/>
        <w:ind w:right="0"/>
        <w:jc w:val="left"/>
        <w:rPr>
          <w:color w:val="2C363A"/>
        </w:rPr>
      </w:pPr>
      <w:r w:rsidRPr="005312B0">
        <w:rPr>
          <w:color w:val="2C363A"/>
        </w:rPr>
        <w:t xml:space="preserve">MARTINS, Patrícia Fragoso. Federação e federalismo: breve reflexão sobre o modelo federal europeu. </w:t>
      </w:r>
      <w:r w:rsidRPr="00EF1DAC">
        <w:rPr>
          <w:i/>
          <w:iCs/>
          <w:color w:val="2C363A"/>
        </w:rPr>
        <w:t>Católica Talks: conceitos normativos e normatividade</w:t>
      </w:r>
      <w:r w:rsidRPr="005312B0">
        <w:rPr>
          <w:color w:val="2C363A"/>
        </w:rPr>
        <w:t>. Centro de Estudos e Investigação em Direito (CEID). 2025, 156 páginas. ISBN (15): 9789725411292</w:t>
      </w:r>
      <w:r w:rsidR="00225577">
        <w:rPr>
          <w:color w:val="2C363A"/>
        </w:rPr>
        <w:t>.</w:t>
      </w:r>
    </w:p>
    <w:p w14:paraId="5C1E707E" w14:textId="77777777" w:rsidR="00225577" w:rsidRDefault="00225577" w:rsidP="00BE563E">
      <w:pPr>
        <w:shd w:val="clear" w:color="auto" w:fill="FFFFFF"/>
        <w:spacing w:before="100"/>
        <w:ind w:right="0"/>
        <w:jc w:val="left"/>
        <w:rPr>
          <w:color w:val="2C363A"/>
        </w:rPr>
      </w:pPr>
    </w:p>
    <w:p w14:paraId="08F4ACD9" w14:textId="11CC293C" w:rsidR="00225577" w:rsidRPr="005312B0" w:rsidRDefault="00225577" w:rsidP="00BE563E">
      <w:pPr>
        <w:shd w:val="clear" w:color="auto" w:fill="FFFFFF"/>
        <w:spacing w:before="100"/>
        <w:ind w:right="0"/>
        <w:jc w:val="left"/>
        <w:rPr>
          <w:color w:val="2C363A"/>
        </w:rPr>
      </w:pPr>
      <w:r w:rsidRPr="00225577">
        <w:rPr>
          <w:color w:val="2C363A"/>
        </w:rPr>
        <w:t xml:space="preserve">MATOS, Gonçalo Martins de. Defending the rule of  law in the European Union: legal and political approaches. </w:t>
      </w:r>
      <w:r w:rsidRPr="00225577">
        <w:rPr>
          <w:i/>
          <w:iCs/>
          <w:color w:val="2C363A"/>
        </w:rPr>
        <w:t>UNIO - EU Law Journal</w:t>
      </w:r>
      <w:r w:rsidRPr="00225577">
        <w:rPr>
          <w:color w:val="2C363A"/>
        </w:rPr>
        <w:t>, Volume 11, N.º 2, 2025, 145 páginas. Disponível em: https://revistas.uminho.pt/index.php/unio/issue/view/442. Consult. 04-07-2025. ISSN 2183-3435</w:t>
      </w:r>
      <w:r>
        <w:rPr>
          <w:color w:val="2C363A"/>
        </w:rPr>
        <w:t>.</w:t>
      </w:r>
    </w:p>
    <w:p w14:paraId="52012E33" w14:textId="77777777" w:rsidR="00BE563E" w:rsidRPr="005312B0" w:rsidRDefault="00BE563E" w:rsidP="00BE563E">
      <w:pPr>
        <w:shd w:val="clear" w:color="auto" w:fill="FFFFFF"/>
        <w:spacing w:before="100"/>
        <w:ind w:right="0"/>
        <w:jc w:val="left"/>
        <w:rPr>
          <w:color w:val="2C363A"/>
        </w:rPr>
      </w:pPr>
    </w:p>
    <w:p w14:paraId="12563857" w14:textId="2C47F9F2" w:rsidR="00BE563E" w:rsidRDefault="00BE563E" w:rsidP="00BE563E">
      <w:pPr>
        <w:shd w:val="clear" w:color="auto" w:fill="FFFFFF"/>
        <w:spacing w:before="100"/>
        <w:ind w:right="0"/>
        <w:jc w:val="left"/>
        <w:rPr>
          <w:color w:val="2C363A"/>
        </w:rPr>
      </w:pPr>
      <w:r w:rsidRPr="005312B0">
        <w:rPr>
          <w:color w:val="2C363A"/>
        </w:rPr>
        <w:t xml:space="preserve">MESQUITA, Maria José Rangel de. Comentário ao Acórdão n.º 422/2020 do Plenário do Tribunal Constitucional (Relator: Conselheiro José António Teles Pereira). </w:t>
      </w:r>
      <w:r w:rsidR="00EF1DAC" w:rsidRPr="00EF1DAC">
        <w:rPr>
          <w:i/>
          <w:iCs/>
          <w:color w:val="2C363A"/>
        </w:rPr>
        <w:t>E-Publica Public Law Journal</w:t>
      </w:r>
      <w:r w:rsidR="00EF1DAC">
        <w:rPr>
          <w:i/>
          <w:iCs/>
          <w:color w:val="2C363A"/>
        </w:rPr>
        <w:t xml:space="preserve">. </w:t>
      </w:r>
      <w:r w:rsidRPr="005312B0">
        <w:rPr>
          <w:color w:val="2C363A"/>
        </w:rPr>
        <w:t>Vol. 10, n.º 2, 2023, 260 páginas. ISSN: 2183-184X.</w:t>
      </w:r>
    </w:p>
    <w:p w14:paraId="24B378C6" w14:textId="77777777" w:rsidR="00FE054C" w:rsidRDefault="00FE054C" w:rsidP="00BE563E">
      <w:pPr>
        <w:shd w:val="clear" w:color="auto" w:fill="FFFFFF"/>
        <w:spacing w:before="100"/>
        <w:ind w:right="0"/>
        <w:jc w:val="left"/>
        <w:rPr>
          <w:color w:val="2C363A"/>
        </w:rPr>
      </w:pPr>
    </w:p>
    <w:p w14:paraId="1E5548D9" w14:textId="379E6904" w:rsidR="00FE054C" w:rsidRPr="005312B0" w:rsidRDefault="00FE054C" w:rsidP="00BE563E">
      <w:pPr>
        <w:shd w:val="clear" w:color="auto" w:fill="FFFFFF"/>
        <w:spacing w:before="100"/>
        <w:ind w:right="0"/>
        <w:jc w:val="left"/>
        <w:rPr>
          <w:color w:val="2C363A"/>
        </w:rPr>
      </w:pPr>
      <w:r w:rsidRPr="00FE054C">
        <w:rPr>
          <w:color w:val="2C363A"/>
        </w:rPr>
        <w:t xml:space="preserve">MICHELETTI, Francesca. </w:t>
      </w:r>
      <w:r w:rsidRPr="00FE054C">
        <w:rPr>
          <w:i/>
          <w:iCs/>
          <w:color w:val="2C363A"/>
        </w:rPr>
        <w:t>Draghi: Europe needs to integrate faster if it wants to matter on world stage.</w:t>
      </w:r>
      <w:r w:rsidRPr="00FE054C">
        <w:rPr>
          <w:color w:val="2C363A"/>
        </w:rPr>
        <w:t xml:space="preserve"> Politico. Disponível em: https://www.politico.eu/article/europe-needs-new-coalition-of-the-willing-regain-power-world-stage-says-mario-draghi/. Consult. 03-02-2026.</w:t>
      </w:r>
    </w:p>
    <w:p w14:paraId="4B0C4C2F" w14:textId="77777777" w:rsidR="00BE563E" w:rsidRPr="005312B0" w:rsidRDefault="00BE563E" w:rsidP="00BE563E">
      <w:pPr>
        <w:shd w:val="clear" w:color="auto" w:fill="FFFFFF"/>
        <w:spacing w:before="100"/>
        <w:ind w:right="0"/>
        <w:jc w:val="left"/>
        <w:rPr>
          <w:color w:val="2C363A"/>
        </w:rPr>
      </w:pPr>
    </w:p>
    <w:p w14:paraId="31D377FF" w14:textId="77777777" w:rsidR="00BE563E" w:rsidRPr="005312B0" w:rsidRDefault="00BE563E" w:rsidP="00BE563E">
      <w:pPr>
        <w:shd w:val="clear" w:color="auto" w:fill="FFFFFF"/>
        <w:spacing w:before="100"/>
        <w:ind w:right="0"/>
        <w:jc w:val="left"/>
        <w:rPr>
          <w:color w:val="2C363A"/>
        </w:rPr>
      </w:pPr>
      <w:r w:rsidRPr="005312B0">
        <w:rPr>
          <w:color w:val="2C363A"/>
        </w:rPr>
        <w:t xml:space="preserve">OLIVEIRA, Vitor Eduardo Tavares de. Breves considerações sobre direitos humanos fundamentais e a supranacionalidade. </w:t>
      </w:r>
      <w:r w:rsidRPr="00EF1DAC">
        <w:rPr>
          <w:i/>
          <w:iCs/>
          <w:color w:val="2C363A"/>
        </w:rPr>
        <w:t>Revista Jurídica da Presidência da República.</w:t>
      </w:r>
      <w:r w:rsidRPr="005312B0">
        <w:rPr>
          <w:color w:val="2C363A"/>
        </w:rPr>
        <w:t xml:space="preserve"> 2006, n.º 77, 102 páginas. Disponível em https://revistajuridica.presidencia.gov.br/index.php/saj/article/view/461. Consult 26-06-2025. ISSN 2236-3645.</w:t>
      </w:r>
    </w:p>
    <w:p w14:paraId="18AF5212" w14:textId="77777777" w:rsidR="00BE563E" w:rsidRPr="005312B0" w:rsidRDefault="00BE563E" w:rsidP="00BE563E">
      <w:pPr>
        <w:shd w:val="clear" w:color="auto" w:fill="FFFFFF"/>
        <w:spacing w:before="100"/>
        <w:ind w:right="0"/>
        <w:jc w:val="left"/>
        <w:rPr>
          <w:color w:val="2C363A"/>
        </w:rPr>
      </w:pPr>
    </w:p>
    <w:p w14:paraId="18EC4D9D" w14:textId="77777777" w:rsidR="00BE563E" w:rsidRDefault="00BE563E" w:rsidP="00BE563E">
      <w:pPr>
        <w:shd w:val="clear" w:color="auto" w:fill="FFFFFF"/>
        <w:spacing w:before="100"/>
        <w:ind w:right="0"/>
        <w:jc w:val="left"/>
        <w:rPr>
          <w:color w:val="2C363A"/>
        </w:rPr>
      </w:pPr>
      <w:r w:rsidRPr="005312B0">
        <w:rPr>
          <w:color w:val="2C363A"/>
        </w:rPr>
        <w:t xml:space="preserve">PACHECO, Margarida Soares Oliveira da Costa. </w:t>
      </w:r>
      <w:r w:rsidRPr="00EF1DAC">
        <w:rPr>
          <w:i/>
          <w:iCs/>
          <w:color w:val="2C363A"/>
        </w:rPr>
        <w:t xml:space="preserve">Identidade Nacional e Identidade Europeia no pós-pandemia: uma análise cross-lagged </w:t>
      </w:r>
      <w:r w:rsidRPr="005312B0">
        <w:rPr>
          <w:color w:val="2C363A"/>
        </w:rPr>
        <w:t>[recurso eletrónico]. Tese de Mestrado, Universidade do Porto, Faculdade de Psicologia e de Ciências da Educação, Porto, 2022, 41 páginas. Disponível em: https://repositorio-aberto.up.pt/handle/10216/141677. Consult. 15-07-2025.</w:t>
      </w:r>
    </w:p>
    <w:p w14:paraId="0031DB59" w14:textId="77777777" w:rsidR="001419D9" w:rsidRDefault="001419D9" w:rsidP="00BE563E">
      <w:pPr>
        <w:shd w:val="clear" w:color="auto" w:fill="FFFFFF"/>
        <w:spacing w:before="100"/>
        <w:ind w:right="0"/>
        <w:jc w:val="left"/>
        <w:rPr>
          <w:color w:val="2C363A"/>
        </w:rPr>
      </w:pPr>
    </w:p>
    <w:p w14:paraId="2A07C32E" w14:textId="7C358472" w:rsidR="001419D9" w:rsidRPr="005312B0" w:rsidRDefault="001419D9" w:rsidP="001419D9">
      <w:pPr>
        <w:shd w:val="clear" w:color="auto" w:fill="FFFFFF"/>
        <w:spacing w:before="100"/>
        <w:ind w:right="0"/>
        <w:jc w:val="left"/>
        <w:rPr>
          <w:color w:val="2C363A"/>
        </w:rPr>
      </w:pPr>
      <w:r w:rsidRPr="001419D9">
        <w:rPr>
          <w:color w:val="2C363A"/>
        </w:rPr>
        <w:t xml:space="preserve">PAIS, Sofia Oliveira. </w:t>
      </w:r>
      <w:r w:rsidRPr="001419D9">
        <w:rPr>
          <w:i/>
          <w:iCs/>
          <w:color w:val="2C363A"/>
        </w:rPr>
        <w:t>Princípios fundamentais de direito da união europeia : uma abordagem jurisprudencial,</w:t>
      </w:r>
      <w:r w:rsidRPr="001419D9">
        <w:rPr>
          <w:color w:val="2C363A"/>
        </w:rPr>
        <w:t xml:space="preserve"> 3.ª Edição. Coimbra: Almedina, 2013, 397 p</w:t>
      </w:r>
      <w:r>
        <w:rPr>
          <w:color w:val="2C363A"/>
        </w:rPr>
        <w:t>áginas</w:t>
      </w:r>
      <w:r w:rsidRPr="001419D9">
        <w:rPr>
          <w:color w:val="2C363A"/>
        </w:rPr>
        <w:t>. ISBN: 978-972-40-5138-3</w:t>
      </w:r>
      <w:r>
        <w:rPr>
          <w:color w:val="2C363A"/>
        </w:rPr>
        <w:t>.</w:t>
      </w:r>
    </w:p>
    <w:p w14:paraId="3C6A480B" w14:textId="77777777" w:rsidR="00BE563E" w:rsidRPr="005312B0" w:rsidRDefault="00BE563E" w:rsidP="00BE563E">
      <w:pPr>
        <w:shd w:val="clear" w:color="auto" w:fill="FFFFFF"/>
        <w:spacing w:before="100"/>
        <w:ind w:right="0"/>
        <w:jc w:val="left"/>
        <w:rPr>
          <w:color w:val="2C363A"/>
        </w:rPr>
      </w:pPr>
    </w:p>
    <w:p w14:paraId="545A96D3" w14:textId="7908C558" w:rsidR="00BE563E" w:rsidRPr="005312B0" w:rsidRDefault="00F17378" w:rsidP="00BE563E">
      <w:pPr>
        <w:shd w:val="clear" w:color="auto" w:fill="FFFFFF"/>
        <w:spacing w:before="100"/>
        <w:ind w:right="0"/>
        <w:jc w:val="left"/>
        <w:rPr>
          <w:color w:val="2C363A"/>
        </w:rPr>
      </w:pPr>
      <w:r w:rsidRPr="005312B0">
        <w:rPr>
          <w:color w:val="2C363A"/>
        </w:rPr>
        <w:t>PARLAMENTO EUROPEU</w:t>
      </w:r>
      <w:r w:rsidR="00BE563E" w:rsidRPr="005312B0">
        <w:rPr>
          <w:color w:val="2C363A"/>
        </w:rPr>
        <w:t xml:space="preserve">. </w:t>
      </w:r>
      <w:r w:rsidR="00BE563E" w:rsidRPr="00EF1DAC">
        <w:rPr>
          <w:i/>
          <w:iCs/>
          <w:color w:val="2C363A"/>
        </w:rPr>
        <w:t xml:space="preserve">Tratado Euratom. </w:t>
      </w:r>
      <w:r w:rsidR="00BE563E" w:rsidRPr="005312B0">
        <w:rPr>
          <w:color w:val="2C363A"/>
        </w:rPr>
        <w:t>Parlamento Europeu. Disponível em: https://www.europarl.europa.eu/about-parliament/pt/in-the-past/the-parliament-and-the-treaties/euratom-treaty. Consult. 28-06-2025.</w:t>
      </w:r>
    </w:p>
    <w:p w14:paraId="32590BC6" w14:textId="77777777" w:rsidR="00BE563E" w:rsidRPr="005312B0" w:rsidRDefault="00BE563E" w:rsidP="00BE563E">
      <w:pPr>
        <w:shd w:val="clear" w:color="auto" w:fill="FFFFFF"/>
        <w:spacing w:before="100"/>
        <w:ind w:right="0"/>
        <w:jc w:val="left"/>
        <w:rPr>
          <w:color w:val="2C363A"/>
        </w:rPr>
      </w:pPr>
    </w:p>
    <w:p w14:paraId="1D256CB8" w14:textId="521ED156" w:rsidR="00BE563E" w:rsidRPr="005312B0" w:rsidRDefault="00F17378" w:rsidP="00BE563E">
      <w:pPr>
        <w:shd w:val="clear" w:color="auto" w:fill="FFFFFF"/>
        <w:spacing w:before="100"/>
        <w:ind w:right="0"/>
        <w:jc w:val="left"/>
        <w:rPr>
          <w:color w:val="2C363A"/>
        </w:rPr>
      </w:pPr>
      <w:r w:rsidRPr="005312B0">
        <w:rPr>
          <w:color w:val="2C363A"/>
        </w:rPr>
        <w:t>PARLAMENTO EUROPEU</w:t>
      </w:r>
      <w:r w:rsidR="00BE563E" w:rsidRPr="005312B0">
        <w:rPr>
          <w:color w:val="2C363A"/>
        </w:rPr>
        <w:t xml:space="preserve">. </w:t>
      </w:r>
      <w:r w:rsidR="00BE563E" w:rsidRPr="00EF1DAC">
        <w:rPr>
          <w:i/>
          <w:iCs/>
          <w:color w:val="2C363A"/>
        </w:rPr>
        <w:t xml:space="preserve">Os Tratados de Maastricht e de Amesterdão. </w:t>
      </w:r>
      <w:r w:rsidR="00BE563E" w:rsidRPr="005312B0">
        <w:rPr>
          <w:color w:val="2C363A"/>
        </w:rPr>
        <w:t>Disponível em: https://www.europarl.europa.eu/factsheets/pt/sheet/3/os-tratados-de-maastricht-e-de-amesterdao. Consult. 30-06-2025</w:t>
      </w:r>
    </w:p>
    <w:p w14:paraId="3FC894C1" w14:textId="77777777" w:rsidR="00BE563E" w:rsidRPr="005312B0" w:rsidRDefault="00BE563E" w:rsidP="00BE563E">
      <w:pPr>
        <w:shd w:val="clear" w:color="auto" w:fill="FFFFFF"/>
        <w:spacing w:before="100"/>
        <w:ind w:right="0"/>
        <w:jc w:val="left"/>
        <w:rPr>
          <w:color w:val="2C363A"/>
        </w:rPr>
      </w:pPr>
    </w:p>
    <w:p w14:paraId="0CFF75A6" w14:textId="6ED71AB9" w:rsidR="00BE563E" w:rsidRPr="005312B0" w:rsidRDefault="00F17378" w:rsidP="00BE563E">
      <w:pPr>
        <w:shd w:val="clear" w:color="auto" w:fill="FFFFFF"/>
        <w:spacing w:before="100"/>
        <w:ind w:right="0"/>
        <w:jc w:val="left"/>
        <w:rPr>
          <w:color w:val="2C363A"/>
        </w:rPr>
      </w:pPr>
      <w:r w:rsidRPr="005312B0">
        <w:rPr>
          <w:color w:val="2C363A"/>
        </w:rPr>
        <w:t>PARLAMENTO EUROPEU</w:t>
      </w:r>
      <w:r w:rsidR="00BE563E" w:rsidRPr="005312B0">
        <w:rPr>
          <w:color w:val="2C363A"/>
        </w:rPr>
        <w:t xml:space="preserve">. </w:t>
      </w:r>
      <w:r w:rsidR="00BE563E" w:rsidRPr="00EF1DAC">
        <w:rPr>
          <w:i/>
          <w:iCs/>
          <w:color w:val="2C363A"/>
        </w:rPr>
        <w:t xml:space="preserve">Resolução do Parlamento Europeu, de 29 de fevereiro de 2024, sobre o aprofundamento da integração da UE tendo em vista o futuro alargamento (P9_TA(2024)0120; 2023/2114(INI)) </w:t>
      </w:r>
      <w:r w:rsidR="00BE563E" w:rsidRPr="005312B0">
        <w:rPr>
          <w:color w:val="2C363A"/>
        </w:rPr>
        <w:t>[recurso eletrónico]. Disponível em: https://eur-lex.europa.eu/eli/C/2024/6746/oj/eng. Consult. 09-07-2025.</w:t>
      </w:r>
    </w:p>
    <w:p w14:paraId="3F512A5C" w14:textId="77777777" w:rsidR="00BE563E" w:rsidRPr="005312B0" w:rsidRDefault="00BE563E" w:rsidP="00BE563E">
      <w:pPr>
        <w:shd w:val="clear" w:color="auto" w:fill="FFFFFF"/>
        <w:spacing w:before="100"/>
        <w:ind w:right="0"/>
        <w:jc w:val="left"/>
        <w:rPr>
          <w:color w:val="2C363A"/>
        </w:rPr>
      </w:pPr>
    </w:p>
    <w:p w14:paraId="27D2E916" w14:textId="3AAD9ADC" w:rsidR="00BE563E" w:rsidRPr="005312B0" w:rsidRDefault="00F17378" w:rsidP="00BE563E">
      <w:pPr>
        <w:shd w:val="clear" w:color="auto" w:fill="FFFFFF"/>
        <w:spacing w:before="100"/>
        <w:ind w:right="0"/>
        <w:jc w:val="left"/>
        <w:rPr>
          <w:color w:val="2C363A"/>
        </w:rPr>
      </w:pPr>
      <w:r w:rsidRPr="005312B0">
        <w:rPr>
          <w:color w:val="2C363A"/>
        </w:rPr>
        <w:t>PARLAMENTO EUROPEU</w:t>
      </w:r>
      <w:r w:rsidR="00BE563E" w:rsidRPr="005312B0">
        <w:rPr>
          <w:color w:val="2C363A"/>
        </w:rPr>
        <w:t xml:space="preserve">. </w:t>
      </w:r>
      <w:r w:rsidR="00BE563E" w:rsidRPr="00EF1DAC">
        <w:rPr>
          <w:i/>
          <w:iCs/>
          <w:color w:val="2C363A"/>
        </w:rPr>
        <w:t>Resolução do Parlamento Europeu, de 9 de junho de 2022, sobre o apelo à convocação de uma Convenção para a revisão dos Tratados (2022/2705(RSP))</w:t>
      </w:r>
      <w:r w:rsidR="00BE563E" w:rsidRPr="005312B0">
        <w:rPr>
          <w:color w:val="2C363A"/>
        </w:rPr>
        <w:t xml:space="preserve"> [recurso eletrónico]. Disponível em: https://www.europarl.europa.eu/doceo/document/TA-9-2022-0244_EN.html. Consult. 09-07-2025</w:t>
      </w:r>
    </w:p>
    <w:p w14:paraId="6144A66A" w14:textId="77777777" w:rsidR="00BE563E" w:rsidRPr="005312B0" w:rsidRDefault="00BE563E" w:rsidP="00BE563E">
      <w:pPr>
        <w:shd w:val="clear" w:color="auto" w:fill="FFFFFF"/>
        <w:spacing w:before="100"/>
        <w:ind w:right="0"/>
        <w:jc w:val="left"/>
        <w:rPr>
          <w:color w:val="2C363A"/>
        </w:rPr>
      </w:pPr>
    </w:p>
    <w:p w14:paraId="21B11DE8" w14:textId="68765CCC" w:rsidR="00BE563E" w:rsidRPr="005312B0" w:rsidRDefault="00F17378" w:rsidP="00BE563E">
      <w:pPr>
        <w:shd w:val="clear" w:color="auto" w:fill="FFFFFF"/>
        <w:spacing w:before="100"/>
        <w:ind w:right="0"/>
        <w:jc w:val="left"/>
        <w:rPr>
          <w:color w:val="2C363A"/>
        </w:rPr>
      </w:pPr>
      <w:r w:rsidRPr="005312B0">
        <w:rPr>
          <w:color w:val="2C363A"/>
        </w:rPr>
        <w:t>PARLAMENTO EUROPEU</w:t>
      </w:r>
      <w:r w:rsidR="00BE563E" w:rsidRPr="005312B0">
        <w:rPr>
          <w:color w:val="2C363A"/>
        </w:rPr>
        <w:t xml:space="preserve">. </w:t>
      </w:r>
      <w:r w:rsidR="00BE563E" w:rsidRPr="00EF1DAC">
        <w:rPr>
          <w:i/>
          <w:iCs/>
          <w:color w:val="2C363A"/>
        </w:rPr>
        <w:t>Resolução do Parlamento Europeu, de 16 de fevereiro de 2017, sobre possíveis evoluções e adaptações da atual estrutura institucional da União Europeia (2014/2248(INI))</w:t>
      </w:r>
      <w:r w:rsidR="00BE563E" w:rsidRPr="005312B0">
        <w:rPr>
          <w:color w:val="2C363A"/>
        </w:rPr>
        <w:t xml:space="preserve"> [recurso eletrónico]. Disponível em: https://www.europarl.europa.eu/doceo/document/TA-8-2017-0048_EN.html. Consult. 10-07-2025</w:t>
      </w:r>
    </w:p>
    <w:p w14:paraId="22D50840" w14:textId="77777777" w:rsidR="00BE563E" w:rsidRPr="005312B0" w:rsidRDefault="00BE563E" w:rsidP="00BE563E">
      <w:pPr>
        <w:shd w:val="clear" w:color="auto" w:fill="FFFFFF"/>
        <w:spacing w:before="100"/>
        <w:ind w:right="0"/>
        <w:jc w:val="left"/>
        <w:rPr>
          <w:color w:val="2C363A"/>
        </w:rPr>
      </w:pPr>
    </w:p>
    <w:p w14:paraId="61AA5737" w14:textId="7A764B9F" w:rsidR="00BE563E" w:rsidRPr="005312B0" w:rsidRDefault="00F17378" w:rsidP="00BE563E">
      <w:pPr>
        <w:shd w:val="clear" w:color="auto" w:fill="FFFFFF"/>
        <w:spacing w:before="100"/>
        <w:ind w:right="0"/>
        <w:jc w:val="left"/>
        <w:rPr>
          <w:color w:val="2C363A"/>
        </w:rPr>
      </w:pPr>
      <w:r w:rsidRPr="005312B0">
        <w:rPr>
          <w:color w:val="2C363A"/>
        </w:rPr>
        <w:t>PARLAMENTO EUROPEU</w:t>
      </w:r>
      <w:r w:rsidR="00BE563E" w:rsidRPr="005312B0">
        <w:rPr>
          <w:color w:val="2C363A"/>
        </w:rPr>
        <w:t xml:space="preserve">. </w:t>
      </w:r>
      <w:r w:rsidR="00BE563E" w:rsidRPr="00EF1DAC">
        <w:rPr>
          <w:i/>
          <w:iCs/>
          <w:color w:val="2C363A"/>
        </w:rPr>
        <w:t>European Parliament resolution on the Treaty establishing a Constitution for Europe.</w:t>
      </w:r>
      <w:r w:rsidR="00BE563E" w:rsidRPr="005312B0">
        <w:rPr>
          <w:color w:val="2C363A"/>
        </w:rPr>
        <w:t xml:space="preserve"> Parlamento Europeu. Disponível em: https://www.europarl.europa.eu/about-parliament/pt/in-the-past/the-parliament-and-the-treaties/draft-treaty-establishing-a-constitution-for-europe. Consult. 01/02/2023</w:t>
      </w:r>
    </w:p>
    <w:p w14:paraId="5EE0BC42" w14:textId="77777777" w:rsidR="00BE563E" w:rsidRPr="005312B0" w:rsidRDefault="00BE563E" w:rsidP="00BE563E">
      <w:pPr>
        <w:shd w:val="clear" w:color="auto" w:fill="FFFFFF"/>
        <w:spacing w:before="100"/>
        <w:ind w:right="0"/>
        <w:jc w:val="left"/>
        <w:rPr>
          <w:color w:val="2C363A"/>
        </w:rPr>
      </w:pPr>
    </w:p>
    <w:p w14:paraId="6EA323AA" w14:textId="60273F45" w:rsidR="00BE563E" w:rsidRPr="005312B0" w:rsidRDefault="00F17378" w:rsidP="00BE563E">
      <w:pPr>
        <w:shd w:val="clear" w:color="auto" w:fill="FFFFFF"/>
        <w:spacing w:before="100"/>
        <w:ind w:right="0"/>
        <w:jc w:val="left"/>
        <w:rPr>
          <w:color w:val="2C363A"/>
        </w:rPr>
      </w:pPr>
      <w:r w:rsidRPr="005312B0">
        <w:rPr>
          <w:color w:val="2C363A"/>
        </w:rPr>
        <w:t xml:space="preserve">PARLAMENTO EUROPEU </w:t>
      </w:r>
      <w:r w:rsidR="00BE563E" w:rsidRPr="005312B0">
        <w:rPr>
          <w:color w:val="2C363A"/>
        </w:rPr>
        <w:t xml:space="preserve">(2025-12-17). </w:t>
      </w:r>
      <w:r w:rsidR="00BE563E" w:rsidRPr="00EF1DAC">
        <w:rPr>
          <w:i/>
          <w:iCs/>
          <w:color w:val="2C363A"/>
        </w:rPr>
        <w:t>Defesa: como a UE está a reforçar a sua segurança: Cada Estado-Membro da UE é responsável pela própria defesa, mas as tensões geopolíticas recentes motivaram uma melhor cooperação militar entre países</w:t>
      </w:r>
      <w:r w:rsidR="00BE563E" w:rsidRPr="005312B0">
        <w:rPr>
          <w:color w:val="2C363A"/>
        </w:rPr>
        <w:t>. Parlamento Europeu. Disponível em: https://www.europarl.europa.eu/topics/pt/article/20190612STO54310/defesa-como-a-ue-esta-a-reforcar-a-sua-seguranca. Consult. 11-08-2025.</w:t>
      </w:r>
    </w:p>
    <w:p w14:paraId="3425AA82" w14:textId="77777777" w:rsidR="00BE563E" w:rsidRPr="005312B0" w:rsidRDefault="00BE563E" w:rsidP="00BE563E">
      <w:pPr>
        <w:shd w:val="clear" w:color="auto" w:fill="FFFFFF"/>
        <w:spacing w:before="100"/>
        <w:ind w:right="0"/>
        <w:jc w:val="left"/>
        <w:rPr>
          <w:color w:val="2C363A"/>
        </w:rPr>
      </w:pPr>
    </w:p>
    <w:p w14:paraId="240B1186" w14:textId="77777777" w:rsidR="00BE563E" w:rsidRPr="005312B0" w:rsidRDefault="00BE563E" w:rsidP="00BE563E">
      <w:pPr>
        <w:shd w:val="clear" w:color="auto" w:fill="FFFFFF"/>
        <w:spacing w:before="100"/>
        <w:ind w:right="0"/>
        <w:jc w:val="left"/>
        <w:rPr>
          <w:color w:val="2C363A"/>
        </w:rPr>
      </w:pPr>
      <w:r w:rsidRPr="005312B0">
        <w:rPr>
          <w:color w:val="2C363A"/>
        </w:rPr>
        <w:t xml:space="preserve">RANGEL, Paulo. </w:t>
      </w:r>
      <w:r w:rsidRPr="005312B0">
        <w:rPr>
          <w:i/>
          <w:iCs/>
          <w:color w:val="2C363A"/>
        </w:rPr>
        <w:t>Elementos da política constitucional: ciência política, teoria da constituição e direito constitucional</w:t>
      </w:r>
      <w:r w:rsidRPr="005312B0">
        <w:rPr>
          <w:color w:val="2C363A"/>
        </w:rPr>
        <w:t>. Coimbra: Almedina, 2023, 434 páginas. ISBN: 978-989-40-1631-1</w:t>
      </w:r>
    </w:p>
    <w:p w14:paraId="57AC026B" w14:textId="77777777" w:rsidR="00BE563E" w:rsidRPr="005312B0" w:rsidRDefault="00BE563E" w:rsidP="00BE563E">
      <w:pPr>
        <w:shd w:val="clear" w:color="auto" w:fill="FFFFFF"/>
        <w:spacing w:before="100"/>
        <w:ind w:right="0"/>
        <w:jc w:val="left"/>
        <w:rPr>
          <w:color w:val="2C363A"/>
        </w:rPr>
      </w:pPr>
    </w:p>
    <w:p w14:paraId="7CE59A4F" w14:textId="621FE2A0" w:rsidR="00BE563E" w:rsidRPr="005312B0" w:rsidRDefault="00F17378" w:rsidP="00BE563E">
      <w:pPr>
        <w:shd w:val="clear" w:color="auto" w:fill="FFFFFF"/>
        <w:spacing w:before="100"/>
        <w:ind w:right="0"/>
        <w:jc w:val="left"/>
        <w:rPr>
          <w:color w:val="2C363A"/>
        </w:rPr>
      </w:pPr>
      <w:r w:rsidRPr="005312B0">
        <w:rPr>
          <w:color w:val="2C363A"/>
        </w:rPr>
        <w:t xml:space="preserve">RTP NOTÍCIAS </w:t>
      </w:r>
      <w:r w:rsidR="00BE563E" w:rsidRPr="005312B0">
        <w:rPr>
          <w:color w:val="2C363A"/>
        </w:rPr>
        <w:t>(13-06-2008</w:t>
      </w:r>
      <w:r w:rsidR="00BE563E" w:rsidRPr="005312B0">
        <w:rPr>
          <w:i/>
          <w:iCs/>
          <w:color w:val="2C363A"/>
        </w:rPr>
        <w:t>). Irlandeses chumbam Tratado de Lisboa em referendo. RTP Notícias</w:t>
      </w:r>
      <w:r w:rsidR="00BE563E" w:rsidRPr="005312B0">
        <w:rPr>
          <w:color w:val="2C363A"/>
        </w:rPr>
        <w:t>. Disponível em: https://www.rtp.pt/noticias/mundo/irlandeses-chumbam-tratado-de-lisboa-em-referendo_n148250. Consult. 07-07-2025.</w:t>
      </w:r>
    </w:p>
    <w:p w14:paraId="0F5DC7EE" w14:textId="77777777" w:rsidR="00BE563E" w:rsidRPr="005312B0" w:rsidRDefault="00BE563E" w:rsidP="00BE563E">
      <w:pPr>
        <w:shd w:val="clear" w:color="auto" w:fill="FFFFFF"/>
        <w:spacing w:before="100"/>
        <w:ind w:right="0"/>
        <w:jc w:val="left"/>
        <w:rPr>
          <w:color w:val="2C363A"/>
        </w:rPr>
      </w:pPr>
    </w:p>
    <w:p w14:paraId="1BCBB96C" w14:textId="24E32A95" w:rsidR="00BE563E" w:rsidRPr="005312B0" w:rsidRDefault="00F17378" w:rsidP="00BE563E">
      <w:pPr>
        <w:shd w:val="clear" w:color="auto" w:fill="FFFFFF"/>
        <w:spacing w:before="100"/>
        <w:ind w:right="0"/>
        <w:jc w:val="left"/>
        <w:rPr>
          <w:color w:val="2C363A"/>
        </w:rPr>
      </w:pPr>
      <w:r w:rsidRPr="005312B0">
        <w:rPr>
          <w:color w:val="2C363A"/>
        </w:rPr>
        <w:t xml:space="preserve">RTP NOTÍCIAS </w:t>
      </w:r>
      <w:r w:rsidR="00BE563E" w:rsidRPr="005312B0">
        <w:rPr>
          <w:color w:val="2C363A"/>
        </w:rPr>
        <w:t xml:space="preserve">( 2020-11-16). </w:t>
      </w:r>
      <w:r w:rsidR="00BE563E" w:rsidRPr="005312B0">
        <w:rPr>
          <w:i/>
          <w:iCs/>
          <w:color w:val="2C363A"/>
        </w:rPr>
        <w:t xml:space="preserve">Hungria e Polónia bloqueiam aprovação de orçamento plurianual da União Europeia. </w:t>
      </w:r>
      <w:r w:rsidR="00BE563E" w:rsidRPr="005312B0">
        <w:rPr>
          <w:color w:val="2C363A"/>
        </w:rPr>
        <w:t>RTP Notícias. Disponível em: https://www.rtp.pt/noticias/rtpeuropa/hungria-e-polonia-bloqueiam-aprovacao-de-orcamento-plurianual-da-uniao-europeia_n1275803. Consult. 05-08-2025.</w:t>
      </w:r>
    </w:p>
    <w:p w14:paraId="71953468" w14:textId="77777777" w:rsidR="00BE563E" w:rsidRPr="005312B0" w:rsidRDefault="00BE563E" w:rsidP="00BE563E">
      <w:pPr>
        <w:shd w:val="clear" w:color="auto" w:fill="FFFFFF"/>
        <w:spacing w:before="100"/>
        <w:ind w:right="0"/>
        <w:jc w:val="left"/>
        <w:rPr>
          <w:color w:val="2C363A"/>
        </w:rPr>
      </w:pPr>
    </w:p>
    <w:p w14:paraId="04086143" w14:textId="0B43B49B" w:rsidR="00BE563E" w:rsidRDefault="00BE563E" w:rsidP="00BE563E">
      <w:pPr>
        <w:shd w:val="clear" w:color="auto" w:fill="FFFFFF"/>
        <w:spacing w:before="100"/>
        <w:ind w:right="0"/>
        <w:jc w:val="left"/>
        <w:rPr>
          <w:color w:val="2C363A"/>
        </w:rPr>
      </w:pPr>
      <w:r w:rsidRPr="005312B0">
        <w:rPr>
          <w:color w:val="2C363A"/>
        </w:rPr>
        <w:t xml:space="preserve">SOARES, António Goucha. </w:t>
      </w:r>
      <w:r w:rsidRPr="005312B0">
        <w:rPr>
          <w:i/>
          <w:iCs/>
          <w:color w:val="2C363A"/>
        </w:rPr>
        <w:t>Repartição de competências e preempção no direito comunitário: aplicação da doutrina da preempção desenvolvida pela United States Supreme Court à repartição de competências no ordenamento comunitário.</w:t>
      </w:r>
      <w:r w:rsidRPr="005312B0">
        <w:rPr>
          <w:color w:val="2C363A"/>
        </w:rPr>
        <w:t xml:space="preserve"> Lisboa: Cosmos, 1996, 408 páginas. ISBN: 9789727620159</w:t>
      </w:r>
      <w:r w:rsidR="00225577">
        <w:rPr>
          <w:color w:val="2C363A"/>
        </w:rPr>
        <w:t>.</w:t>
      </w:r>
    </w:p>
    <w:p w14:paraId="6C94DC23" w14:textId="77777777" w:rsidR="00225577" w:rsidRPr="005312B0" w:rsidRDefault="00225577" w:rsidP="00BE563E">
      <w:pPr>
        <w:shd w:val="clear" w:color="auto" w:fill="FFFFFF"/>
        <w:spacing w:before="100"/>
        <w:ind w:right="0"/>
        <w:jc w:val="left"/>
        <w:rPr>
          <w:color w:val="2C363A"/>
        </w:rPr>
      </w:pPr>
    </w:p>
    <w:p w14:paraId="5C8F9493" w14:textId="77777777" w:rsidR="00225577" w:rsidRPr="005312B0" w:rsidRDefault="00225577" w:rsidP="00225577">
      <w:pPr>
        <w:shd w:val="clear" w:color="auto" w:fill="FFFFFF"/>
        <w:spacing w:before="100"/>
        <w:ind w:right="0"/>
        <w:jc w:val="left"/>
        <w:rPr>
          <w:color w:val="2C363A"/>
        </w:rPr>
      </w:pPr>
      <w:r w:rsidRPr="00225577">
        <w:rPr>
          <w:color w:val="2C363A"/>
        </w:rPr>
        <w:t xml:space="preserve">SILVEIRA, Alessandra. A nova (des)ordem mundial e a União Europeia de Defesa (três anos após a invasão da Ucrânia). </w:t>
      </w:r>
      <w:r w:rsidRPr="00225577">
        <w:rPr>
          <w:i/>
          <w:iCs/>
          <w:color w:val="2C363A"/>
        </w:rPr>
        <w:t>Officialblogunio.</w:t>
      </w:r>
      <w:r w:rsidRPr="00225577">
        <w:rPr>
          <w:color w:val="2C363A"/>
        </w:rPr>
        <w:t xml:space="preserve"> Disponível em: https://officialblogofunio.com/2025/03/01/editorial-of-march-2025/. Consult. 12-07-2025.</w:t>
      </w:r>
    </w:p>
    <w:p w14:paraId="5087F4F8" w14:textId="77777777" w:rsidR="00BE563E" w:rsidRPr="005312B0" w:rsidRDefault="00BE563E" w:rsidP="00BE563E">
      <w:pPr>
        <w:shd w:val="clear" w:color="auto" w:fill="FFFFFF"/>
        <w:spacing w:before="100"/>
        <w:ind w:right="0"/>
        <w:jc w:val="left"/>
        <w:rPr>
          <w:color w:val="2C363A"/>
        </w:rPr>
      </w:pPr>
    </w:p>
    <w:p w14:paraId="0ACDBFB0" w14:textId="77777777" w:rsidR="00BE563E" w:rsidRDefault="00BE563E" w:rsidP="00BE563E">
      <w:pPr>
        <w:shd w:val="clear" w:color="auto" w:fill="FFFFFF"/>
        <w:spacing w:before="100"/>
        <w:ind w:right="0"/>
        <w:jc w:val="left"/>
        <w:rPr>
          <w:color w:val="2C363A"/>
        </w:rPr>
      </w:pPr>
      <w:r w:rsidRPr="005312B0">
        <w:rPr>
          <w:color w:val="2C363A"/>
        </w:rPr>
        <w:t xml:space="preserve">SILVEIRA, Alessandra. </w:t>
      </w:r>
      <w:r w:rsidRPr="005312B0">
        <w:rPr>
          <w:i/>
          <w:iCs/>
          <w:color w:val="2C363A"/>
        </w:rPr>
        <w:t>Direito da União Europeia e Transnacionalidade: accção Jean Monnet / coordenação, Alessandra Silveira.</w:t>
      </w:r>
      <w:r w:rsidRPr="005312B0">
        <w:rPr>
          <w:color w:val="2C363A"/>
        </w:rPr>
        <w:t xml:space="preserve"> Lisboa : Quid Juris?, 2010, 443 páginas. ISBN: 978-972-724-533-8.</w:t>
      </w:r>
    </w:p>
    <w:p w14:paraId="61B91DAF" w14:textId="77777777" w:rsidR="00225577" w:rsidRDefault="00225577" w:rsidP="00BE563E">
      <w:pPr>
        <w:shd w:val="clear" w:color="auto" w:fill="FFFFFF"/>
        <w:spacing w:before="100"/>
        <w:ind w:right="0"/>
        <w:jc w:val="left"/>
        <w:rPr>
          <w:color w:val="2C363A"/>
        </w:rPr>
      </w:pPr>
    </w:p>
    <w:p w14:paraId="47FE09C5" w14:textId="77777777" w:rsidR="00225577" w:rsidRPr="00225577" w:rsidRDefault="00225577" w:rsidP="00225577">
      <w:pPr>
        <w:shd w:val="clear" w:color="auto" w:fill="FFFFFF"/>
        <w:spacing w:before="100"/>
        <w:ind w:right="0"/>
        <w:jc w:val="left"/>
        <w:rPr>
          <w:color w:val="2C363A"/>
        </w:rPr>
      </w:pPr>
      <w:r w:rsidRPr="00225577">
        <w:rPr>
          <w:color w:val="2C363A"/>
        </w:rPr>
        <w:t xml:space="preserve">SILVEIRA, Alessandra; FROUFE, Pedro Madeira. O futuro (próximo) da União Europeia: Observações sobre o discurso “Estado da União”, 14 de setembro de 2022. </w:t>
      </w:r>
      <w:r w:rsidRPr="00225577">
        <w:rPr>
          <w:i/>
          <w:iCs/>
          <w:color w:val="2C363A"/>
        </w:rPr>
        <w:t>Officialblogunio</w:t>
      </w:r>
      <w:r w:rsidRPr="00225577">
        <w:rPr>
          <w:color w:val="2C363A"/>
        </w:rPr>
        <w:t>. Disponível em: https://officialblogofunio.com/2022/09/22/editorial-of-september-2022/. Consult. 24-07-2025.</w:t>
      </w:r>
    </w:p>
    <w:p w14:paraId="77C9AED1" w14:textId="77777777" w:rsidR="00225577" w:rsidRPr="00225577" w:rsidRDefault="00225577" w:rsidP="00225577">
      <w:pPr>
        <w:shd w:val="clear" w:color="auto" w:fill="FFFFFF"/>
        <w:spacing w:before="100"/>
        <w:ind w:right="0"/>
        <w:jc w:val="left"/>
        <w:rPr>
          <w:color w:val="2C363A"/>
        </w:rPr>
      </w:pPr>
    </w:p>
    <w:p w14:paraId="123F8481" w14:textId="0F44897B" w:rsidR="00BE563E" w:rsidRDefault="00225577" w:rsidP="00225577">
      <w:pPr>
        <w:shd w:val="clear" w:color="auto" w:fill="FFFFFF"/>
        <w:spacing w:before="100"/>
        <w:ind w:right="0"/>
        <w:jc w:val="left"/>
        <w:rPr>
          <w:color w:val="2C363A"/>
        </w:rPr>
      </w:pPr>
      <w:r w:rsidRPr="00225577">
        <w:rPr>
          <w:color w:val="2C363A"/>
        </w:rPr>
        <w:t xml:space="preserve">SILVEIRA, Alessandra; FROUFE, Pedro Madeira. Sobre a problemática parceria transatlântica e seu impacto na integração europeia. </w:t>
      </w:r>
      <w:r w:rsidRPr="00225577">
        <w:rPr>
          <w:i/>
          <w:iCs/>
          <w:color w:val="2C363A"/>
        </w:rPr>
        <w:t>Officialblogunio</w:t>
      </w:r>
      <w:r w:rsidRPr="00225577">
        <w:rPr>
          <w:color w:val="2C363A"/>
        </w:rPr>
        <w:t>. Disponível em: https://officialblogofunio.com/2025/12/20/editorial-of-december-2025/. Consult. 12-07-2025.</w:t>
      </w:r>
    </w:p>
    <w:p w14:paraId="22876B15" w14:textId="77777777" w:rsidR="00225577" w:rsidRPr="005312B0" w:rsidRDefault="00225577" w:rsidP="00BE563E">
      <w:pPr>
        <w:shd w:val="clear" w:color="auto" w:fill="FFFFFF"/>
        <w:spacing w:before="100"/>
        <w:ind w:right="0"/>
        <w:jc w:val="left"/>
        <w:rPr>
          <w:color w:val="2C363A"/>
        </w:rPr>
      </w:pPr>
    </w:p>
    <w:p w14:paraId="29CAF9DE" w14:textId="77777777" w:rsidR="00BE563E" w:rsidRDefault="00BE563E" w:rsidP="00BE563E">
      <w:pPr>
        <w:shd w:val="clear" w:color="auto" w:fill="FFFFFF"/>
        <w:spacing w:before="100"/>
        <w:ind w:right="0"/>
        <w:jc w:val="left"/>
        <w:rPr>
          <w:color w:val="2C363A"/>
        </w:rPr>
      </w:pPr>
      <w:r w:rsidRPr="005312B0">
        <w:rPr>
          <w:color w:val="2C363A"/>
        </w:rPr>
        <w:t>SILVEIRA, Alessandra; GALISTEO, Juan Gálvez; SOUSA, João Pedro. La remuneración de los jueces nacionales (como problema) y el control de la dimensión estructural de la independencia judicial (como respuesta): una cuestión europea</w:t>
      </w:r>
      <w:r w:rsidRPr="005312B0">
        <w:rPr>
          <w:i/>
          <w:iCs/>
          <w:color w:val="2C363A"/>
        </w:rPr>
        <w:t>. El Criminalista Digital</w:t>
      </w:r>
      <w:r w:rsidRPr="005312B0">
        <w:rPr>
          <w:color w:val="2C363A"/>
        </w:rPr>
        <w:t>. N.º 14, 2026, 34 páginas. ISSN 2340-6046.</w:t>
      </w:r>
    </w:p>
    <w:p w14:paraId="5F26CA9B" w14:textId="77777777" w:rsidR="00BE563E" w:rsidRPr="005312B0" w:rsidRDefault="00BE563E" w:rsidP="00BE563E">
      <w:pPr>
        <w:shd w:val="clear" w:color="auto" w:fill="FFFFFF"/>
        <w:spacing w:before="100"/>
        <w:ind w:right="0"/>
        <w:jc w:val="left"/>
        <w:rPr>
          <w:color w:val="2C363A"/>
        </w:rPr>
      </w:pPr>
    </w:p>
    <w:p w14:paraId="6E378F8C" w14:textId="2D9E8176" w:rsidR="00BE563E" w:rsidRPr="005312B0" w:rsidRDefault="00F17378" w:rsidP="00BE563E">
      <w:pPr>
        <w:shd w:val="clear" w:color="auto" w:fill="FFFFFF"/>
        <w:spacing w:before="100"/>
        <w:ind w:right="0"/>
        <w:jc w:val="left"/>
        <w:rPr>
          <w:color w:val="2C363A"/>
        </w:rPr>
      </w:pPr>
      <w:r w:rsidRPr="001460B9">
        <w:rPr>
          <w:color w:val="2C363A"/>
        </w:rPr>
        <w:t>TRIBUNAL DE JUSTIÇA DAS COMUNIDADES EUROPEIAS</w:t>
      </w:r>
      <w:r w:rsidR="00BE563E" w:rsidRPr="005312B0">
        <w:rPr>
          <w:color w:val="2C363A"/>
        </w:rPr>
        <w:t xml:space="preserve">. </w:t>
      </w:r>
      <w:r w:rsidR="00BE563E" w:rsidRPr="005312B0">
        <w:rPr>
          <w:i/>
          <w:iCs/>
          <w:color w:val="2C363A"/>
        </w:rPr>
        <w:t>Acórdão de 15 de julho de 1964, Costa c. ENEL, processo 6/64</w:t>
      </w:r>
      <w:r w:rsidR="00BE563E" w:rsidRPr="005312B0">
        <w:rPr>
          <w:color w:val="2C363A"/>
        </w:rPr>
        <w:t xml:space="preserve">. </w:t>
      </w:r>
      <w:r w:rsidR="008F6291">
        <w:rPr>
          <w:color w:val="2C363A"/>
        </w:rPr>
        <w:t>União Europeia</w:t>
      </w:r>
      <w:r w:rsidR="00BE563E" w:rsidRPr="005312B0">
        <w:rPr>
          <w:color w:val="2C363A"/>
        </w:rPr>
        <w:t>, 1964</w:t>
      </w:r>
      <w:r w:rsidR="008F6291">
        <w:rPr>
          <w:color w:val="2C363A"/>
        </w:rPr>
        <w:t xml:space="preserve">. Disponível em: </w:t>
      </w:r>
      <w:hyperlink r:id="rId20" w:history="1">
        <w:r w:rsidR="008F6291" w:rsidRPr="00C87EF4">
          <w:rPr>
            <w:rStyle w:val="Hiperligao"/>
          </w:rPr>
          <w:t>https://eur-lex.europa.eu/legal-content/EN/TXT/?uri=celex:61964CJ0006</w:t>
        </w:r>
      </w:hyperlink>
      <w:r w:rsidR="008F6291">
        <w:rPr>
          <w:color w:val="2C363A"/>
        </w:rPr>
        <w:t>. Consult. 17-07-2025.</w:t>
      </w:r>
    </w:p>
    <w:p w14:paraId="648AD5A2" w14:textId="77777777" w:rsidR="00BE563E" w:rsidRPr="005312B0" w:rsidRDefault="00BE563E" w:rsidP="00BE563E">
      <w:pPr>
        <w:shd w:val="clear" w:color="auto" w:fill="FFFFFF"/>
        <w:spacing w:before="100"/>
        <w:ind w:right="0"/>
        <w:jc w:val="left"/>
        <w:rPr>
          <w:color w:val="2C363A"/>
        </w:rPr>
      </w:pPr>
    </w:p>
    <w:p w14:paraId="3D3297B8" w14:textId="13AF5BF6" w:rsidR="00BE563E" w:rsidRPr="005312B0" w:rsidRDefault="00F17378" w:rsidP="00BE563E">
      <w:pPr>
        <w:shd w:val="clear" w:color="auto" w:fill="FFFFFF"/>
        <w:spacing w:before="100"/>
        <w:ind w:right="0"/>
        <w:jc w:val="left"/>
        <w:rPr>
          <w:color w:val="2C363A"/>
        </w:rPr>
      </w:pPr>
      <w:r w:rsidRPr="001460B9">
        <w:rPr>
          <w:color w:val="2C363A"/>
        </w:rPr>
        <w:t>TRIBUNAL DE JUSTIÇA DAS COMUNIDADES EUROPEIAS</w:t>
      </w:r>
      <w:r w:rsidR="00BE563E" w:rsidRPr="005312B0">
        <w:rPr>
          <w:color w:val="2C363A"/>
        </w:rPr>
        <w:t xml:space="preserve">. </w:t>
      </w:r>
      <w:r w:rsidR="00BE563E" w:rsidRPr="005312B0">
        <w:rPr>
          <w:i/>
          <w:iCs/>
          <w:color w:val="2C363A"/>
        </w:rPr>
        <w:t xml:space="preserve">Acórdão Brasserie du Pêcheur SA contra Bundesrepublik Deutschland e The Queen contra Secretary of State for Transport, ex parte: Factortame Ltd e outros. </w:t>
      </w:r>
      <w:r w:rsidR="008F6291">
        <w:rPr>
          <w:color w:val="2C363A"/>
        </w:rPr>
        <w:t>União Europeia</w:t>
      </w:r>
      <w:r w:rsidR="00BE563E" w:rsidRPr="005312B0">
        <w:rPr>
          <w:color w:val="2C363A"/>
        </w:rPr>
        <w:t>. Disponível em: https://eur-lex.europa.eu/legal-content/PT/TXT/?uri=celex:61993CJ0046. Consult. 20-07-2025.</w:t>
      </w:r>
    </w:p>
    <w:p w14:paraId="58F34EF3" w14:textId="77777777" w:rsidR="00BE563E" w:rsidRPr="005312B0" w:rsidRDefault="00BE563E" w:rsidP="00BE563E">
      <w:pPr>
        <w:shd w:val="clear" w:color="auto" w:fill="FFFFFF"/>
        <w:spacing w:before="100"/>
        <w:ind w:right="0"/>
        <w:jc w:val="left"/>
        <w:rPr>
          <w:color w:val="2C363A"/>
        </w:rPr>
      </w:pPr>
    </w:p>
    <w:p w14:paraId="0928A9B5" w14:textId="2AF84A46" w:rsidR="00BE563E" w:rsidRPr="005312B0" w:rsidRDefault="00F17378" w:rsidP="00BE563E">
      <w:pPr>
        <w:shd w:val="clear" w:color="auto" w:fill="FFFFFF"/>
        <w:spacing w:before="100"/>
        <w:ind w:right="0"/>
        <w:jc w:val="left"/>
        <w:rPr>
          <w:color w:val="2C363A"/>
        </w:rPr>
      </w:pPr>
      <w:r w:rsidRPr="005312B0">
        <w:rPr>
          <w:color w:val="2C363A"/>
        </w:rPr>
        <w:t>UNIÃO EUROPEIA</w:t>
      </w:r>
      <w:r w:rsidR="00BE563E" w:rsidRPr="005312B0">
        <w:rPr>
          <w:color w:val="2C363A"/>
        </w:rPr>
        <w:t xml:space="preserve">. </w:t>
      </w:r>
      <w:r w:rsidR="00BE563E" w:rsidRPr="005312B0">
        <w:rPr>
          <w:i/>
          <w:iCs/>
          <w:color w:val="2C363A"/>
        </w:rPr>
        <w:t>História da UE. União Europeia</w:t>
      </w:r>
      <w:r w:rsidR="00BE563E" w:rsidRPr="005312B0">
        <w:rPr>
          <w:color w:val="2C363A"/>
        </w:rPr>
        <w:t>. Disponível em: https://european union.europa.eu/principles-countries-history/history-eu_pt. Consult. 27-06-2025</w:t>
      </w:r>
      <w:r w:rsidR="008F6291">
        <w:rPr>
          <w:color w:val="2C363A"/>
        </w:rPr>
        <w:t>.</w:t>
      </w:r>
    </w:p>
    <w:p w14:paraId="780327AB" w14:textId="77777777" w:rsidR="00BE563E" w:rsidRPr="005312B0" w:rsidRDefault="00BE563E" w:rsidP="00BE563E">
      <w:pPr>
        <w:shd w:val="clear" w:color="auto" w:fill="FFFFFF"/>
        <w:spacing w:before="100"/>
        <w:ind w:right="0"/>
        <w:jc w:val="left"/>
        <w:rPr>
          <w:color w:val="2C363A"/>
        </w:rPr>
      </w:pPr>
    </w:p>
    <w:p w14:paraId="2C15BDB0" w14:textId="2B4F1AE5" w:rsidR="00BE563E" w:rsidRPr="005312B0" w:rsidRDefault="00F17378" w:rsidP="00BE563E">
      <w:pPr>
        <w:shd w:val="clear" w:color="auto" w:fill="FFFFFF"/>
        <w:spacing w:before="100"/>
        <w:ind w:right="0"/>
        <w:jc w:val="left"/>
        <w:rPr>
          <w:color w:val="2C363A"/>
        </w:rPr>
      </w:pPr>
      <w:r w:rsidRPr="005312B0">
        <w:rPr>
          <w:color w:val="2C363A"/>
        </w:rPr>
        <w:t>UNIÃO EUROPEIA</w:t>
      </w:r>
      <w:r w:rsidR="00BE563E" w:rsidRPr="005312B0">
        <w:rPr>
          <w:color w:val="2C363A"/>
        </w:rPr>
        <w:t xml:space="preserve">. </w:t>
      </w:r>
      <w:r w:rsidR="00BE563E" w:rsidRPr="005312B0">
        <w:rPr>
          <w:i/>
          <w:iCs/>
          <w:color w:val="2C363A"/>
        </w:rPr>
        <w:t>Tratado de Lisboa - versão consolidada</w:t>
      </w:r>
      <w:r w:rsidR="00BE563E" w:rsidRPr="005312B0">
        <w:rPr>
          <w:color w:val="2C363A"/>
        </w:rPr>
        <w:t>. Lisboa, Assembleia da República, Março de 2008. Disponível em: https://www.parlamento.pt/europa/paginas/tratadodelisboa.aspx. Consult. 20-06-2025. ISBN 978-972-556-467-7.</w:t>
      </w:r>
    </w:p>
    <w:p w14:paraId="591AD86F" w14:textId="77777777" w:rsidR="00BE563E" w:rsidRPr="005312B0" w:rsidRDefault="00BE563E" w:rsidP="00BE563E">
      <w:pPr>
        <w:shd w:val="clear" w:color="auto" w:fill="FFFFFF"/>
        <w:spacing w:before="100"/>
        <w:ind w:right="0"/>
        <w:jc w:val="left"/>
        <w:rPr>
          <w:color w:val="2C363A"/>
        </w:rPr>
      </w:pPr>
    </w:p>
    <w:p w14:paraId="75EE0FCF" w14:textId="46B82669" w:rsidR="00BE563E" w:rsidRPr="005312B0" w:rsidRDefault="00F17378" w:rsidP="00BE563E">
      <w:pPr>
        <w:shd w:val="clear" w:color="auto" w:fill="FFFFFF"/>
        <w:spacing w:before="100"/>
        <w:ind w:right="0"/>
        <w:jc w:val="left"/>
        <w:rPr>
          <w:color w:val="2C363A"/>
        </w:rPr>
      </w:pPr>
      <w:r w:rsidRPr="005312B0">
        <w:rPr>
          <w:color w:val="2C363A"/>
        </w:rPr>
        <w:t>UNIÃO EUROPEIA</w:t>
      </w:r>
      <w:r w:rsidR="00BE563E" w:rsidRPr="005312B0">
        <w:rPr>
          <w:color w:val="2C363A"/>
        </w:rPr>
        <w:t xml:space="preserve">. </w:t>
      </w:r>
      <w:r w:rsidR="00BE563E" w:rsidRPr="005312B0">
        <w:rPr>
          <w:i/>
          <w:iCs/>
          <w:color w:val="2C363A"/>
        </w:rPr>
        <w:t>Tratado da União Europeia (versão consolidada).</w:t>
      </w:r>
      <w:r w:rsidR="00BE563E" w:rsidRPr="005312B0">
        <w:rPr>
          <w:color w:val="2C363A"/>
        </w:rPr>
        <w:t xml:space="preserve"> Jornal Oficial da União Europeia, C 202, 7 jun. 2016.</w:t>
      </w:r>
    </w:p>
    <w:p w14:paraId="48E17135" w14:textId="77777777" w:rsidR="00BE563E" w:rsidRPr="005312B0" w:rsidRDefault="00BE563E" w:rsidP="00BE563E">
      <w:pPr>
        <w:shd w:val="clear" w:color="auto" w:fill="FFFFFF"/>
        <w:spacing w:before="100"/>
        <w:ind w:right="0"/>
        <w:jc w:val="left"/>
        <w:rPr>
          <w:color w:val="2C363A"/>
        </w:rPr>
      </w:pPr>
    </w:p>
    <w:p w14:paraId="0BC0E595" w14:textId="051D65D4" w:rsidR="00BE563E" w:rsidRDefault="00F17378" w:rsidP="00BE563E">
      <w:pPr>
        <w:shd w:val="clear" w:color="auto" w:fill="FFFFFF"/>
        <w:spacing w:before="100"/>
        <w:ind w:right="0"/>
        <w:jc w:val="left"/>
        <w:rPr>
          <w:color w:val="2C363A"/>
        </w:rPr>
      </w:pPr>
      <w:r w:rsidRPr="005312B0">
        <w:rPr>
          <w:color w:val="2C363A"/>
        </w:rPr>
        <w:t xml:space="preserve">UNIÃO EUROPEIA. </w:t>
      </w:r>
      <w:r w:rsidR="00BE563E" w:rsidRPr="005312B0">
        <w:rPr>
          <w:i/>
          <w:iCs/>
          <w:color w:val="2C363A"/>
        </w:rPr>
        <w:t>Tratado sobre o Funcionamento da União Europeia</w:t>
      </w:r>
      <w:r w:rsidR="00BE563E" w:rsidRPr="005312B0">
        <w:rPr>
          <w:color w:val="2C363A"/>
        </w:rPr>
        <w:t xml:space="preserve"> </w:t>
      </w:r>
      <w:r w:rsidR="00BE563E" w:rsidRPr="005312B0">
        <w:rPr>
          <w:i/>
          <w:iCs/>
          <w:color w:val="2C363A"/>
        </w:rPr>
        <w:t>(versão consolidada).</w:t>
      </w:r>
      <w:r w:rsidR="00BE563E" w:rsidRPr="005312B0">
        <w:rPr>
          <w:color w:val="2C363A"/>
        </w:rPr>
        <w:t xml:space="preserve"> Jornal Oficial da União Europeia, C 202, 7 jun. 2016.</w:t>
      </w:r>
    </w:p>
    <w:p w14:paraId="7CBBAC1B" w14:textId="77777777" w:rsidR="00225577" w:rsidRDefault="00225577" w:rsidP="00BE563E">
      <w:pPr>
        <w:shd w:val="clear" w:color="auto" w:fill="FFFFFF"/>
        <w:spacing w:before="100"/>
        <w:ind w:right="0"/>
        <w:jc w:val="left"/>
        <w:rPr>
          <w:color w:val="2C363A"/>
        </w:rPr>
      </w:pPr>
    </w:p>
    <w:p w14:paraId="21332C63" w14:textId="77777777" w:rsidR="00225577" w:rsidRPr="00225577" w:rsidRDefault="00225577" w:rsidP="00225577">
      <w:pPr>
        <w:shd w:val="clear" w:color="auto" w:fill="FFFFFF"/>
        <w:spacing w:before="100"/>
        <w:ind w:right="0"/>
        <w:jc w:val="left"/>
        <w:rPr>
          <w:color w:val="2C363A"/>
        </w:rPr>
      </w:pPr>
      <w:r w:rsidRPr="00225577">
        <w:rPr>
          <w:color w:val="2C363A"/>
        </w:rPr>
        <w:t>UNIÃO EUROPEIA (2017-12-11). Treaty establishing the European Coal and Steel Community, ECSC Treaty. União Europeia. Disponível em: https://eur-lex.europa.eu/EN/legal-content/summary/treaty-establishing-the-european-coal-and-steel-community-ecsc-treaty.html. Consult. 27-06-2025.</w:t>
      </w:r>
    </w:p>
    <w:p w14:paraId="433A8870" w14:textId="77777777" w:rsidR="00225577" w:rsidRPr="00225577" w:rsidRDefault="00225577" w:rsidP="00225577">
      <w:pPr>
        <w:shd w:val="clear" w:color="auto" w:fill="FFFFFF"/>
        <w:spacing w:before="100"/>
        <w:ind w:right="0"/>
        <w:jc w:val="left"/>
        <w:rPr>
          <w:color w:val="2C363A"/>
        </w:rPr>
      </w:pPr>
    </w:p>
    <w:p w14:paraId="37910C8D" w14:textId="77777777" w:rsidR="00225577" w:rsidRPr="00225577" w:rsidRDefault="00225577" w:rsidP="00225577">
      <w:pPr>
        <w:shd w:val="clear" w:color="auto" w:fill="FFFFFF"/>
        <w:spacing w:before="100"/>
        <w:ind w:right="0"/>
        <w:jc w:val="left"/>
        <w:rPr>
          <w:color w:val="2C363A"/>
        </w:rPr>
      </w:pPr>
      <w:r w:rsidRPr="00225577">
        <w:rPr>
          <w:color w:val="2C363A"/>
        </w:rPr>
        <w:t>UNIÃO EUROPEIA (2017-12-11). Tratado que institui a Comunidade Europeia do Carvão e do Aço (Tratado CECA). União Europeia. Disponível em: https://eur-lex.europa.eu/legal-content/PT/TXT/?uri=LEGISSUM%3Axy0022. Consult. 27-06-2025.</w:t>
      </w:r>
    </w:p>
    <w:p w14:paraId="529B4B39" w14:textId="77777777" w:rsidR="00225577" w:rsidRPr="00225577" w:rsidRDefault="00225577" w:rsidP="00225577">
      <w:pPr>
        <w:shd w:val="clear" w:color="auto" w:fill="FFFFFF"/>
        <w:spacing w:before="100"/>
        <w:ind w:right="0"/>
        <w:jc w:val="left"/>
        <w:rPr>
          <w:color w:val="2C363A"/>
        </w:rPr>
      </w:pPr>
    </w:p>
    <w:p w14:paraId="2AA1A6EB" w14:textId="77777777" w:rsidR="00225577" w:rsidRPr="00225577" w:rsidRDefault="00225577" w:rsidP="00225577">
      <w:pPr>
        <w:shd w:val="clear" w:color="auto" w:fill="FFFFFF"/>
        <w:spacing w:before="100"/>
        <w:ind w:right="0"/>
        <w:jc w:val="left"/>
        <w:rPr>
          <w:color w:val="2C363A"/>
        </w:rPr>
      </w:pPr>
      <w:r w:rsidRPr="00225577">
        <w:rPr>
          <w:color w:val="2C363A"/>
        </w:rPr>
        <w:t>UNIÃO EUROPEIA (2017-03-14). Tratado de Roma (CEE). União Europeia. Disponível em: https://eur-lex.europa.eu/legal-content/PT/ALL/?uri=LEGISSUM%3Axy0023. Consult. 27-06-2025.</w:t>
      </w:r>
    </w:p>
    <w:p w14:paraId="168D5DB7" w14:textId="77777777" w:rsidR="00225577" w:rsidRPr="00225577" w:rsidRDefault="00225577" w:rsidP="00225577">
      <w:pPr>
        <w:shd w:val="clear" w:color="auto" w:fill="FFFFFF"/>
        <w:spacing w:before="100"/>
        <w:ind w:right="0"/>
        <w:jc w:val="left"/>
        <w:rPr>
          <w:color w:val="2C363A"/>
        </w:rPr>
      </w:pPr>
    </w:p>
    <w:p w14:paraId="4850EEE0" w14:textId="77777777" w:rsidR="00225577" w:rsidRPr="00225577" w:rsidRDefault="00225577" w:rsidP="00225577">
      <w:pPr>
        <w:shd w:val="clear" w:color="auto" w:fill="FFFFFF"/>
        <w:spacing w:before="100"/>
        <w:ind w:right="0"/>
        <w:jc w:val="left"/>
        <w:rPr>
          <w:color w:val="2C363A"/>
        </w:rPr>
      </w:pPr>
      <w:r w:rsidRPr="00225577">
        <w:rPr>
          <w:color w:val="2C363A"/>
        </w:rPr>
        <w:t>UNIÃO EUROPEIA ( 2018-04-04). Ato Único Europeu. União Europeia. Disponível em: https://eur-lex.europa.eu/legal-content/pt/TXT/?uri=LEGISSUM:xy0027. Consult.: 29-06-2025.</w:t>
      </w:r>
    </w:p>
    <w:p w14:paraId="63E8E675" w14:textId="77777777" w:rsidR="00225577" w:rsidRPr="00225577" w:rsidRDefault="00225577" w:rsidP="00225577">
      <w:pPr>
        <w:shd w:val="clear" w:color="auto" w:fill="FFFFFF"/>
        <w:spacing w:before="100"/>
        <w:ind w:right="0"/>
        <w:jc w:val="left"/>
        <w:rPr>
          <w:color w:val="2C363A"/>
        </w:rPr>
      </w:pPr>
    </w:p>
    <w:p w14:paraId="78DE0399" w14:textId="77777777" w:rsidR="00225577" w:rsidRPr="00225577" w:rsidRDefault="00225577" w:rsidP="00225577">
      <w:pPr>
        <w:shd w:val="clear" w:color="auto" w:fill="FFFFFF"/>
        <w:spacing w:before="100"/>
        <w:ind w:right="0"/>
        <w:jc w:val="left"/>
        <w:rPr>
          <w:color w:val="2C363A"/>
        </w:rPr>
      </w:pPr>
      <w:r w:rsidRPr="00225577">
        <w:rPr>
          <w:color w:val="2C363A"/>
        </w:rPr>
        <w:t>UNIÃO EUROPEIA. O primado do direito da União Europeia (prevalência, supremacia). União Europeia. Disponível em: https://eur-lex.europa.eu/PT/legal-content/glossary/primacy-of-eu-law-precedence-supremacy.html. Consult. 30-06-2025.</w:t>
      </w:r>
    </w:p>
    <w:p w14:paraId="783CF067" w14:textId="77777777" w:rsidR="00225577" w:rsidRPr="00225577" w:rsidRDefault="00225577" w:rsidP="00225577">
      <w:pPr>
        <w:shd w:val="clear" w:color="auto" w:fill="FFFFFF"/>
        <w:spacing w:before="100"/>
        <w:ind w:right="0"/>
        <w:jc w:val="left"/>
        <w:rPr>
          <w:color w:val="2C363A"/>
        </w:rPr>
      </w:pPr>
    </w:p>
    <w:p w14:paraId="54DF87F1" w14:textId="77777777" w:rsidR="00225577" w:rsidRPr="00225577" w:rsidRDefault="00225577" w:rsidP="00225577">
      <w:pPr>
        <w:shd w:val="clear" w:color="auto" w:fill="FFFFFF"/>
        <w:spacing w:before="100"/>
        <w:ind w:right="0"/>
        <w:jc w:val="left"/>
        <w:rPr>
          <w:color w:val="2C363A"/>
        </w:rPr>
      </w:pPr>
      <w:r w:rsidRPr="00225577">
        <w:rPr>
          <w:color w:val="2C363A"/>
        </w:rPr>
        <w:t>UNIÃO EUROPEIA. Opting out (cláusula de isenção). União Europeia. Disponível em: https://eur-lex.europa.eu/PT/legal-content/glossary/opting-out.html. Consult. 07-07-2025.</w:t>
      </w:r>
    </w:p>
    <w:p w14:paraId="1E6F1161" w14:textId="77777777" w:rsidR="00225577" w:rsidRPr="00225577" w:rsidRDefault="00225577" w:rsidP="00225577">
      <w:pPr>
        <w:shd w:val="clear" w:color="auto" w:fill="FFFFFF"/>
        <w:spacing w:before="100"/>
        <w:ind w:right="0"/>
        <w:jc w:val="left"/>
        <w:rPr>
          <w:color w:val="2C363A"/>
        </w:rPr>
      </w:pPr>
    </w:p>
    <w:p w14:paraId="47B33FFA" w14:textId="25FA6E23" w:rsidR="00225577" w:rsidRPr="005312B0" w:rsidRDefault="00225577" w:rsidP="00225577">
      <w:pPr>
        <w:shd w:val="clear" w:color="auto" w:fill="FFFFFF"/>
        <w:spacing w:before="100"/>
        <w:ind w:right="0"/>
        <w:jc w:val="left"/>
        <w:rPr>
          <w:color w:val="2C363A"/>
        </w:rPr>
      </w:pPr>
      <w:r w:rsidRPr="00225577">
        <w:rPr>
          <w:color w:val="2C363A"/>
        </w:rPr>
        <w:t>UNIÃO EUROPEIA. Saúde pública. União Europeia. Disponível em: https://eur-lex.europa.eu/PT/legal-content/glossary/public-health.html. Consult. 05-09-2025.</w:t>
      </w:r>
    </w:p>
    <w:p w14:paraId="02344B1E" w14:textId="77777777" w:rsidR="00BE563E" w:rsidRPr="005312B0" w:rsidRDefault="00BE563E" w:rsidP="00BE563E">
      <w:pPr>
        <w:shd w:val="clear" w:color="auto" w:fill="FFFFFF"/>
        <w:spacing w:before="100"/>
        <w:ind w:right="0"/>
        <w:jc w:val="left"/>
        <w:rPr>
          <w:color w:val="2C363A"/>
        </w:rPr>
      </w:pPr>
    </w:p>
    <w:p w14:paraId="2B32640A" w14:textId="28380760" w:rsidR="00BE563E" w:rsidRPr="005312B0" w:rsidRDefault="00F17378" w:rsidP="00BE563E">
      <w:pPr>
        <w:shd w:val="clear" w:color="auto" w:fill="FFFFFF"/>
        <w:spacing w:before="100"/>
        <w:ind w:right="0"/>
        <w:jc w:val="left"/>
        <w:rPr>
          <w:color w:val="2C363A"/>
        </w:rPr>
      </w:pPr>
      <w:r w:rsidRPr="005312B0">
        <w:rPr>
          <w:color w:val="2C363A"/>
        </w:rPr>
        <w:t>UNIÃO EUROPEIA</w:t>
      </w:r>
      <w:r w:rsidR="00BE563E" w:rsidRPr="005312B0">
        <w:rPr>
          <w:color w:val="2C363A"/>
        </w:rPr>
        <w:t xml:space="preserve">. </w:t>
      </w:r>
      <w:r w:rsidR="00BE563E" w:rsidRPr="005312B0">
        <w:rPr>
          <w:i/>
          <w:iCs/>
          <w:color w:val="2C363A"/>
        </w:rPr>
        <w:t>Carta dos Direitos Fundamentais da União Europeia</w:t>
      </w:r>
      <w:r w:rsidR="00BE563E" w:rsidRPr="005312B0">
        <w:rPr>
          <w:color w:val="2C363A"/>
        </w:rPr>
        <w:t>. Jornal Oficial da União Europeia, C 83, 30 mar. 2010.</w:t>
      </w:r>
    </w:p>
    <w:p w14:paraId="47349892" w14:textId="77777777" w:rsidR="00BE563E" w:rsidRPr="005312B0" w:rsidRDefault="00BE563E" w:rsidP="00BE563E">
      <w:pPr>
        <w:shd w:val="clear" w:color="auto" w:fill="FFFFFF"/>
        <w:spacing w:before="100"/>
        <w:ind w:right="0"/>
        <w:jc w:val="left"/>
        <w:rPr>
          <w:color w:val="2C363A"/>
        </w:rPr>
      </w:pPr>
    </w:p>
    <w:p w14:paraId="47CDE7B7" w14:textId="2803D5D4" w:rsidR="00BE563E" w:rsidRDefault="00F17378" w:rsidP="00BE563E">
      <w:pPr>
        <w:shd w:val="clear" w:color="auto" w:fill="FFFFFF"/>
        <w:spacing w:before="100"/>
        <w:ind w:right="0"/>
        <w:jc w:val="left"/>
        <w:rPr>
          <w:color w:val="2C363A"/>
        </w:rPr>
      </w:pPr>
      <w:r w:rsidRPr="005312B0">
        <w:rPr>
          <w:color w:val="2C363A"/>
        </w:rPr>
        <w:t>UNIÃO EUROPEIA</w:t>
      </w:r>
      <w:r w:rsidR="00BE563E" w:rsidRPr="005312B0">
        <w:rPr>
          <w:color w:val="2C363A"/>
        </w:rPr>
        <w:t xml:space="preserve">. </w:t>
      </w:r>
      <w:r w:rsidR="00BE563E" w:rsidRPr="005312B0">
        <w:rPr>
          <w:i/>
          <w:iCs/>
          <w:color w:val="2C363A"/>
        </w:rPr>
        <w:t>Factos e números sobre a União Europeia. União Europeia</w:t>
      </w:r>
      <w:r w:rsidR="00BE563E" w:rsidRPr="005312B0">
        <w:rPr>
          <w:color w:val="2C363A"/>
        </w:rPr>
        <w:t>. Disponível em: https://european-union.europa.eu/principles-countries-history/facts-and-figures-europeanunion_pt#:~:text=PIB:%20sendo%20uma%20das%20maiores),quase%20toda%20a%20percentagem%20restante. Consult. 15-08-2025.</w:t>
      </w:r>
    </w:p>
    <w:p w14:paraId="12F70BA3" w14:textId="77777777" w:rsidR="0018645B" w:rsidRDefault="0018645B" w:rsidP="00BE563E">
      <w:pPr>
        <w:shd w:val="clear" w:color="auto" w:fill="FFFFFF"/>
        <w:spacing w:before="100"/>
        <w:ind w:right="0"/>
        <w:jc w:val="left"/>
        <w:rPr>
          <w:color w:val="2C363A"/>
        </w:rPr>
      </w:pPr>
    </w:p>
    <w:p w14:paraId="79E75386" w14:textId="4151664E" w:rsidR="0018645B" w:rsidRPr="005312B0" w:rsidRDefault="00F17378" w:rsidP="00BE563E">
      <w:pPr>
        <w:shd w:val="clear" w:color="auto" w:fill="FFFFFF"/>
        <w:spacing w:before="100"/>
        <w:ind w:right="0"/>
        <w:jc w:val="left"/>
        <w:rPr>
          <w:color w:val="2C363A"/>
        </w:rPr>
      </w:pPr>
      <w:r w:rsidRPr="0018645B">
        <w:rPr>
          <w:color w:val="2C363A"/>
        </w:rPr>
        <w:t>UNITED STATES SENATE.</w:t>
      </w:r>
      <w:r w:rsidR="0018645B" w:rsidRPr="0018645B">
        <w:rPr>
          <w:color w:val="2C363A"/>
        </w:rPr>
        <w:t xml:space="preserve"> </w:t>
      </w:r>
      <w:r w:rsidR="0018645B" w:rsidRPr="0018645B">
        <w:rPr>
          <w:i/>
          <w:iCs/>
          <w:color w:val="2C363A"/>
        </w:rPr>
        <w:t>Constitution of the United States.</w:t>
      </w:r>
      <w:r w:rsidR="0018645B" w:rsidRPr="0018645B">
        <w:rPr>
          <w:color w:val="2C363A"/>
        </w:rPr>
        <w:t xml:space="preserve"> United States Senate. Disponível em: https://www.senate.gov/about/origins-foundations/senate-and-constitution/constitution.htm#amdt_14_(1868). Consult. 04-07-2025.</w:t>
      </w:r>
    </w:p>
    <w:p w14:paraId="413F26AE" w14:textId="77777777" w:rsidR="00BE563E" w:rsidRPr="005312B0" w:rsidRDefault="00BE563E" w:rsidP="00BE563E">
      <w:pPr>
        <w:shd w:val="clear" w:color="auto" w:fill="FFFFFF"/>
        <w:spacing w:before="100"/>
        <w:ind w:right="0"/>
        <w:jc w:val="left"/>
        <w:rPr>
          <w:color w:val="2C363A"/>
        </w:rPr>
      </w:pPr>
    </w:p>
    <w:p w14:paraId="2EBBBAD4" w14:textId="77777777" w:rsidR="00BE563E" w:rsidRPr="005312B0" w:rsidRDefault="00BE563E" w:rsidP="00BE563E">
      <w:pPr>
        <w:shd w:val="clear" w:color="auto" w:fill="FFFFFF"/>
        <w:spacing w:before="100"/>
        <w:ind w:right="0"/>
        <w:jc w:val="left"/>
        <w:rPr>
          <w:color w:val="2C363A"/>
        </w:rPr>
      </w:pPr>
      <w:r w:rsidRPr="005312B0">
        <w:rPr>
          <w:color w:val="2C363A"/>
        </w:rPr>
        <w:t xml:space="preserve">VILAÇA, José Luís da Cruz. </w:t>
      </w:r>
      <w:r w:rsidRPr="005312B0">
        <w:rPr>
          <w:i/>
          <w:iCs/>
          <w:color w:val="2C363A"/>
        </w:rPr>
        <w:t>EU law and integration: twenty years of judicial application of EU law</w:t>
      </w:r>
      <w:r w:rsidRPr="005312B0">
        <w:rPr>
          <w:color w:val="2C363A"/>
        </w:rPr>
        <w:t>. Oxford [etc.]: Hart Publishing, cop, 2014, 354 páginas. ISBN: 978-1-84946-508-3.</w:t>
      </w:r>
    </w:p>
    <w:p w14:paraId="72FB13C8" w14:textId="77777777" w:rsidR="00BE563E" w:rsidRPr="005312B0" w:rsidRDefault="00BE563E" w:rsidP="00BE563E">
      <w:pPr>
        <w:shd w:val="clear" w:color="auto" w:fill="FFFFFF"/>
        <w:spacing w:before="100"/>
        <w:ind w:right="0"/>
        <w:jc w:val="left"/>
        <w:rPr>
          <w:color w:val="2C363A"/>
        </w:rPr>
      </w:pPr>
    </w:p>
    <w:p w14:paraId="2532C569" w14:textId="0E0B50E4" w:rsidR="00BE563E" w:rsidRPr="005312B0" w:rsidRDefault="00BE563E" w:rsidP="00BE563E">
      <w:pPr>
        <w:shd w:val="clear" w:color="auto" w:fill="FFFFFF"/>
        <w:spacing w:before="100"/>
        <w:ind w:right="0"/>
        <w:jc w:val="left"/>
        <w:rPr>
          <w:color w:val="2C363A"/>
        </w:rPr>
      </w:pPr>
      <w:r w:rsidRPr="005312B0">
        <w:rPr>
          <w:color w:val="2C363A"/>
        </w:rPr>
        <w:t>WÌNTOUR, Patrick</w:t>
      </w:r>
      <w:r w:rsidRPr="005312B0">
        <w:rPr>
          <w:i/>
          <w:iCs/>
          <w:color w:val="2C363A"/>
        </w:rPr>
        <w:t>. EU scraps timetable for ratifying constitution</w:t>
      </w:r>
      <w:r w:rsidRPr="005312B0">
        <w:rPr>
          <w:color w:val="2C363A"/>
        </w:rPr>
        <w:t xml:space="preserve"> [online]. The Guardian. Disponível em: https://www.theguardian.com/politics/2005/jun/17/eu.politics. Consult. 15-07-2025</w:t>
      </w:r>
      <w:r w:rsidR="008F6291">
        <w:rPr>
          <w:color w:val="2C363A"/>
        </w:rPr>
        <w:t>.</w:t>
      </w:r>
    </w:p>
    <w:p w14:paraId="27CC1A66" w14:textId="77777777" w:rsidR="00BE563E" w:rsidRPr="005312B0" w:rsidRDefault="00BE563E" w:rsidP="00BE563E">
      <w:pPr>
        <w:shd w:val="clear" w:color="auto" w:fill="FFFFFF"/>
        <w:spacing w:before="100"/>
        <w:ind w:right="0"/>
        <w:jc w:val="left"/>
        <w:rPr>
          <w:color w:val="2C363A"/>
        </w:rPr>
      </w:pPr>
    </w:p>
    <w:p w14:paraId="68E29138" w14:textId="108EA098" w:rsidR="005312B0" w:rsidRPr="005312B0" w:rsidRDefault="00F17378" w:rsidP="005312B0">
      <w:pPr>
        <w:shd w:val="clear" w:color="auto" w:fill="FFFFFF"/>
        <w:spacing w:before="100"/>
        <w:ind w:right="0"/>
        <w:jc w:val="left"/>
        <w:rPr>
          <w:color w:val="2C363A"/>
        </w:rPr>
      </w:pPr>
      <w:r w:rsidRPr="005312B0">
        <w:rPr>
          <w:color w:val="2C363A"/>
        </w:rPr>
        <w:t xml:space="preserve">YOUR EUROPE. </w:t>
      </w:r>
      <w:r w:rsidR="00BE563E" w:rsidRPr="005312B0">
        <w:rPr>
          <w:i/>
          <w:iCs/>
          <w:color w:val="2C363A"/>
        </w:rPr>
        <w:t>Organising planned medical treatment abroad</w:t>
      </w:r>
      <w:r w:rsidR="00BE563E" w:rsidRPr="005312B0">
        <w:rPr>
          <w:color w:val="2C363A"/>
        </w:rPr>
        <w:t xml:space="preserve">. União Europeia. Disponível em: </w:t>
      </w:r>
      <w:hyperlink r:id="rId21" w:history="1">
        <w:r w:rsidR="005312B0" w:rsidRPr="00C464CB">
          <w:rPr>
            <w:rStyle w:val="Hiperligao"/>
          </w:rPr>
          <w:t>https://europa.eu/youreurope/citizens/health/planned-healthcare/right-to-treatment/index_en.htm</w:t>
        </w:r>
      </w:hyperlink>
      <w:r w:rsidR="005312B0">
        <w:t>.</w:t>
      </w:r>
      <w:r w:rsidR="005312B0" w:rsidRPr="005312B0">
        <w:rPr>
          <w:color w:val="2C363A"/>
        </w:rPr>
        <w:t xml:space="preserve"> </w:t>
      </w:r>
      <w:r w:rsidR="005312B0">
        <w:rPr>
          <w:color w:val="2C363A"/>
        </w:rPr>
        <w:t>Consult. 15-12-2025.</w:t>
      </w:r>
    </w:p>
    <w:p w14:paraId="633E3C75" w14:textId="56EA0781" w:rsidR="00BE563E" w:rsidRPr="005312B0" w:rsidRDefault="00BE563E" w:rsidP="00BE563E">
      <w:pPr>
        <w:shd w:val="clear" w:color="auto" w:fill="FFFFFF"/>
        <w:spacing w:before="100"/>
        <w:ind w:right="0"/>
        <w:jc w:val="left"/>
        <w:rPr>
          <w:color w:val="2C363A"/>
        </w:rPr>
      </w:pPr>
    </w:p>
    <w:p w14:paraId="467FBEA4" w14:textId="65A23070" w:rsidR="0019302D" w:rsidRPr="005312B0" w:rsidRDefault="0019302D" w:rsidP="00BE563E">
      <w:pPr>
        <w:shd w:val="clear" w:color="auto" w:fill="FFFFFF"/>
        <w:spacing w:before="100"/>
        <w:ind w:right="0"/>
        <w:jc w:val="left"/>
      </w:pPr>
    </w:p>
    <w:p w14:paraId="70F9B4BB" w14:textId="77777777" w:rsidR="00BD7D42" w:rsidRPr="005312B0" w:rsidRDefault="00BD7D42" w:rsidP="00BE563E">
      <w:pPr>
        <w:shd w:val="clear" w:color="auto" w:fill="FFFFFF"/>
        <w:spacing w:before="100"/>
        <w:ind w:right="0"/>
        <w:jc w:val="left"/>
      </w:pPr>
    </w:p>
    <w:p w14:paraId="694E385B" w14:textId="77777777" w:rsidR="00BD7D42" w:rsidRPr="005312B0" w:rsidRDefault="00BD7D42" w:rsidP="00BE563E">
      <w:pPr>
        <w:shd w:val="clear" w:color="auto" w:fill="FFFFFF"/>
        <w:spacing w:before="100"/>
        <w:ind w:right="0"/>
        <w:jc w:val="left"/>
      </w:pPr>
    </w:p>
    <w:p w14:paraId="190960F1" w14:textId="77777777" w:rsidR="00BD7D42" w:rsidRPr="005312B0" w:rsidRDefault="00BD7D42" w:rsidP="00BE563E">
      <w:pPr>
        <w:shd w:val="clear" w:color="auto" w:fill="FFFFFF"/>
        <w:spacing w:before="100"/>
        <w:ind w:right="0"/>
        <w:jc w:val="left"/>
      </w:pPr>
    </w:p>
    <w:p w14:paraId="738FB739" w14:textId="77777777" w:rsidR="00BD7D42" w:rsidRPr="005312B0" w:rsidRDefault="00BD7D42" w:rsidP="00BE563E">
      <w:pPr>
        <w:shd w:val="clear" w:color="auto" w:fill="FFFFFF"/>
        <w:spacing w:before="100"/>
        <w:ind w:right="0"/>
        <w:jc w:val="left"/>
      </w:pPr>
    </w:p>
    <w:p w14:paraId="02511A54" w14:textId="77777777" w:rsidR="00BD7D42" w:rsidRDefault="00BD7D42" w:rsidP="00BE563E">
      <w:pPr>
        <w:shd w:val="clear" w:color="auto" w:fill="FFFFFF"/>
        <w:spacing w:before="100"/>
        <w:ind w:right="0"/>
        <w:jc w:val="left"/>
      </w:pPr>
    </w:p>
    <w:p w14:paraId="4B9956A3" w14:textId="77777777" w:rsidR="00BD7D42" w:rsidRDefault="00BD7D42" w:rsidP="00BE563E">
      <w:pPr>
        <w:shd w:val="clear" w:color="auto" w:fill="FFFFFF"/>
        <w:spacing w:before="100"/>
        <w:ind w:right="0"/>
        <w:jc w:val="left"/>
      </w:pPr>
    </w:p>
    <w:p w14:paraId="3BD7E6CF" w14:textId="77777777" w:rsidR="00BD7D42" w:rsidRDefault="00BD7D42" w:rsidP="00BE563E">
      <w:pPr>
        <w:shd w:val="clear" w:color="auto" w:fill="FFFFFF"/>
        <w:spacing w:before="100"/>
        <w:ind w:right="0"/>
        <w:jc w:val="left"/>
      </w:pPr>
    </w:p>
    <w:p w14:paraId="760885B8" w14:textId="77777777" w:rsidR="00BD7D42" w:rsidRDefault="00BD7D42" w:rsidP="00BE563E">
      <w:pPr>
        <w:shd w:val="clear" w:color="auto" w:fill="FFFFFF"/>
        <w:spacing w:before="100"/>
        <w:ind w:right="0"/>
        <w:jc w:val="left"/>
      </w:pPr>
    </w:p>
    <w:p w14:paraId="2F20C1E3" w14:textId="77777777" w:rsidR="00BD7D42" w:rsidRDefault="00BD7D42" w:rsidP="00BE563E">
      <w:pPr>
        <w:shd w:val="clear" w:color="auto" w:fill="FFFFFF"/>
        <w:spacing w:before="100"/>
        <w:ind w:right="0"/>
        <w:jc w:val="left"/>
      </w:pPr>
    </w:p>
    <w:p w14:paraId="1A1D40FE" w14:textId="77777777" w:rsidR="00BD7D42" w:rsidRDefault="00BD7D42" w:rsidP="00BE563E">
      <w:pPr>
        <w:shd w:val="clear" w:color="auto" w:fill="FFFFFF"/>
        <w:spacing w:before="100"/>
        <w:ind w:right="0"/>
        <w:jc w:val="left"/>
      </w:pPr>
    </w:p>
    <w:p w14:paraId="5DDAD8E5" w14:textId="77777777" w:rsidR="00BD7D42" w:rsidRDefault="00BD7D42" w:rsidP="00BE563E">
      <w:pPr>
        <w:shd w:val="clear" w:color="auto" w:fill="FFFFFF"/>
        <w:spacing w:before="100"/>
        <w:ind w:right="0"/>
        <w:jc w:val="left"/>
      </w:pPr>
    </w:p>
    <w:p w14:paraId="69D7CDCB" w14:textId="77777777" w:rsidR="00BD7D42" w:rsidRDefault="00BD7D42" w:rsidP="00BE563E">
      <w:pPr>
        <w:shd w:val="clear" w:color="auto" w:fill="FFFFFF"/>
        <w:spacing w:before="100"/>
        <w:ind w:right="0"/>
        <w:jc w:val="left"/>
      </w:pPr>
    </w:p>
    <w:p w14:paraId="4B689289" w14:textId="77777777" w:rsidR="00BD7D42" w:rsidRDefault="00BD7D42" w:rsidP="00BE563E">
      <w:pPr>
        <w:shd w:val="clear" w:color="auto" w:fill="FFFFFF"/>
        <w:spacing w:before="100"/>
        <w:ind w:right="0"/>
        <w:jc w:val="left"/>
      </w:pPr>
    </w:p>
    <w:p w14:paraId="4258484B" w14:textId="77777777" w:rsidR="00BD7D42" w:rsidRDefault="00BD7D42" w:rsidP="00BE563E">
      <w:pPr>
        <w:shd w:val="clear" w:color="auto" w:fill="FFFFFF"/>
        <w:spacing w:before="100"/>
        <w:ind w:right="0"/>
        <w:jc w:val="left"/>
      </w:pPr>
    </w:p>
    <w:p w14:paraId="7FA523D6" w14:textId="77777777" w:rsidR="00BD7D42" w:rsidRDefault="00BD7D42" w:rsidP="00BE563E">
      <w:pPr>
        <w:shd w:val="clear" w:color="auto" w:fill="FFFFFF"/>
        <w:spacing w:before="100"/>
        <w:ind w:right="0"/>
        <w:jc w:val="left"/>
      </w:pPr>
    </w:p>
    <w:p w14:paraId="6CC66FF3" w14:textId="77777777" w:rsidR="00BD7D42" w:rsidRDefault="00BD7D42" w:rsidP="00BE563E">
      <w:pPr>
        <w:shd w:val="clear" w:color="auto" w:fill="FFFFFF"/>
        <w:spacing w:before="100"/>
        <w:ind w:right="0"/>
        <w:jc w:val="left"/>
      </w:pPr>
    </w:p>
    <w:p w14:paraId="0952B7A9" w14:textId="77777777" w:rsidR="00BD7D42" w:rsidRDefault="00BD7D42" w:rsidP="00BE563E">
      <w:pPr>
        <w:shd w:val="clear" w:color="auto" w:fill="FFFFFF"/>
        <w:spacing w:before="100"/>
        <w:ind w:right="0"/>
        <w:jc w:val="left"/>
      </w:pPr>
    </w:p>
    <w:p w14:paraId="08DAFA98" w14:textId="77777777" w:rsidR="00BD7D42" w:rsidRDefault="00BD7D42" w:rsidP="00BE563E">
      <w:pPr>
        <w:shd w:val="clear" w:color="auto" w:fill="FFFFFF"/>
        <w:spacing w:before="100"/>
        <w:ind w:right="0"/>
        <w:jc w:val="left"/>
      </w:pPr>
    </w:p>
    <w:p w14:paraId="5E28CB89" w14:textId="77777777" w:rsidR="00BD7D42" w:rsidRDefault="00BD7D42" w:rsidP="00BE563E">
      <w:pPr>
        <w:shd w:val="clear" w:color="auto" w:fill="FFFFFF"/>
        <w:spacing w:before="100"/>
        <w:ind w:right="0"/>
        <w:jc w:val="left"/>
      </w:pPr>
    </w:p>
    <w:p w14:paraId="6D26201B" w14:textId="77777777" w:rsidR="00BD7D42" w:rsidRDefault="00BD7D42" w:rsidP="00BE563E">
      <w:pPr>
        <w:shd w:val="clear" w:color="auto" w:fill="FFFFFF"/>
        <w:spacing w:before="100"/>
        <w:ind w:right="0"/>
        <w:jc w:val="left"/>
      </w:pPr>
    </w:p>
    <w:p w14:paraId="2FACEB63" w14:textId="77777777" w:rsidR="00BD7D42" w:rsidRDefault="00BD7D42" w:rsidP="00BE563E">
      <w:pPr>
        <w:shd w:val="clear" w:color="auto" w:fill="FFFFFF"/>
        <w:spacing w:before="100"/>
        <w:ind w:right="0"/>
        <w:jc w:val="left"/>
      </w:pPr>
    </w:p>
    <w:p w14:paraId="7DC56303" w14:textId="77777777" w:rsidR="00BD7D42" w:rsidRDefault="00BD7D42" w:rsidP="00BE563E">
      <w:pPr>
        <w:shd w:val="clear" w:color="auto" w:fill="FFFFFF"/>
        <w:spacing w:before="100"/>
        <w:ind w:right="0"/>
        <w:jc w:val="left"/>
      </w:pPr>
    </w:p>
    <w:p w14:paraId="459FEB19" w14:textId="77777777" w:rsidR="00BD7D42" w:rsidRDefault="00BD7D42" w:rsidP="00BE563E">
      <w:pPr>
        <w:shd w:val="clear" w:color="auto" w:fill="FFFFFF"/>
        <w:spacing w:before="100"/>
        <w:ind w:right="0"/>
        <w:jc w:val="left"/>
      </w:pPr>
    </w:p>
    <w:p w14:paraId="77B90030" w14:textId="77777777" w:rsidR="00BD7D42" w:rsidRDefault="00BD7D42" w:rsidP="00BE563E">
      <w:pPr>
        <w:shd w:val="clear" w:color="auto" w:fill="FFFFFF"/>
        <w:spacing w:before="100"/>
        <w:ind w:right="0"/>
        <w:jc w:val="left"/>
      </w:pPr>
    </w:p>
    <w:p w14:paraId="0325333B" w14:textId="77777777" w:rsidR="00BD7D42" w:rsidRDefault="00BD7D42" w:rsidP="00BE563E">
      <w:pPr>
        <w:shd w:val="clear" w:color="auto" w:fill="FFFFFF"/>
        <w:spacing w:before="100"/>
        <w:ind w:right="0"/>
        <w:jc w:val="left"/>
      </w:pPr>
    </w:p>
    <w:sectPr w:rsidR="00BD7D42">
      <w:headerReference w:type="default" r:id="rId22"/>
      <w:footerReference w:type="default" r:id="rId23"/>
      <w:pgSz w:w="11906" w:h="16838"/>
      <w:pgMar w:top="1701" w:right="1701" w:bottom="1134" w:left="1701" w:header="567" w:footer="56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050B07" w14:textId="77777777" w:rsidR="000C7F58" w:rsidRDefault="000C7F58">
      <w:pPr>
        <w:spacing w:before="0" w:line="240" w:lineRule="auto"/>
      </w:pPr>
      <w:r>
        <w:separator/>
      </w:r>
    </w:p>
  </w:endnote>
  <w:endnote w:type="continuationSeparator" w:id="0">
    <w:p w14:paraId="0D40912B" w14:textId="77777777" w:rsidR="000C7F58" w:rsidRDefault="000C7F58">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Neue Light">
    <w:altName w:val="Calibri"/>
    <w:charset w:val="00"/>
    <w:family w:val="auto"/>
    <w:pitch w:val="variable"/>
    <w:sig w:usb0="A00002FF" w:usb1="5000205B" w:usb2="00000002" w:usb3="00000000" w:csb0="00000007" w:csb1="00000000"/>
  </w:font>
  <w:font w:name="Helvetica Neue">
    <w:altName w:val="Sylfaen"/>
    <w:charset w:val="00"/>
    <w:family w:val="auto"/>
    <w:pitch w:val="variable"/>
    <w:sig w:usb0="E50002FF" w:usb1="500079DB" w:usb2="00000010" w:usb3="00000000" w:csb0="00000001" w:csb1="00000000"/>
  </w:font>
  <w:font w:name="Calibri">
    <w:panose1 w:val="020F0502020204030204"/>
    <w:charset w:val="00"/>
    <w:family w:val="swiss"/>
    <w:pitch w:val="variable"/>
    <w:sig w:usb0="E4002EFF" w:usb1="C200247B" w:usb2="00000009" w:usb3="00000000" w:csb0="000001FF" w:csb1="00000000"/>
    <w:embedRegular r:id="rId1" w:fontKey="{01CA7ED9-D56C-4DB8-BC53-8599F92F1676}"/>
    <w:embedBold r:id="rId2" w:fontKey="{17CC6258-403B-41A4-BA55-0C6FC798DCF7}"/>
  </w:font>
  <w:font w:name="Cambria">
    <w:panose1 w:val="02040503050406030204"/>
    <w:charset w:val="00"/>
    <w:family w:val="roman"/>
    <w:pitch w:val="variable"/>
    <w:sig w:usb0="E00006FF" w:usb1="420024FF" w:usb2="02000000" w:usb3="00000000" w:csb0="0000019F" w:csb1="00000000"/>
    <w:embedRegular r:id="rId3" w:fontKey="{14818F94-19FB-48FA-B0E1-C1F355E3DD83}"/>
  </w:font>
  <w:font w:name="Cambria Math">
    <w:panose1 w:val="02040503050406030204"/>
    <w:charset w:val="00"/>
    <w:family w:val="roman"/>
    <w:pitch w:val="variable"/>
    <w:sig w:usb0="E00006FF" w:usb1="420024FF" w:usb2="02000000" w:usb3="00000000" w:csb0="0000019F" w:csb1="00000000"/>
    <w:embedRegular r:id="rId4" w:fontKey="{2F68C30A-DD42-4646-8092-18A91E021BB7}"/>
  </w:font>
  <w:font w:name="Arial Nova Light">
    <w:charset w:val="00"/>
    <w:family w:val="swiss"/>
    <w:pitch w:val="variable"/>
    <w:sig w:usb0="0000028F" w:usb1="00000002" w:usb2="00000000" w:usb3="00000000" w:csb0="0000019F" w:csb1="00000000"/>
    <w:embedRegular r:id="rId5" w:fontKey="{3093FD65-D36A-4D53-887F-C86476A23C83}"/>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B5E0A" w14:textId="77777777" w:rsidR="0019302D" w:rsidRDefault="006E60C5">
    <w:pPr>
      <w:pBdr>
        <w:top w:val="nil"/>
        <w:left w:val="nil"/>
        <w:bottom w:val="nil"/>
        <w:right w:val="nil"/>
        <w:between w:val="nil"/>
      </w:pBdr>
      <w:tabs>
        <w:tab w:val="center" w:pos="4252"/>
        <w:tab w:val="right" w:pos="8504"/>
      </w:tabs>
      <w:spacing w:before="0" w:line="240" w:lineRule="auto"/>
      <w:jc w:val="right"/>
      <w:rPr>
        <w:color w:val="000000"/>
      </w:rPr>
    </w:pPr>
    <w:r>
      <w:rPr>
        <w:color w:val="000000"/>
      </w:rPr>
      <w:fldChar w:fldCharType="begin"/>
    </w:r>
    <w:r>
      <w:rPr>
        <w:color w:val="000000"/>
      </w:rPr>
      <w:instrText>PAGE</w:instrText>
    </w:r>
    <w:r w:rsidR="000C7F58">
      <w:rPr>
        <w:color w:val="000000"/>
      </w:rPr>
      <w:fldChar w:fldCharType="separate"/>
    </w:r>
    <w:r>
      <w:rPr>
        <w:color w:val="000000"/>
      </w:rPr>
      <w:fldChar w:fldCharType="end"/>
    </w:r>
  </w:p>
  <w:p w14:paraId="690361A6" w14:textId="77777777" w:rsidR="0019302D" w:rsidRDefault="006E60C5">
    <w:pPr>
      <w:pBdr>
        <w:top w:val="nil"/>
        <w:left w:val="nil"/>
        <w:bottom w:val="nil"/>
        <w:right w:val="nil"/>
        <w:between w:val="nil"/>
      </w:pBdr>
      <w:tabs>
        <w:tab w:val="center" w:pos="4252"/>
        <w:tab w:val="right" w:pos="8504"/>
      </w:tabs>
      <w:spacing w:before="0" w:line="240" w:lineRule="auto"/>
      <w:ind w:right="360"/>
      <w:jc w:val="right"/>
      <w:rPr>
        <w:color w:val="000000"/>
      </w:rPr>
    </w:pPr>
    <w:r>
      <w:rPr>
        <w:color w:val="000000"/>
      </w:rPr>
      <w:fldChar w:fldCharType="begin"/>
    </w:r>
    <w:r>
      <w:rPr>
        <w:color w:val="000000"/>
      </w:rPr>
      <w:instrText>PAGE</w:instrText>
    </w:r>
    <w:r w:rsidR="000C7F58">
      <w:rPr>
        <w:color w:val="000000"/>
      </w:rPr>
      <w:fldChar w:fldCharType="separate"/>
    </w:r>
    <w:r>
      <w:rPr>
        <w:color w:val="000000"/>
      </w:rPr>
      <w:fldChar w:fldCharType="end"/>
    </w:r>
  </w:p>
  <w:p w14:paraId="41C60A1A" w14:textId="77777777" w:rsidR="0019302D" w:rsidRDefault="0019302D">
    <w:pPr>
      <w:pBdr>
        <w:top w:val="nil"/>
        <w:left w:val="nil"/>
        <w:bottom w:val="nil"/>
        <w:right w:val="nil"/>
        <w:between w:val="nil"/>
      </w:pBdr>
      <w:tabs>
        <w:tab w:val="center" w:pos="4252"/>
        <w:tab w:val="right" w:pos="8504"/>
      </w:tabs>
      <w:spacing w:before="0" w:line="240" w:lineRule="auto"/>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B9043" w14:textId="77777777" w:rsidR="0019302D" w:rsidRDefault="006E60C5">
    <w:pPr>
      <w:tabs>
        <w:tab w:val="left" w:pos="5954"/>
        <w:tab w:val="left" w:pos="7360"/>
      </w:tabs>
      <w:spacing w:before="0"/>
      <w:ind w:right="1"/>
      <w:jc w:val="left"/>
      <w:rPr>
        <w:sz w:val="13"/>
        <w:szCs w:val="13"/>
      </w:rPr>
    </w:pPr>
    <w:r>
      <w:rPr>
        <w:color w:val="FFFFFF"/>
        <w:sz w:val="13"/>
        <w:szCs w:val="13"/>
      </w:rPr>
      <w:t>IMP.GE.260.1</w:t>
    </w:r>
    <w:r>
      <w:rPr>
        <w:color w:val="FFFFFF"/>
        <w:sz w:val="13"/>
        <w:szCs w:val="13"/>
      </w:rPr>
      <w:tab/>
    </w:r>
    <w:r>
      <w:rPr>
        <w:sz w:val="13"/>
        <w:szCs w:val="13"/>
      </w:rPr>
      <w:fldChar w:fldCharType="begin"/>
    </w:r>
    <w:r>
      <w:rPr>
        <w:sz w:val="13"/>
        <w:szCs w:val="13"/>
      </w:rPr>
      <w:instrText>PAGE</w:instrText>
    </w:r>
    <w:r>
      <w:rPr>
        <w:sz w:val="13"/>
        <w:szCs w:val="13"/>
      </w:rPr>
      <w:fldChar w:fldCharType="separate"/>
    </w:r>
    <w:r w:rsidR="00CF390C">
      <w:rPr>
        <w:noProof/>
        <w:sz w:val="13"/>
        <w:szCs w:val="13"/>
      </w:rPr>
      <w:t>1</w:t>
    </w:r>
    <w:r>
      <w:rPr>
        <w:sz w:val="13"/>
        <w:szCs w:val="13"/>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12202" w14:textId="47060AD8" w:rsidR="0019302D" w:rsidRPr="00AA60B8" w:rsidRDefault="006E60C5">
    <w:pPr>
      <w:spacing w:before="0"/>
      <w:ind w:right="299"/>
      <w:rPr>
        <w:color w:val="DCF1FE"/>
        <w:sz w:val="13"/>
        <w:szCs w:val="13"/>
      </w:rPr>
    </w:pPr>
    <w:r w:rsidRPr="00AA60B8">
      <w:rPr>
        <w:color w:val="DCF1FE"/>
        <w:sz w:val="13"/>
        <w:szCs w:val="13"/>
      </w:rPr>
      <w:t>IMP.GE.</w:t>
    </w:r>
    <w:r w:rsidR="00AA60B8" w:rsidRPr="00AA60B8">
      <w:rPr>
        <w:color w:val="DCF1FE"/>
        <w:sz w:val="13"/>
        <w:szCs w:val="13"/>
      </w:rPr>
      <w:t>299</w:t>
    </w:r>
    <w:r w:rsidRPr="00AA60B8">
      <w:rPr>
        <w:color w:val="DCF1FE"/>
        <w:sz w:val="13"/>
        <w:szCs w:val="13"/>
      </w:rPr>
      <w:t>.0</w:t>
    </w:r>
  </w:p>
  <w:p w14:paraId="0472A3DC" w14:textId="77777777" w:rsidR="0019302D" w:rsidRDefault="0019302D">
    <w:pPr>
      <w:spacing w:before="0"/>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E7B47" w14:textId="54342E01" w:rsidR="0019302D" w:rsidRDefault="00724407" w:rsidP="00724407">
    <w:pPr>
      <w:pBdr>
        <w:top w:val="nil"/>
        <w:left w:val="nil"/>
        <w:bottom w:val="nil"/>
        <w:right w:val="nil"/>
        <w:between w:val="nil"/>
      </w:pBdr>
      <w:tabs>
        <w:tab w:val="center" w:pos="4252"/>
        <w:tab w:val="left" w:pos="8222"/>
        <w:tab w:val="right" w:pos="8504"/>
      </w:tabs>
      <w:spacing w:before="0" w:line="240" w:lineRule="auto"/>
      <w:jc w:val="left"/>
      <w:rPr>
        <w:sz w:val="14"/>
        <w:szCs w:val="14"/>
      </w:rPr>
    </w:pPr>
    <w:r w:rsidRPr="00724407">
      <w:rPr>
        <w:sz w:val="14"/>
        <w:szCs w:val="14"/>
      </w:rPr>
      <w:t>O impacto da federalização da União Europeia na soberania dos Estados-Membros: vantagens e desafios</w:t>
    </w:r>
    <w:r w:rsidR="006E60C5">
      <w:rPr>
        <w:sz w:val="14"/>
        <w:szCs w:val="14"/>
      </w:rPr>
      <w:tab/>
    </w:r>
    <w:r w:rsidR="006E60C5">
      <w:rPr>
        <w:sz w:val="14"/>
        <w:szCs w:val="14"/>
      </w:rPr>
      <w:tab/>
    </w:r>
    <w:r w:rsidR="006E60C5">
      <w:rPr>
        <w:color w:val="000000"/>
        <w:sz w:val="13"/>
        <w:szCs w:val="13"/>
      </w:rPr>
      <w:fldChar w:fldCharType="begin"/>
    </w:r>
    <w:r w:rsidR="006E60C5">
      <w:rPr>
        <w:color w:val="000000"/>
        <w:sz w:val="13"/>
        <w:szCs w:val="13"/>
      </w:rPr>
      <w:instrText>PAGE</w:instrText>
    </w:r>
    <w:r w:rsidR="006E60C5">
      <w:rPr>
        <w:color w:val="000000"/>
        <w:sz w:val="13"/>
        <w:szCs w:val="13"/>
      </w:rPr>
      <w:fldChar w:fldCharType="separate"/>
    </w:r>
    <w:r w:rsidR="00CF390C">
      <w:rPr>
        <w:noProof/>
        <w:color w:val="000000"/>
        <w:sz w:val="13"/>
        <w:szCs w:val="13"/>
      </w:rPr>
      <w:t>1</w:t>
    </w:r>
    <w:r w:rsidR="006E60C5">
      <w:rPr>
        <w:color w:val="000000"/>
        <w:sz w:val="13"/>
        <w:szCs w:val="13"/>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F63E1" w14:textId="77777777" w:rsidR="0019302D" w:rsidRDefault="006E60C5">
    <w:pPr>
      <w:spacing w:before="0"/>
      <w:ind w:right="0"/>
      <w:jc w:val="center"/>
      <w:rPr>
        <w:sz w:val="14"/>
        <w:szCs w:val="14"/>
      </w:rPr>
    </w:pPr>
    <w:r>
      <w:rPr>
        <w:noProof/>
        <w:sz w:val="14"/>
        <w:szCs w:val="14"/>
      </w:rPr>
      <w:drawing>
        <wp:inline distT="0" distB="0" distL="0" distR="0" wp14:anchorId="3E6C1A72" wp14:editId="543F5CE8">
          <wp:extent cx="1080000" cy="1070690"/>
          <wp:effectExtent l="0" t="0" r="0" b="0"/>
          <wp:docPr id="1646502578" name="image1.png" descr="Uma imagem com Tipo de letra, círculo, Gráficos, captura de ecrã&#10;&#10;Descrição gerada automaticamente"/>
          <wp:cNvGraphicFramePr/>
          <a:graphic xmlns:a="http://schemas.openxmlformats.org/drawingml/2006/main">
            <a:graphicData uri="http://schemas.openxmlformats.org/drawingml/2006/picture">
              <pic:pic xmlns:pic="http://schemas.openxmlformats.org/drawingml/2006/picture">
                <pic:nvPicPr>
                  <pic:cNvPr id="0" name="image1.png" descr="Uma imagem com Tipo de letra, círculo, Gráficos, captura de ecrã&#10;&#10;Descrição gerada automaticamente"/>
                  <pic:cNvPicPr preferRelativeResize="0"/>
                </pic:nvPicPr>
                <pic:blipFill>
                  <a:blip r:embed="rId1"/>
                  <a:srcRect/>
                  <a:stretch>
                    <a:fillRect/>
                  </a:stretch>
                </pic:blipFill>
                <pic:spPr>
                  <a:xfrm>
                    <a:off x="0" y="0"/>
                    <a:ext cx="1080000" cy="1070690"/>
                  </a:xfrm>
                  <a:prstGeom prst="rect">
                    <a:avLst/>
                  </a:prstGeom>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C5FB83" w14:textId="77777777" w:rsidR="000C7F58" w:rsidRDefault="000C7F58">
      <w:pPr>
        <w:spacing w:before="0" w:line="240" w:lineRule="auto"/>
      </w:pPr>
      <w:r>
        <w:separator/>
      </w:r>
    </w:p>
  </w:footnote>
  <w:footnote w:type="continuationSeparator" w:id="0">
    <w:p w14:paraId="3701B142" w14:textId="77777777" w:rsidR="000C7F58" w:rsidRDefault="000C7F58">
      <w:pPr>
        <w:spacing w:before="0" w:line="240" w:lineRule="auto"/>
      </w:pPr>
      <w:r>
        <w:continuationSeparator/>
      </w:r>
    </w:p>
  </w:footnote>
  <w:footnote w:id="1">
    <w:p w14:paraId="5C60DE71" w14:textId="457F8E87" w:rsidR="004E05F7" w:rsidRDefault="004E05F7">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COMISSÃO EUROPEIA</w:t>
      </w:r>
      <w:r w:rsidRPr="004E05F7">
        <w:rPr>
          <w:sz w:val="16"/>
          <w:szCs w:val="16"/>
        </w:rPr>
        <w:t xml:space="preserve">. </w:t>
      </w:r>
      <w:r w:rsidRPr="004E05F7">
        <w:rPr>
          <w:i/>
          <w:iCs/>
          <w:sz w:val="16"/>
          <w:szCs w:val="16"/>
        </w:rPr>
        <w:t>A União Europeia</w:t>
      </w:r>
      <w:r w:rsidRPr="004E05F7">
        <w:rPr>
          <w:sz w:val="16"/>
          <w:szCs w:val="16"/>
        </w:rPr>
        <w:t>. União Europeia. Disponível em: https://portugal.representation.ec.europa.eu/quem-somos/uniao-europeia_pt. Consult. 12-12-2025</w:t>
      </w:r>
      <w:r>
        <w:rPr>
          <w:sz w:val="16"/>
          <w:szCs w:val="16"/>
        </w:rPr>
        <w:t>.</w:t>
      </w:r>
    </w:p>
  </w:footnote>
  <w:footnote w:id="2">
    <w:p w14:paraId="30444C02" w14:textId="238DADBA" w:rsidR="00CA2845" w:rsidRPr="0025083A" w:rsidRDefault="00CA2845">
      <w:pPr>
        <w:pStyle w:val="Textodenotaderodap"/>
        <w:rPr>
          <w:sz w:val="16"/>
          <w:szCs w:val="16"/>
        </w:rPr>
      </w:pPr>
      <w:r w:rsidRPr="0025083A">
        <w:rPr>
          <w:rStyle w:val="Refdenotaderodap"/>
          <w:sz w:val="16"/>
          <w:szCs w:val="16"/>
        </w:rPr>
        <w:footnoteRef/>
      </w:r>
      <w:r w:rsidRPr="0025083A">
        <w:rPr>
          <w:sz w:val="16"/>
          <w:szCs w:val="16"/>
        </w:rPr>
        <w:t xml:space="preserve"> </w:t>
      </w:r>
      <w:r w:rsidR="005F06E7" w:rsidRPr="0025083A">
        <w:rPr>
          <w:sz w:val="16"/>
          <w:szCs w:val="16"/>
        </w:rPr>
        <w:t xml:space="preserve">ELAZAR, Daniel J. </w:t>
      </w:r>
      <w:r w:rsidR="005F06E7" w:rsidRPr="0025083A">
        <w:rPr>
          <w:i/>
          <w:iCs/>
          <w:sz w:val="16"/>
          <w:szCs w:val="16"/>
        </w:rPr>
        <w:t>Europe and Federal Experience</w:t>
      </w:r>
      <w:r w:rsidR="005F06E7" w:rsidRPr="0025083A">
        <w:rPr>
          <w:sz w:val="16"/>
          <w:szCs w:val="16"/>
        </w:rPr>
        <w:t>. Jerusalem Center for Public Affairs. Disponível em: https://dje.jcpa.org/articles/eur-fed-bruges.htm. Consult. 15-06-2025</w:t>
      </w:r>
      <w:r w:rsidR="002F39B1" w:rsidRPr="0025083A">
        <w:rPr>
          <w:sz w:val="16"/>
          <w:szCs w:val="16"/>
        </w:rPr>
        <w:t>.</w:t>
      </w:r>
    </w:p>
  </w:footnote>
  <w:footnote w:id="3">
    <w:p w14:paraId="718639CE" w14:textId="23F5B0D5" w:rsidR="00CA2845" w:rsidRPr="00595B4E" w:rsidRDefault="00CA2845" w:rsidP="00CA2845">
      <w:pPr>
        <w:pStyle w:val="Textodenotaderodap"/>
        <w:rPr>
          <w:i/>
          <w:iCs/>
        </w:rPr>
      </w:pPr>
      <w:r w:rsidRPr="0025083A">
        <w:rPr>
          <w:rStyle w:val="Refdenotaderodap"/>
          <w:sz w:val="16"/>
          <w:szCs w:val="16"/>
        </w:rPr>
        <w:footnoteRef/>
      </w:r>
      <w:r w:rsidRPr="0025083A">
        <w:rPr>
          <w:sz w:val="16"/>
          <w:szCs w:val="16"/>
        </w:rPr>
        <w:t xml:space="preserve"> </w:t>
      </w:r>
      <w:r w:rsidR="00595B4E" w:rsidRPr="0025083A">
        <w:rPr>
          <w:sz w:val="16"/>
          <w:szCs w:val="16"/>
        </w:rPr>
        <w:t>HORTA, Raul Machado.</w:t>
      </w:r>
      <w:r w:rsidRPr="0025083A">
        <w:rPr>
          <w:sz w:val="16"/>
          <w:szCs w:val="16"/>
        </w:rPr>
        <w:t xml:space="preserve"> Repartição de competências na Constituição Federa</w:t>
      </w:r>
      <w:r w:rsidR="00751EA5" w:rsidRPr="0025083A">
        <w:rPr>
          <w:sz w:val="16"/>
          <w:szCs w:val="16"/>
        </w:rPr>
        <w:t>l</w:t>
      </w:r>
      <w:r w:rsidRPr="0025083A">
        <w:rPr>
          <w:sz w:val="16"/>
          <w:szCs w:val="16"/>
        </w:rPr>
        <w:t xml:space="preserve">. </w:t>
      </w:r>
      <w:r w:rsidRPr="0025083A">
        <w:rPr>
          <w:i/>
          <w:iCs/>
          <w:sz w:val="16"/>
          <w:szCs w:val="16"/>
        </w:rPr>
        <w:t>R</w:t>
      </w:r>
      <w:r w:rsidR="00595B4E" w:rsidRPr="0025083A">
        <w:rPr>
          <w:i/>
          <w:iCs/>
          <w:sz w:val="16"/>
          <w:szCs w:val="16"/>
        </w:rPr>
        <w:t>evista da Faculdade de Direito.</w:t>
      </w:r>
      <w:r w:rsidR="00595B4E" w:rsidRPr="0025083A">
        <w:rPr>
          <w:sz w:val="16"/>
          <w:szCs w:val="16"/>
        </w:rPr>
        <w:t xml:space="preserve"> Universidade Federal de Minas Gerais. 1991, n.º 33, pp. 249-250. Disponível em: </w:t>
      </w:r>
      <w:hyperlink r:id="rId1" w:history="1">
        <w:r w:rsidR="00595B4E" w:rsidRPr="0025083A">
          <w:rPr>
            <w:rStyle w:val="Hiperligao"/>
            <w:sz w:val="16"/>
            <w:szCs w:val="16"/>
          </w:rPr>
          <w:t>https://revista.direito.ufmg.br/index.php/revista/pt/article/view/1431</w:t>
        </w:r>
      </w:hyperlink>
      <w:r w:rsidR="00595B4E" w:rsidRPr="0025083A">
        <w:rPr>
          <w:sz w:val="16"/>
          <w:szCs w:val="16"/>
        </w:rPr>
        <w:t>. Consult. 24-05-2025. ISSN: 0304-2340</w:t>
      </w:r>
      <w:r w:rsidR="002F39B1" w:rsidRPr="0025083A">
        <w:rPr>
          <w:sz w:val="16"/>
          <w:szCs w:val="16"/>
        </w:rPr>
        <w:t>.</w:t>
      </w:r>
    </w:p>
  </w:footnote>
  <w:footnote w:id="4">
    <w:p w14:paraId="7250B173" w14:textId="480B93AD" w:rsidR="00CA2845" w:rsidRDefault="00CA2845">
      <w:pPr>
        <w:pStyle w:val="Textodenotaderodap"/>
      </w:pPr>
      <w:r w:rsidRPr="0025083A">
        <w:rPr>
          <w:rStyle w:val="Refdenotaderodap"/>
          <w:sz w:val="16"/>
          <w:szCs w:val="16"/>
        </w:rPr>
        <w:footnoteRef/>
      </w:r>
      <w:r w:rsidRPr="0025083A">
        <w:rPr>
          <w:sz w:val="16"/>
          <w:szCs w:val="16"/>
        </w:rPr>
        <w:t xml:space="preserve"> DALLARI, Dalmo de Abreu. </w:t>
      </w:r>
      <w:r w:rsidRPr="0025083A">
        <w:rPr>
          <w:i/>
          <w:iCs/>
          <w:sz w:val="16"/>
          <w:szCs w:val="16"/>
        </w:rPr>
        <w:t>O estado federal.</w:t>
      </w:r>
      <w:r w:rsidRPr="0025083A">
        <w:rPr>
          <w:sz w:val="16"/>
          <w:szCs w:val="16"/>
        </w:rPr>
        <w:t xml:space="preserve"> São Paulo: Ática, 1986</w:t>
      </w:r>
      <w:r w:rsidR="00DE5D93" w:rsidRPr="0025083A">
        <w:rPr>
          <w:sz w:val="16"/>
          <w:szCs w:val="16"/>
        </w:rPr>
        <w:t>, pp. 77-78.</w:t>
      </w:r>
      <w:r w:rsidR="00354091" w:rsidRPr="0025083A">
        <w:rPr>
          <w:sz w:val="16"/>
          <w:szCs w:val="16"/>
        </w:rPr>
        <w:t xml:space="preserve"> ISBN: 85-08-01495-3.</w:t>
      </w:r>
    </w:p>
  </w:footnote>
  <w:footnote w:id="5">
    <w:p w14:paraId="43F20A7B" w14:textId="6FB6C8E7" w:rsidR="00CA2845" w:rsidRPr="004E05F7" w:rsidRDefault="00CA2845">
      <w:pPr>
        <w:pStyle w:val="Textodenotaderodap"/>
        <w:rPr>
          <w:sz w:val="16"/>
          <w:szCs w:val="16"/>
        </w:rPr>
      </w:pPr>
      <w:r w:rsidRPr="004E05F7">
        <w:rPr>
          <w:rStyle w:val="Refdenotaderodap"/>
          <w:sz w:val="16"/>
          <w:szCs w:val="16"/>
        </w:rPr>
        <w:footnoteRef/>
      </w:r>
      <w:r w:rsidRPr="004E05F7">
        <w:rPr>
          <w:sz w:val="16"/>
          <w:szCs w:val="16"/>
        </w:rPr>
        <w:t xml:space="preserve"> </w:t>
      </w:r>
      <w:r w:rsidR="00732FEE" w:rsidRPr="004E05F7">
        <w:rPr>
          <w:sz w:val="16"/>
          <w:szCs w:val="16"/>
        </w:rPr>
        <w:t xml:space="preserve">LENZA, Pedro. </w:t>
      </w:r>
      <w:r w:rsidR="00732FEE" w:rsidRPr="004E05F7">
        <w:rPr>
          <w:i/>
          <w:iCs/>
          <w:sz w:val="16"/>
          <w:szCs w:val="16"/>
        </w:rPr>
        <w:t>Direito constitucional esquematizado</w:t>
      </w:r>
      <w:r w:rsidR="00732FEE" w:rsidRPr="004E05F7">
        <w:rPr>
          <w:sz w:val="16"/>
          <w:szCs w:val="16"/>
        </w:rPr>
        <w:t>. São Paulo: Saraiva, 2015, 19ª edição, pp. 717-718. ISBN 978850262752-9.</w:t>
      </w:r>
    </w:p>
  </w:footnote>
  <w:footnote w:id="6">
    <w:p w14:paraId="3ED07766" w14:textId="10E1F25A" w:rsidR="00CA2845" w:rsidRDefault="00CA2845" w:rsidP="00CA2845">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CUNHA</w:t>
      </w:r>
      <w:r w:rsidR="00E51C18" w:rsidRPr="004E05F7">
        <w:rPr>
          <w:sz w:val="16"/>
          <w:szCs w:val="16"/>
        </w:rPr>
        <w:t xml:space="preserve">, Paulo de Pitta e. </w:t>
      </w:r>
      <w:r w:rsidR="00E51C18" w:rsidRPr="00D25262">
        <w:rPr>
          <w:i/>
          <w:iCs/>
          <w:sz w:val="16"/>
          <w:szCs w:val="16"/>
        </w:rPr>
        <w:t>Integração europeia: estudos de economia, direito e política comunitários: (1963-1993</w:t>
      </w:r>
      <w:r w:rsidR="00E51C18" w:rsidRPr="004E05F7">
        <w:rPr>
          <w:sz w:val="16"/>
          <w:szCs w:val="16"/>
        </w:rPr>
        <w:t>). 2.ª ed . Coimbra: Almedina, 2004, pp. 601-602. ISBN: 972-40-2252-8.</w:t>
      </w:r>
    </w:p>
  </w:footnote>
  <w:footnote w:id="7">
    <w:p w14:paraId="2411D660" w14:textId="77777777" w:rsidR="00F12442" w:rsidRPr="00F3701B" w:rsidRDefault="00F12442" w:rsidP="00F12442">
      <w:pPr>
        <w:pStyle w:val="Textodenotaderodap"/>
        <w:rPr>
          <w:i/>
          <w:iCs/>
        </w:rPr>
      </w:pPr>
      <w:r w:rsidRPr="004E05F7">
        <w:rPr>
          <w:rStyle w:val="Refdenotaderodap"/>
          <w:sz w:val="16"/>
          <w:szCs w:val="16"/>
        </w:rPr>
        <w:footnoteRef/>
      </w:r>
      <w:r w:rsidRPr="004E05F7">
        <w:rPr>
          <w:sz w:val="16"/>
          <w:szCs w:val="16"/>
        </w:rPr>
        <w:t xml:space="preserve"> ALTHUSIUS, Johannes. Politica. </w:t>
      </w:r>
      <w:r w:rsidRPr="004E05F7">
        <w:rPr>
          <w:i/>
          <w:iCs/>
          <w:sz w:val="16"/>
          <w:szCs w:val="16"/>
        </w:rPr>
        <w:t>The Online Library of Liberty</w:t>
      </w:r>
      <w:r w:rsidRPr="004E05F7">
        <w:rPr>
          <w:sz w:val="16"/>
          <w:szCs w:val="16"/>
        </w:rPr>
        <w:t xml:space="preserve"> [recurso eletrónico]. Indianapolis: A Project Of Liberty Fund, 2011. Disponível em: https://oll.libertyfund.org/titles/althusius-politica. Consult. 25-06-2025.  ISBN: 0–86597–114–5 (hardcover : acid-free paper) /  ISBN: 0-86597-115-3 (pbk. : acid-free paper).</w:t>
      </w:r>
    </w:p>
  </w:footnote>
  <w:footnote w:id="8">
    <w:p w14:paraId="7972597F" w14:textId="4857895E" w:rsidR="00AB1166" w:rsidRPr="004E05F7" w:rsidRDefault="00AB1166">
      <w:pPr>
        <w:pStyle w:val="Textodenotaderodap"/>
        <w:rPr>
          <w:sz w:val="16"/>
          <w:szCs w:val="16"/>
        </w:rPr>
      </w:pPr>
      <w:r w:rsidRPr="004E05F7">
        <w:rPr>
          <w:rStyle w:val="Refdenotaderodap"/>
          <w:sz w:val="16"/>
          <w:szCs w:val="16"/>
        </w:rPr>
        <w:footnoteRef/>
      </w:r>
      <w:r w:rsidRPr="004E05F7">
        <w:rPr>
          <w:sz w:val="16"/>
          <w:szCs w:val="16"/>
        </w:rPr>
        <w:t xml:space="preserve"> BARATA, Mário Simões.</w:t>
      </w:r>
      <w:r w:rsidRPr="004E05F7">
        <w:rPr>
          <w:i/>
          <w:iCs/>
          <w:sz w:val="16"/>
          <w:szCs w:val="16"/>
        </w:rPr>
        <w:t xml:space="preserve"> </w:t>
      </w:r>
      <w:r w:rsidRPr="004E05F7">
        <w:rPr>
          <w:sz w:val="16"/>
          <w:szCs w:val="16"/>
        </w:rPr>
        <w:t xml:space="preserve">O Antifederalismo Americano como Linguagem Político-Constitucional Alternativa. </w:t>
      </w:r>
      <w:r w:rsidRPr="004E05F7">
        <w:rPr>
          <w:i/>
          <w:iCs/>
          <w:sz w:val="16"/>
          <w:szCs w:val="16"/>
        </w:rPr>
        <w:t>Boletim da Faculdade de Direito.</w:t>
      </w:r>
      <w:r w:rsidRPr="004E05F7">
        <w:rPr>
          <w:sz w:val="16"/>
          <w:szCs w:val="16"/>
        </w:rPr>
        <w:t xml:space="preserve"> STUDIA IURIDICA 63. Coimbra: Coimbra Editora, 2002, pp. 90-91. ISBN: 972-32-1077-0.</w:t>
      </w:r>
    </w:p>
  </w:footnote>
  <w:footnote w:id="9">
    <w:p w14:paraId="784CD408" w14:textId="75BFB31A" w:rsidR="008556DC" w:rsidRPr="008556DC" w:rsidRDefault="008556DC">
      <w:pPr>
        <w:pStyle w:val="Textodenotaderodap"/>
      </w:pPr>
      <w:r w:rsidRPr="004E05F7">
        <w:rPr>
          <w:rStyle w:val="Refdenotaderodap"/>
          <w:sz w:val="16"/>
          <w:szCs w:val="16"/>
        </w:rPr>
        <w:footnoteRef/>
      </w:r>
      <w:r w:rsidRPr="004E05F7">
        <w:rPr>
          <w:sz w:val="16"/>
          <w:szCs w:val="16"/>
        </w:rPr>
        <w:t xml:space="preserve"> </w:t>
      </w:r>
      <w:r w:rsidR="006E68C8" w:rsidRPr="004E05F7">
        <w:rPr>
          <w:sz w:val="16"/>
          <w:szCs w:val="16"/>
        </w:rPr>
        <w:t xml:space="preserve">CRUZ, Paulo Márcio; BODNAR, Zenildo. A transnacionalidade e a emergência do Estado e do direito transnacionais [recurso eletrónico]. </w:t>
      </w:r>
      <w:r w:rsidR="006E68C8" w:rsidRPr="004E05F7">
        <w:rPr>
          <w:i/>
          <w:iCs/>
          <w:sz w:val="16"/>
          <w:szCs w:val="16"/>
        </w:rPr>
        <w:t>Revista da Faculdade de Direito do Sul de Minas</w:t>
      </w:r>
      <w:r w:rsidR="006E68C8" w:rsidRPr="004E05F7">
        <w:rPr>
          <w:sz w:val="16"/>
          <w:szCs w:val="16"/>
        </w:rPr>
        <w:t>. Faculdade de Direito do Sul de Minas. 2010, v. 26, n. 1,</w:t>
      </w:r>
      <w:r w:rsidR="00A92C89" w:rsidRPr="004E05F7">
        <w:rPr>
          <w:sz w:val="16"/>
          <w:szCs w:val="16"/>
        </w:rPr>
        <w:t xml:space="preserve"> p. 161</w:t>
      </w:r>
      <w:r w:rsidR="006E68C8" w:rsidRPr="004E05F7">
        <w:rPr>
          <w:sz w:val="16"/>
          <w:szCs w:val="16"/>
        </w:rPr>
        <w:t>. Disponível em: https://revista.fdsm.edu.br/index.php/revistafdsm/article/view/577. Consult. 25-06-2025. Versão eletrônica ISSN: 2447-8709.</w:t>
      </w:r>
    </w:p>
  </w:footnote>
  <w:footnote w:id="10">
    <w:p w14:paraId="77FCC479" w14:textId="2475323C" w:rsidR="00B767F5" w:rsidRPr="00B767F5" w:rsidRDefault="00B767F5" w:rsidP="00B767F5">
      <w:pPr>
        <w:pStyle w:val="Textodenotaderodap"/>
        <w:rPr>
          <w:sz w:val="16"/>
          <w:szCs w:val="16"/>
        </w:rPr>
      </w:pPr>
      <w:r>
        <w:rPr>
          <w:rStyle w:val="Refdenotaderodap"/>
        </w:rPr>
        <w:footnoteRef/>
      </w:r>
      <w:r>
        <w:t xml:space="preserve"> </w:t>
      </w:r>
      <w:r w:rsidRPr="00B767F5">
        <w:rPr>
          <w:sz w:val="16"/>
          <w:szCs w:val="16"/>
        </w:rPr>
        <w:t xml:space="preserve">BOTELHO, Catarina Santos. Transnational Constitutional Law. </w:t>
      </w:r>
      <w:r w:rsidRPr="00B767F5">
        <w:rPr>
          <w:i/>
          <w:iCs/>
          <w:sz w:val="16"/>
          <w:szCs w:val="16"/>
        </w:rPr>
        <w:t>Max Planck Encyclopedia of Comparative Constitutional Law.</w:t>
      </w:r>
      <w:r w:rsidRPr="00B767F5">
        <w:rPr>
          <w:sz w:val="16"/>
          <w:szCs w:val="16"/>
        </w:rPr>
        <w:t xml:space="preserve"> Oxford University Press, 2020</w:t>
      </w:r>
      <w:r w:rsidR="00400D7B">
        <w:rPr>
          <w:sz w:val="16"/>
          <w:szCs w:val="16"/>
        </w:rPr>
        <w:t>, pp. 1-2</w:t>
      </w:r>
      <w:r w:rsidRPr="00B767F5">
        <w:rPr>
          <w:sz w:val="16"/>
          <w:szCs w:val="16"/>
        </w:rPr>
        <w:t>. Disponível em: https://papers.ssrn.com/sol3/papers.cfm?abstract_id=3666230. Consult. 25-06-2025.</w:t>
      </w:r>
    </w:p>
  </w:footnote>
  <w:footnote w:id="11">
    <w:p w14:paraId="7C0D3010" w14:textId="751E4349" w:rsidR="008134D8" w:rsidRDefault="008134D8">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DIÁRIO DA REPÚBLICA</w:t>
      </w:r>
      <w:r w:rsidRPr="004E05F7">
        <w:rPr>
          <w:sz w:val="16"/>
          <w:szCs w:val="16"/>
        </w:rPr>
        <w:t xml:space="preserve">. </w:t>
      </w:r>
      <w:r w:rsidRPr="004E05F7">
        <w:rPr>
          <w:i/>
          <w:iCs/>
          <w:sz w:val="16"/>
          <w:szCs w:val="16"/>
        </w:rPr>
        <w:t>Confederação</w:t>
      </w:r>
      <w:r w:rsidRPr="004E05F7">
        <w:rPr>
          <w:sz w:val="16"/>
          <w:szCs w:val="16"/>
        </w:rPr>
        <w:t xml:space="preserve">. Jornal Oficial da República Portuguesa. Disponível em: </w:t>
      </w:r>
      <w:hyperlink r:id="rId2" w:history="1">
        <w:r w:rsidRPr="004E05F7">
          <w:rPr>
            <w:rStyle w:val="Hiperligao"/>
            <w:sz w:val="16"/>
            <w:szCs w:val="16"/>
          </w:rPr>
          <w:t>https://diariodarepublica.pt/dr/lexionario/termo/confederacao</w:t>
        </w:r>
      </w:hyperlink>
      <w:r w:rsidRPr="004E05F7">
        <w:rPr>
          <w:sz w:val="16"/>
          <w:szCs w:val="16"/>
        </w:rPr>
        <w:t>. Consult. 25-06-2025.</w:t>
      </w:r>
    </w:p>
  </w:footnote>
  <w:footnote w:id="12">
    <w:p w14:paraId="78762873" w14:textId="4C56E7DA" w:rsidR="00D9566D" w:rsidRPr="00D9566D" w:rsidRDefault="00D9566D">
      <w:pPr>
        <w:pStyle w:val="Textodenotaderodap"/>
      </w:pPr>
      <w:r w:rsidRPr="004E05F7">
        <w:rPr>
          <w:rStyle w:val="Refdenotaderodap"/>
          <w:sz w:val="16"/>
          <w:szCs w:val="16"/>
        </w:rPr>
        <w:footnoteRef/>
      </w:r>
      <w:r w:rsidRPr="004E05F7">
        <w:rPr>
          <w:sz w:val="16"/>
          <w:szCs w:val="16"/>
        </w:rPr>
        <w:t xml:space="preserve"> OLIVEIRA, Vitor Eduardo Tavares de. Breves considerações sobre direitos humanos fundamentais e a supranacionalidade</w:t>
      </w:r>
      <w:r w:rsidR="00943DA5" w:rsidRPr="004E05F7">
        <w:rPr>
          <w:sz w:val="16"/>
          <w:szCs w:val="16"/>
        </w:rPr>
        <w:t xml:space="preserve">. </w:t>
      </w:r>
      <w:r w:rsidR="00943DA5" w:rsidRPr="004E05F7">
        <w:rPr>
          <w:i/>
          <w:iCs/>
          <w:sz w:val="16"/>
          <w:szCs w:val="16"/>
        </w:rPr>
        <w:t>Revista Jurídica da Presidência da República</w:t>
      </w:r>
      <w:r w:rsidR="00943DA5" w:rsidRPr="004E05F7">
        <w:rPr>
          <w:sz w:val="16"/>
          <w:szCs w:val="16"/>
        </w:rPr>
        <w:t xml:space="preserve">. 2006, </w:t>
      </w:r>
      <w:r w:rsidR="00321342" w:rsidRPr="004E05F7">
        <w:rPr>
          <w:sz w:val="16"/>
          <w:szCs w:val="16"/>
        </w:rPr>
        <w:t>n.º 77,</w:t>
      </w:r>
      <w:r w:rsidR="00A524E7" w:rsidRPr="004E05F7">
        <w:rPr>
          <w:sz w:val="16"/>
          <w:szCs w:val="16"/>
        </w:rPr>
        <w:t xml:space="preserve"> p. 87.</w:t>
      </w:r>
      <w:r w:rsidR="00321342" w:rsidRPr="004E05F7">
        <w:rPr>
          <w:sz w:val="16"/>
          <w:szCs w:val="16"/>
        </w:rPr>
        <w:t xml:space="preserve"> Disponível em </w:t>
      </w:r>
      <w:hyperlink r:id="rId3" w:history="1">
        <w:r w:rsidR="00321342" w:rsidRPr="004E05F7">
          <w:rPr>
            <w:rStyle w:val="Hiperligao"/>
            <w:sz w:val="16"/>
            <w:szCs w:val="16"/>
          </w:rPr>
          <w:t>https://revistajuridica.presidencia.gov.br/index.php/saj/article/view/461</w:t>
        </w:r>
      </w:hyperlink>
      <w:r w:rsidR="006E4B65" w:rsidRPr="004E05F7">
        <w:rPr>
          <w:sz w:val="16"/>
          <w:szCs w:val="16"/>
        </w:rPr>
        <w:t xml:space="preserve">. </w:t>
      </w:r>
      <w:r w:rsidR="009A7BD0" w:rsidRPr="004E05F7">
        <w:rPr>
          <w:sz w:val="16"/>
          <w:szCs w:val="16"/>
        </w:rPr>
        <w:t>C</w:t>
      </w:r>
      <w:r w:rsidR="006E4B65" w:rsidRPr="004E05F7">
        <w:rPr>
          <w:sz w:val="16"/>
          <w:szCs w:val="16"/>
        </w:rPr>
        <w:t xml:space="preserve">onsult 26-06-2025. ISSN </w:t>
      </w:r>
      <w:r w:rsidR="00E402E6" w:rsidRPr="004E05F7">
        <w:rPr>
          <w:sz w:val="16"/>
          <w:szCs w:val="16"/>
        </w:rPr>
        <w:t>2236-3645.</w:t>
      </w:r>
    </w:p>
  </w:footnote>
  <w:footnote w:id="13">
    <w:p w14:paraId="01EDAAC5" w14:textId="6ABADAF8" w:rsidR="00D9566D" w:rsidRPr="004E05F7" w:rsidRDefault="00D9566D">
      <w:pPr>
        <w:pStyle w:val="Textodenotaderodap"/>
        <w:rPr>
          <w:sz w:val="16"/>
          <w:szCs w:val="16"/>
        </w:rPr>
      </w:pPr>
      <w:r w:rsidRPr="004E05F7">
        <w:rPr>
          <w:rStyle w:val="Refdenotaderodap"/>
          <w:sz w:val="16"/>
          <w:szCs w:val="16"/>
        </w:rPr>
        <w:footnoteRef/>
      </w:r>
      <w:r w:rsidRPr="004E05F7">
        <w:rPr>
          <w:sz w:val="16"/>
          <w:szCs w:val="16"/>
        </w:rPr>
        <w:t xml:space="preserve"> </w:t>
      </w:r>
      <w:r w:rsidR="000B7919" w:rsidRPr="004E05F7">
        <w:rPr>
          <w:sz w:val="16"/>
          <w:szCs w:val="16"/>
        </w:rPr>
        <w:t xml:space="preserve">CUNHA, Paulo de Pitta e. </w:t>
      </w:r>
      <w:r w:rsidR="000B7919" w:rsidRPr="004E05F7">
        <w:rPr>
          <w:i/>
          <w:iCs/>
          <w:sz w:val="16"/>
          <w:szCs w:val="16"/>
        </w:rPr>
        <w:t>Integração europeia: estudos de economia, direito e política comunitários: (1963-1993).</w:t>
      </w:r>
      <w:r w:rsidR="000B7919" w:rsidRPr="004E05F7">
        <w:rPr>
          <w:sz w:val="16"/>
          <w:szCs w:val="16"/>
        </w:rPr>
        <w:t xml:space="preserve"> 2.ª ed . Coimbra: Almedina, 2004. ISBN: 972-40-2252-8.</w:t>
      </w:r>
    </w:p>
  </w:footnote>
  <w:footnote w:id="14">
    <w:p w14:paraId="1816489B" w14:textId="6EE1BB4A" w:rsidR="00D8187A" w:rsidRPr="004E05F7" w:rsidRDefault="00D8187A">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UNIÃO EUROPEIA</w:t>
      </w:r>
      <w:r w:rsidRPr="004E05F7">
        <w:rPr>
          <w:sz w:val="16"/>
          <w:szCs w:val="16"/>
        </w:rPr>
        <w:t xml:space="preserve">. </w:t>
      </w:r>
      <w:r w:rsidRPr="004E05F7">
        <w:rPr>
          <w:i/>
          <w:iCs/>
          <w:sz w:val="16"/>
          <w:szCs w:val="16"/>
        </w:rPr>
        <w:t>História da UE</w:t>
      </w:r>
      <w:r w:rsidRPr="004E05F7">
        <w:rPr>
          <w:sz w:val="16"/>
          <w:szCs w:val="16"/>
        </w:rPr>
        <w:t>. União Europeia.</w:t>
      </w:r>
      <w:r w:rsidR="00CE2956" w:rsidRPr="004E05F7">
        <w:rPr>
          <w:sz w:val="16"/>
          <w:szCs w:val="16"/>
        </w:rPr>
        <w:t xml:space="preserve"> Disponível em:</w:t>
      </w:r>
      <w:r w:rsidRPr="004E05F7">
        <w:rPr>
          <w:sz w:val="16"/>
          <w:szCs w:val="16"/>
        </w:rPr>
        <w:t xml:space="preserve"> </w:t>
      </w:r>
      <w:hyperlink r:id="rId4" w:history="1">
        <w:r w:rsidRPr="004E05F7">
          <w:rPr>
            <w:rStyle w:val="Hiperligao"/>
            <w:sz w:val="16"/>
            <w:szCs w:val="16"/>
          </w:rPr>
          <w:t>https://european-union.europa.eu/principles-countries-history/history-eu_pt</w:t>
        </w:r>
      </w:hyperlink>
      <w:r w:rsidRPr="004E05F7">
        <w:rPr>
          <w:sz w:val="16"/>
          <w:szCs w:val="16"/>
        </w:rPr>
        <w:t xml:space="preserve">. </w:t>
      </w:r>
      <w:r w:rsidR="00CE2956" w:rsidRPr="004E05F7">
        <w:rPr>
          <w:sz w:val="16"/>
          <w:szCs w:val="16"/>
        </w:rPr>
        <w:t>Consult.</w:t>
      </w:r>
      <w:r w:rsidRPr="004E05F7">
        <w:rPr>
          <w:sz w:val="16"/>
          <w:szCs w:val="16"/>
        </w:rPr>
        <w:t xml:space="preserve"> 27-06-2025</w:t>
      </w:r>
      <w:r w:rsidR="002F39B1" w:rsidRPr="004E05F7">
        <w:rPr>
          <w:sz w:val="16"/>
          <w:szCs w:val="16"/>
        </w:rPr>
        <w:t>.</w:t>
      </w:r>
    </w:p>
  </w:footnote>
  <w:footnote w:id="15">
    <w:p w14:paraId="5480EF85" w14:textId="3B8EE80A" w:rsidR="00A12056" w:rsidRPr="004E05F7" w:rsidRDefault="00A12056">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color w:val="000000" w:themeColor="text1"/>
          <w:sz w:val="16"/>
          <w:szCs w:val="16"/>
        </w:rPr>
        <w:t xml:space="preserve">UNIÃO EUROPEIA </w:t>
      </w:r>
      <w:r w:rsidRPr="004E05F7">
        <w:rPr>
          <w:sz w:val="16"/>
          <w:szCs w:val="16"/>
        </w:rPr>
        <w:t xml:space="preserve">(2017-12-11). </w:t>
      </w:r>
      <w:r w:rsidRPr="004E05F7">
        <w:rPr>
          <w:i/>
          <w:iCs/>
          <w:sz w:val="16"/>
          <w:szCs w:val="16"/>
        </w:rPr>
        <w:t>Treaty establishing the European Coal and Steel Community, ECSC Treaty</w:t>
      </w:r>
      <w:r w:rsidRPr="004E05F7">
        <w:rPr>
          <w:sz w:val="16"/>
          <w:szCs w:val="16"/>
        </w:rPr>
        <w:t xml:space="preserve">. União Europeia. Disponível em: </w:t>
      </w:r>
      <w:hyperlink r:id="rId5" w:history="1">
        <w:r w:rsidRPr="004E05F7">
          <w:rPr>
            <w:rStyle w:val="Hiperligao"/>
            <w:sz w:val="16"/>
            <w:szCs w:val="16"/>
          </w:rPr>
          <w:t>https://eur-lex.europa.eu/EN/legal-content/summary/treaty-establishing-the-european-coal-and-steel-community-ecsc-treaty.html</w:t>
        </w:r>
      </w:hyperlink>
      <w:r w:rsidRPr="004E05F7">
        <w:rPr>
          <w:sz w:val="16"/>
          <w:szCs w:val="16"/>
        </w:rPr>
        <w:t xml:space="preserve">. </w:t>
      </w:r>
      <w:r w:rsidR="00CE2956" w:rsidRPr="004E05F7">
        <w:rPr>
          <w:sz w:val="16"/>
          <w:szCs w:val="16"/>
        </w:rPr>
        <w:t>Consult.</w:t>
      </w:r>
      <w:r w:rsidRPr="004E05F7">
        <w:rPr>
          <w:sz w:val="16"/>
          <w:szCs w:val="16"/>
        </w:rPr>
        <w:t xml:space="preserve"> 27-06-2025.</w:t>
      </w:r>
    </w:p>
  </w:footnote>
  <w:footnote w:id="16">
    <w:p w14:paraId="4FE0CA29" w14:textId="45D4A2A5" w:rsidR="00D8187A" w:rsidRDefault="00D8187A">
      <w:pPr>
        <w:pStyle w:val="Textodenotaderodap"/>
      </w:pPr>
      <w:r w:rsidRPr="004E05F7">
        <w:rPr>
          <w:rStyle w:val="Refdenotaderodap"/>
          <w:sz w:val="16"/>
          <w:szCs w:val="16"/>
        </w:rPr>
        <w:footnoteRef/>
      </w:r>
      <w:r w:rsidRPr="004E05F7">
        <w:rPr>
          <w:sz w:val="16"/>
          <w:szCs w:val="16"/>
        </w:rPr>
        <w:t xml:space="preserve"> </w:t>
      </w:r>
      <w:bookmarkStart w:id="20" w:name="_Hlk220014558"/>
      <w:r w:rsidR="00D25262" w:rsidRPr="004E05F7">
        <w:rPr>
          <w:color w:val="000000" w:themeColor="text1"/>
          <w:sz w:val="16"/>
          <w:szCs w:val="16"/>
        </w:rPr>
        <w:t xml:space="preserve">UNIÃO EUROPEIA </w:t>
      </w:r>
      <w:r w:rsidRPr="004E05F7">
        <w:rPr>
          <w:sz w:val="16"/>
          <w:szCs w:val="16"/>
        </w:rPr>
        <w:t>(2017</w:t>
      </w:r>
      <w:r w:rsidR="00CE2956" w:rsidRPr="004E05F7">
        <w:rPr>
          <w:sz w:val="16"/>
          <w:szCs w:val="16"/>
        </w:rPr>
        <w:t>-12-</w:t>
      </w:r>
      <w:r w:rsidRPr="004E05F7">
        <w:rPr>
          <w:sz w:val="16"/>
          <w:szCs w:val="16"/>
        </w:rPr>
        <w:t xml:space="preserve">11). </w:t>
      </w:r>
      <w:r w:rsidRPr="004E05F7">
        <w:rPr>
          <w:i/>
          <w:iCs/>
          <w:sz w:val="16"/>
          <w:szCs w:val="16"/>
        </w:rPr>
        <w:t xml:space="preserve">Tratado que institui a Comunidade Europeia do Carvão e do Aço (Tratado CECA). </w:t>
      </w:r>
      <w:r w:rsidRPr="004E05F7">
        <w:rPr>
          <w:sz w:val="16"/>
          <w:szCs w:val="16"/>
        </w:rPr>
        <w:t xml:space="preserve">União Europeia. </w:t>
      </w:r>
      <w:r w:rsidR="00CE2956" w:rsidRPr="004E05F7">
        <w:rPr>
          <w:sz w:val="16"/>
          <w:szCs w:val="16"/>
        </w:rPr>
        <w:t xml:space="preserve">Disponível em: </w:t>
      </w:r>
      <w:r w:rsidRPr="004E05F7">
        <w:rPr>
          <w:sz w:val="16"/>
          <w:szCs w:val="16"/>
        </w:rPr>
        <w:t xml:space="preserve">https://eur-lex.europa.eu/legal-content/PT/TXT/?uri=LEGISSUM%3Axy0022. </w:t>
      </w:r>
      <w:r w:rsidR="00CE2956" w:rsidRPr="004E05F7">
        <w:rPr>
          <w:sz w:val="16"/>
          <w:szCs w:val="16"/>
        </w:rPr>
        <w:t>Consult.</w:t>
      </w:r>
      <w:r w:rsidRPr="004E05F7">
        <w:rPr>
          <w:sz w:val="16"/>
          <w:szCs w:val="16"/>
        </w:rPr>
        <w:t xml:space="preserve"> 27-06-2025.</w:t>
      </w:r>
      <w:bookmarkEnd w:id="20"/>
    </w:p>
  </w:footnote>
  <w:footnote w:id="17">
    <w:p w14:paraId="1FCA3CDD" w14:textId="3D4C7C5E" w:rsidR="00D8187A" w:rsidRPr="004E05F7" w:rsidRDefault="00D8187A">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color w:val="000000" w:themeColor="text1"/>
          <w:sz w:val="16"/>
          <w:szCs w:val="16"/>
        </w:rPr>
        <w:t xml:space="preserve">UNIÃO EUROPEIA </w:t>
      </w:r>
      <w:r w:rsidRPr="004E05F7">
        <w:rPr>
          <w:sz w:val="16"/>
          <w:szCs w:val="16"/>
        </w:rPr>
        <w:t>(2017</w:t>
      </w:r>
      <w:r w:rsidR="00CE2956" w:rsidRPr="004E05F7">
        <w:rPr>
          <w:sz w:val="16"/>
          <w:szCs w:val="16"/>
        </w:rPr>
        <w:t>-03-</w:t>
      </w:r>
      <w:r w:rsidRPr="004E05F7">
        <w:rPr>
          <w:sz w:val="16"/>
          <w:szCs w:val="16"/>
        </w:rPr>
        <w:t xml:space="preserve">14). </w:t>
      </w:r>
      <w:r w:rsidRPr="004E05F7">
        <w:rPr>
          <w:i/>
          <w:iCs/>
          <w:sz w:val="16"/>
          <w:szCs w:val="16"/>
        </w:rPr>
        <w:t>Tratado de Roma (CEE).</w:t>
      </w:r>
      <w:r w:rsidRPr="004E05F7">
        <w:rPr>
          <w:sz w:val="16"/>
          <w:szCs w:val="16"/>
        </w:rPr>
        <w:t xml:space="preserve"> União Europeia. </w:t>
      </w:r>
      <w:r w:rsidR="00CE2956" w:rsidRPr="004E05F7">
        <w:rPr>
          <w:sz w:val="16"/>
          <w:szCs w:val="16"/>
        </w:rPr>
        <w:t xml:space="preserve">Disponível em: </w:t>
      </w:r>
      <w:r w:rsidRPr="004E05F7">
        <w:rPr>
          <w:sz w:val="16"/>
          <w:szCs w:val="16"/>
        </w:rPr>
        <w:t>https://eur-lex.europa.eu/legal-content/PT/ALL/?uri=LEGISSUM%3Axy0023. Acedido em: 27-06-2025.</w:t>
      </w:r>
    </w:p>
  </w:footnote>
  <w:footnote w:id="18">
    <w:p w14:paraId="7956A775" w14:textId="0D8827AF" w:rsidR="00D8187A" w:rsidRPr="00760402" w:rsidRDefault="00D8187A">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PARLAMENTO EUROPEU</w:t>
      </w:r>
      <w:r w:rsidR="00760402" w:rsidRPr="004E05F7">
        <w:rPr>
          <w:sz w:val="16"/>
          <w:szCs w:val="16"/>
        </w:rPr>
        <w:t xml:space="preserve">. </w:t>
      </w:r>
      <w:r w:rsidR="00760402" w:rsidRPr="004E05F7">
        <w:rPr>
          <w:i/>
          <w:iCs/>
          <w:sz w:val="16"/>
          <w:szCs w:val="16"/>
        </w:rPr>
        <w:t>Tratado Euratom</w:t>
      </w:r>
      <w:r w:rsidR="00760402" w:rsidRPr="004E05F7">
        <w:rPr>
          <w:sz w:val="16"/>
          <w:szCs w:val="16"/>
        </w:rPr>
        <w:t xml:space="preserve">. Parlamento Europeu. </w:t>
      </w:r>
      <w:hyperlink r:id="rId6" w:history="1">
        <w:r w:rsidR="00760402" w:rsidRPr="004E05F7">
          <w:rPr>
            <w:rStyle w:val="Hiperligao"/>
            <w:sz w:val="16"/>
            <w:szCs w:val="16"/>
          </w:rPr>
          <w:t>https://www.europarl.europa.eu/about-parliament/pt/in-the-past/the-parliament-and-the-treaties/euratom-treaty</w:t>
        </w:r>
      </w:hyperlink>
      <w:r w:rsidR="00760402" w:rsidRPr="004E05F7">
        <w:rPr>
          <w:sz w:val="16"/>
          <w:szCs w:val="16"/>
        </w:rPr>
        <w:t xml:space="preserve">. </w:t>
      </w:r>
      <w:r w:rsidR="00CE2956" w:rsidRPr="004E05F7">
        <w:rPr>
          <w:sz w:val="16"/>
          <w:szCs w:val="16"/>
        </w:rPr>
        <w:t xml:space="preserve">Consult. </w:t>
      </w:r>
      <w:r w:rsidR="00760402" w:rsidRPr="004E05F7">
        <w:rPr>
          <w:sz w:val="16"/>
          <w:szCs w:val="16"/>
        </w:rPr>
        <w:t>28-06-2025.</w:t>
      </w:r>
    </w:p>
  </w:footnote>
  <w:footnote w:id="19">
    <w:p w14:paraId="71D0495F" w14:textId="7DFB51EA" w:rsidR="00C63ECD" w:rsidRPr="00C63ECD" w:rsidRDefault="00C63ECD">
      <w:pPr>
        <w:pStyle w:val="Textodenotaderodap"/>
      </w:pPr>
      <w:r w:rsidRPr="004E05F7">
        <w:rPr>
          <w:rStyle w:val="Refdenotaderodap"/>
          <w:sz w:val="16"/>
          <w:szCs w:val="16"/>
        </w:rPr>
        <w:footnoteRef/>
      </w:r>
      <w:r w:rsidRPr="004E05F7">
        <w:rPr>
          <w:sz w:val="16"/>
          <w:szCs w:val="16"/>
        </w:rPr>
        <w:t xml:space="preserve"> </w:t>
      </w:r>
      <w:r w:rsidR="00D25262" w:rsidRPr="004E05F7">
        <w:rPr>
          <w:color w:val="000000" w:themeColor="text1"/>
          <w:sz w:val="16"/>
          <w:szCs w:val="16"/>
        </w:rPr>
        <w:t xml:space="preserve">UNIÃO EUROPEIA </w:t>
      </w:r>
      <w:r w:rsidRPr="004E05F7">
        <w:rPr>
          <w:sz w:val="16"/>
          <w:szCs w:val="16"/>
        </w:rPr>
        <w:t xml:space="preserve">(2018-04-04). </w:t>
      </w:r>
      <w:r w:rsidRPr="004E05F7">
        <w:rPr>
          <w:i/>
          <w:iCs/>
          <w:sz w:val="16"/>
          <w:szCs w:val="16"/>
        </w:rPr>
        <w:t>Ato Único Europeu</w:t>
      </w:r>
      <w:r w:rsidRPr="004E05F7">
        <w:rPr>
          <w:sz w:val="16"/>
          <w:szCs w:val="16"/>
        </w:rPr>
        <w:t xml:space="preserve">. União Europeia. Disponível em: </w:t>
      </w:r>
      <w:hyperlink r:id="rId7" w:history="1">
        <w:r w:rsidRPr="004E05F7">
          <w:rPr>
            <w:rStyle w:val="Hiperligao"/>
            <w:sz w:val="16"/>
            <w:szCs w:val="16"/>
          </w:rPr>
          <w:t>https://eur-lex.europa.eu/legal-content/pt/TXT/?uri=LEGISSUM:xy0027</w:t>
        </w:r>
      </w:hyperlink>
      <w:r w:rsidRPr="004E05F7">
        <w:rPr>
          <w:sz w:val="16"/>
          <w:szCs w:val="16"/>
        </w:rPr>
        <w:t xml:space="preserve">. </w:t>
      </w:r>
      <w:r w:rsidR="00CE2956" w:rsidRPr="004E05F7">
        <w:rPr>
          <w:sz w:val="16"/>
          <w:szCs w:val="16"/>
        </w:rPr>
        <w:t>Consult.</w:t>
      </w:r>
      <w:r w:rsidRPr="004E05F7">
        <w:rPr>
          <w:sz w:val="16"/>
          <w:szCs w:val="16"/>
        </w:rPr>
        <w:t xml:space="preserve"> 29-06-2025.</w:t>
      </w:r>
    </w:p>
  </w:footnote>
  <w:footnote w:id="20">
    <w:p w14:paraId="4DB72AE0" w14:textId="03D73C6F" w:rsidR="00536079" w:rsidRDefault="00536079" w:rsidP="00536079">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PARLAMENTO EUROPEU</w:t>
      </w:r>
      <w:r w:rsidRPr="004E05F7">
        <w:rPr>
          <w:sz w:val="16"/>
          <w:szCs w:val="16"/>
        </w:rPr>
        <w:t xml:space="preserve">. </w:t>
      </w:r>
      <w:r w:rsidRPr="004E05F7">
        <w:rPr>
          <w:i/>
          <w:iCs/>
          <w:sz w:val="16"/>
          <w:szCs w:val="16"/>
        </w:rPr>
        <w:t>Os Tratados de Maastricht e de Amesterdão</w:t>
      </w:r>
      <w:r w:rsidRPr="004E05F7">
        <w:rPr>
          <w:sz w:val="16"/>
          <w:szCs w:val="16"/>
        </w:rPr>
        <w:t xml:space="preserve">. Disponível em: </w:t>
      </w:r>
      <w:hyperlink r:id="rId8" w:history="1">
        <w:r w:rsidRPr="004E05F7">
          <w:rPr>
            <w:rStyle w:val="Hiperligao"/>
            <w:sz w:val="16"/>
            <w:szCs w:val="16"/>
          </w:rPr>
          <w:t>https://www.europarl.europa.eu/factsheets/pt/sheet/3/os-tratados-de-maastricht-e-de-amesterdao</w:t>
        </w:r>
      </w:hyperlink>
      <w:r w:rsidRPr="004E05F7">
        <w:rPr>
          <w:sz w:val="16"/>
          <w:szCs w:val="16"/>
        </w:rPr>
        <w:t>. Consult. 30-06-2025</w:t>
      </w:r>
    </w:p>
  </w:footnote>
  <w:footnote w:id="21">
    <w:p w14:paraId="557E4B58" w14:textId="07BE2498" w:rsidR="00AF550C" w:rsidRDefault="00AF550C" w:rsidP="00AF550C">
      <w:pPr>
        <w:pStyle w:val="Textodenotaderodap"/>
      </w:pPr>
      <w:r w:rsidRPr="004E05F7">
        <w:rPr>
          <w:rStyle w:val="Refdenotaderodap"/>
          <w:sz w:val="16"/>
          <w:szCs w:val="16"/>
        </w:rPr>
        <w:footnoteRef/>
      </w:r>
      <w:r w:rsidRPr="004E05F7">
        <w:rPr>
          <w:sz w:val="16"/>
          <w:szCs w:val="16"/>
        </w:rPr>
        <w:t xml:space="preserve"> HOEKSMA, Jaap (18-12-2025). </w:t>
      </w:r>
      <w:r w:rsidRPr="004E05F7">
        <w:rPr>
          <w:i/>
          <w:iCs/>
          <w:sz w:val="16"/>
          <w:szCs w:val="16"/>
        </w:rPr>
        <w:t>A identidade constitucional da EU.</w:t>
      </w:r>
      <w:r w:rsidRPr="004E05F7">
        <w:rPr>
          <w:sz w:val="16"/>
          <w:szCs w:val="16"/>
        </w:rPr>
        <w:t xml:space="preserve"> European Law Blog. Disponível em: </w:t>
      </w:r>
      <w:hyperlink r:id="rId9" w:history="1">
        <w:r w:rsidRPr="004E05F7">
          <w:rPr>
            <w:rStyle w:val="Hiperligao"/>
            <w:sz w:val="16"/>
            <w:szCs w:val="16"/>
          </w:rPr>
          <w:t>https://www.europeanlawblog.eu/pub/j31o9yk8/release/2</w:t>
        </w:r>
      </w:hyperlink>
      <w:r w:rsidRPr="004E05F7">
        <w:rPr>
          <w:sz w:val="16"/>
          <w:szCs w:val="16"/>
        </w:rPr>
        <w:t xml:space="preserve">. Consult. </w:t>
      </w:r>
      <w:r w:rsidR="00C12EC6" w:rsidRPr="004E05F7">
        <w:rPr>
          <w:sz w:val="16"/>
          <w:szCs w:val="16"/>
        </w:rPr>
        <w:t>07-02-2026.</w:t>
      </w:r>
    </w:p>
  </w:footnote>
  <w:footnote w:id="22">
    <w:p w14:paraId="5C75748F" w14:textId="1871BD11" w:rsidR="002C7B1C" w:rsidRDefault="002C7B1C">
      <w:pPr>
        <w:pStyle w:val="Textodenotaderodap"/>
      </w:pPr>
      <w:r>
        <w:rPr>
          <w:rStyle w:val="Refdenotaderodap"/>
        </w:rPr>
        <w:footnoteRef/>
      </w:r>
      <w:r>
        <w:t xml:space="preserve"> </w:t>
      </w:r>
      <w:r w:rsidRPr="002C7B1C">
        <w:rPr>
          <w:sz w:val="16"/>
          <w:szCs w:val="16"/>
        </w:rPr>
        <w:t xml:space="preserve">FROUFE, Pedro Madeira. 30 anos depois de “Maastricht”: o passado e o futuro da integração (em comemoração ao Dia da Europa). </w:t>
      </w:r>
      <w:r w:rsidRPr="002C7B1C">
        <w:rPr>
          <w:i/>
          <w:iCs/>
          <w:sz w:val="16"/>
          <w:szCs w:val="16"/>
        </w:rPr>
        <w:t>Officialblogunio</w:t>
      </w:r>
      <w:r w:rsidRPr="002C7B1C">
        <w:rPr>
          <w:sz w:val="16"/>
          <w:szCs w:val="16"/>
        </w:rPr>
        <w:t>. Disponível em: https://officialblogofunio.com/2023/05/17/editorial-of-may-2023/. Consult. 29-06-2025</w:t>
      </w:r>
    </w:p>
  </w:footnote>
  <w:footnote w:id="23">
    <w:p w14:paraId="27B35515" w14:textId="7C34C43D" w:rsidR="00760402" w:rsidRPr="004E05F7" w:rsidRDefault="00760402">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UNIÃO EUROPEIA</w:t>
      </w:r>
      <w:r w:rsidRPr="004E05F7">
        <w:rPr>
          <w:sz w:val="16"/>
          <w:szCs w:val="16"/>
        </w:rPr>
        <w:t xml:space="preserve">. </w:t>
      </w:r>
      <w:r w:rsidRPr="004E05F7">
        <w:rPr>
          <w:i/>
          <w:iCs/>
          <w:sz w:val="16"/>
          <w:szCs w:val="16"/>
        </w:rPr>
        <w:t>O primado do direito da União Europeia (prevalência, supremacia).</w:t>
      </w:r>
      <w:r w:rsidRPr="004E05F7">
        <w:rPr>
          <w:sz w:val="16"/>
          <w:szCs w:val="16"/>
        </w:rPr>
        <w:t xml:space="preserve"> União Europeia. </w:t>
      </w:r>
      <w:r w:rsidR="00535232" w:rsidRPr="004E05F7">
        <w:rPr>
          <w:sz w:val="16"/>
          <w:szCs w:val="16"/>
        </w:rPr>
        <w:t xml:space="preserve">Disponível em: </w:t>
      </w:r>
      <w:r w:rsidRPr="004E05F7">
        <w:rPr>
          <w:sz w:val="16"/>
          <w:szCs w:val="16"/>
        </w:rPr>
        <w:t xml:space="preserve">https://eur-lex.europa.eu/PT/legal-content/glossary/primacy-of-eu-law-precedence-supremacy.html. </w:t>
      </w:r>
      <w:r w:rsidR="00CE2956" w:rsidRPr="004E05F7">
        <w:rPr>
          <w:sz w:val="16"/>
          <w:szCs w:val="16"/>
        </w:rPr>
        <w:t>Consult.</w:t>
      </w:r>
      <w:r w:rsidRPr="004E05F7">
        <w:rPr>
          <w:sz w:val="16"/>
          <w:szCs w:val="16"/>
        </w:rPr>
        <w:t xml:space="preserve"> 30-06-2025.</w:t>
      </w:r>
    </w:p>
  </w:footnote>
  <w:footnote w:id="24">
    <w:p w14:paraId="7AEF553A" w14:textId="6A5F43C7" w:rsidR="003618C5" w:rsidRPr="003618C5" w:rsidRDefault="003618C5">
      <w:pPr>
        <w:pStyle w:val="Textodenotaderodap"/>
      </w:pPr>
      <w:r w:rsidRPr="004E05F7">
        <w:rPr>
          <w:rStyle w:val="Refdenotaderodap"/>
          <w:sz w:val="16"/>
          <w:szCs w:val="16"/>
        </w:rPr>
        <w:footnoteRef/>
      </w:r>
      <w:r w:rsidRPr="004E05F7">
        <w:rPr>
          <w:sz w:val="16"/>
          <w:szCs w:val="16"/>
        </w:rPr>
        <w:t xml:space="preserve"> DUARTE, Maria Luísa. </w:t>
      </w:r>
      <w:r w:rsidRPr="004E05F7">
        <w:rPr>
          <w:i/>
          <w:iCs/>
          <w:sz w:val="16"/>
          <w:szCs w:val="16"/>
        </w:rPr>
        <w:t>Direito Internacional Público: E Ordem Jurídica Global do Século XXI.</w:t>
      </w:r>
      <w:r w:rsidRPr="004E05F7">
        <w:rPr>
          <w:sz w:val="16"/>
          <w:szCs w:val="16"/>
        </w:rPr>
        <w:t xml:space="preserve"> 1.ª Edição. Coimbra: Coimbra Editora, 2014, pp. 315-316. ISBN: 978-972-32-2265-4.</w:t>
      </w:r>
    </w:p>
  </w:footnote>
  <w:footnote w:id="25">
    <w:p w14:paraId="4A976232" w14:textId="7DC015C3" w:rsidR="008F70D1" w:rsidRDefault="008F70D1">
      <w:pPr>
        <w:pStyle w:val="Textodenotaderodap"/>
      </w:pPr>
      <w:r>
        <w:rPr>
          <w:rStyle w:val="Refdenotaderodap"/>
        </w:rPr>
        <w:footnoteRef/>
      </w:r>
      <w:r>
        <w:t xml:space="preserve"> </w:t>
      </w:r>
      <w:r w:rsidRPr="008F70D1">
        <w:rPr>
          <w:sz w:val="16"/>
          <w:szCs w:val="16"/>
        </w:rPr>
        <w:t xml:space="preserve">PAIS, Sofia Oliveira. </w:t>
      </w:r>
      <w:r w:rsidRPr="008F70D1">
        <w:rPr>
          <w:i/>
          <w:iCs/>
          <w:sz w:val="16"/>
          <w:szCs w:val="16"/>
        </w:rPr>
        <w:t>Princípios fundamentais de direito da união europeia : uma abordagem jurisprudencial</w:t>
      </w:r>
      <w:r w:rsidRPr="008F70D1">
        <w:rPr>
          <w:sz w:val="16"/>
          <w:szCs w:val="16"/>
        </w:rPr>
        <w:t>, 3.ª Edição. Coimbra: Almedina, 2013, p</w:t>
      </w:r>
      <w:r>
        <w:rPr>
          <w:sz w:val="16"/>
          <w:szCs w:val="16"/>
        </w:rPr>
        <w:t>p. 18-19</w:t>
      </w:r>
      <w:r w:rsidRPr="008F70D1">
        <w:rPr>
          <w:sz w:val="16"/>
          <w:szCs w:val="16"/>
        </w:rPr>
        <w:t>. ISBN: 978-972-40-5138-3</w:t>
      </w:r>
      <w:r>
        <w:rPr>
          <w:sz w:val="16"/>
          <w:szCs w:val="16"/>
        </w:rPr>
        <w:t>.</w:t>
      </w:r>
    </w:p>
  </w:footnote>
  <w:footnote w:id="26">
    <w:p w14:paraId="00AAAB7A" w14:textId="36484010" w:rsidR="005F4619" w:rsidRPr="004E05F7" w:rsidRDefault="005F4619" w:rsidP="005F4619">
      <w:pPr>
        <w:pStyle w:val="Textodenotaderodap"/>
        <w:rPr>
          <w:sz w:val="16"/>
          <w:szCs w:val="16"/>
        </w:rPr>
      </w:pPr>
      <w:r w:rsidRPr="004E05F7">
        <w:rPr>
          <w:rStyle w:val="Refdenotaderodap"/>
          <w:sz w:val="16"/>
          <w:szCs w:val="16"/>
        </w:rPr>
        <w:footnoteRef/>
      </w:r>
      <w:r w:rsidRPr="004E05F7">
        <w:rPr>
          <w:sz w:val="16"/>
          <w:szCs w:val="16"/>
        </w:rPr>
        <w:t xml:space="preserve"> GORJÃO-HENRIQUES, Miguel. </w:t>
      </w:r>
      <w:r w:rsidRPr="004E05F7">
        <w:rPr>
          <w:i/>
          <w:iCs/>
          <w:sz w:val="16"/>
          <w:szCs w:val="16"/>
        </w:rPr>
        <w:t>Direito da União : história, direito, cidadania, mercado interno e concorrência</w:t>
      </w:r>
      <w:r w:rsidRPr="004E05F7">
        <w:rPr>
          <w:sz w:val="16"/>
          <w:szCs w:val="16"/>
        </w:rPr>
        <w:t>. 9.ª Edição. Coimbra: Almedina, 2023, pp. 398-401. ISBN: 978-972-40-7658-4.</w:t>
      </w:r>
    </w:p>
  </w:footnote>
  <w:footnote w:id="27">
    <w:p w14:paraId="4F449EEA" w14:textId="728B6EED" w:rsidR="00AF7A48" w:rsidRDefault="00AF7A48" w:rsidP="00CA5E31">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UNIÃO EUROPEIA</w:t>
      </w:r>
      <w:r w:rsidRPr="004E05F7">
        <w:rPr>
          <w:sz w:val="16"/>
          <w:szCs w:val="16"/>
        </w:rPr>
        <w:t xml:space="preserve">. </w:t>
      </w:r>
      <w:r w:rsidRPr="004E05F7">
        <w:rPr>
          <w:i/>
          <w:iCs/>
          <w:sz w:val="16"/>
          <w:szCs w:val="16"/>
        </w:rPr>
        <w:t>Tratado de Lisboa - versão consolidada</w:t>
      </w:r>
      <w:r w:rsidRPr="004E05F7">
        <w:rPr>
          <w:sz w:val="16"/>
          <w:szCs w:val="16"/>
        </w:rPr>
        <w:t>.</w:t>
      </w:r>
      <w:r w:rsidR="00CA5E31" w:rsidRPr="004E05F7">
        <w:rPr>
          <w:sz w:val="16"/>
          <w:szCs w:val="16"/>
        </w:rPr>
        <w:t xml:space="preserve"> Lisboa, Assembleia da República, Março de 2008</w:t>
      </w:r>
      <w:r w:rsidR="00CE2956" w:rsidRPr="004E05F7">
        <w:rPr>
          <w:sz w:val="16"/>
          <w:szCs w:val="16"/>
        </w:rPr>
        <w:t xml:space="preserve">. </w:t>
      </w:r>
      <w:r w:rsidR="00CA5E31" w:rsidRPr="004E05F7">
        <w:rPr>
          <w:sz w:val="16"/>
          <w:szCs w:val="16"/>
        </w:rPr>
        <w:t xml:space="preserve">Disponível em: </w:t>
      </w:r>
      <w:hyperlink r:id="rId10" w:history="1">
        <w:r w:rsidR="00CA5E31" w:rsidRPr="004E05F7">
          <w:rPr>
            <w:rStyle w:val="Hiperligao"/>
            <w:sz w:val="16"/>
            <w:szCs w:val="16"/>
          </w:rPr>
          <w:t>https://www.parlamento.pt/europa/paginas/tratadodelisboa.aspx</w:t>
        </w:r>
      </w:hyperlink>
      <w:r w:rsidR="00CE2956" w:rsidRPr="004E05F7">
        <w:rPr>
          <w:sz w:val="16"/>
          <w:szCs w:val="16"/>
        </w:rPr>
        <w:t>.</w:t>
      </w:r>
      <w:r w:rsidR="00CA5E31" w:rsidRPr="004E05F7">
        <w:rPr>
          <w:sz w:val="16"/>
          <w:szCs w:val="16"/>
        </w:rPr>
        <w:t xml:space="preserve"> </w:t>
      </w:r>
      <w:r w:rsidR="00CE2956" w:rsidRPr="004E05F7">
        <w:rPr>
          <w:sz w:val="16"/>
          <w:szCs w:val="16"/>
        </w:rPr>
        <w:t>Consult. 30-06-2025. ISBN 978-972-556-467-7.</w:t>
      </w:r>
    </w:p>
  </w:footnote>
  <w:footnote w:id="28">
    <w:p w14:paraId="41C16758" w14:textId="1D53B7F0" w:rsidR="00CA5E31" w:rsidRPr="004E05F7" w:rsidRDefault="00CA5E31">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TRIBUNAL DE JUSTIÇA DAS COMUNIDADES EUROPEIAS</w:t>
      </w:r>
      <w:r w:rsidR="008F6291" w:rsidRPr="004E05F7">
        <w:rPr>
          <w:sz w:val="16"/>
          <w:szCs w:val="16"/>
        </w:rPr>
        <w:t xml:space="preserve">. </w:t>
      </w:r>
      <w:r w:rsidR="008F6291" w:rsidRPr="00D25262">
        <w:rPr>
          <w:i/>
          <w:iCs/>
          <w:sz w:val="16"/>
          <w:szCs w:val="16"/>
        </w:rPr>
        <w:t>Acórdão de 15 de julho de 1964, Costa c. ENEL, processo 6/64.</w:t>
      </w:r>
      <w:r w:rsidR="008F6291" w:rsidRPr="004E05F7">
        <w:rPr>
          <w:sz w:val="16"/>
          <w:szCs w:val="16"/>
        </w:rPr>
        <w:t xml:space="preserve"> União Europeia, 1964. Disponível em: https://eur-lex.europa.eu/legal-content/EN/TXT/?uri=celex:61964CJ0006. Consult. 17-07-2025.</w:t>
      </w:r>
    </w:p>
  </w:footnote>
  <w:footnote w:id="29">
    <w:p w14:paraId="0EE9880D" w14:textId="6707C19C" w:rsidR="009A6CC6" w:rsidRDefault="009A6CC6">
      <w:pPr>
        <w:pStyle w:val="Textodenotaderodap"/>
      </w:pPr>
      <w:r w:rsidRPr="004E05F7">
        <w:rPr>
          <w:rStyle w:val="Refdenotaderodap"/>
          <w:sz w:val="16"/>
          <w:szCs w:val="16"/>
        </w:rPr>
        <w:footnoteRef/>
      </w:r>
      <w:r w:rsidRPr="004E05F7">
        <w:rPr>
          <w:sz w:val="16"/>
          <w:szCs w:val="16"/>
        </w:rPr>
        <w:t xml:space="preserve"> </w:t>
      </w:r>
      <w:r w:rsidR="00A835B0" w:rsidRPr="004E05F7">
        <w:rPr>
          <w:sz w:val="16"/>
          <w:szCs w:val="16"/>
        </w:rPr>
        <w:t xml:space="preserve">MARTINS, N. F. M., &amp; NORONHA RODRIGUES, J. Sovereignty Showdown: The EU`s Constitutional Tug-of-War. </w:t>
      </w:r>
      <w:r w:rsidR="00A835B0" w:rsidRPr="004E05F7">
        <w:rPr>
          <w:i/>
          <w:iCs/>
          <w:sz w:val="16"/>
          <w:szCs w:val="16"/>
        </w:rPr>
        <w:t>Revista Jurídica Portucalense</w:t>
      </w:r>
      <w:r w:rsidR="00A835B0" w:rsidRPr="004E05F7">
        <w:rPr>
          <w:sz w:val="16"/>
          <w:szCs w:val="16"/>
        </w:rPr>
        <w:t>. 2024, n.º 36, p. 29. Disponível em: https://doi.org/10.34625/issn.2183-2705(36)2024. ISSN-e: 2183-5705</w:t>
      </w:r>
      <w:r w:rsidR="008F6291" w:rsidRPr="004E05F7">
        <w:rPr>
          <w:sz w:val="16"/>
          <w:szCs w:val="16"/>
        </w:rPr>
        <w:t>.</w:t>
      </w:r>
    </w:p>
  </w:footnote>
  <w:footnote w:id="30">
    <w:p w14:paraId="6D2B0F4B" w14:textId="09C0DF48" w:rsidR="007A301F" w:rsidRPr="004E05F7" w:rsidRDefault="007A301F">
      <w:pPr>
        <w:pStyle w:val="Textodenotaderodap"/>
        <w:rPr>
          <w:sz w:val="16"/>
          <w:szCs w:val="16"/>
        </w:rPr>
      </w:pPr>
      <w:r w:rsidRPr="004E05F7">
        <w:rPr>
          <w:rStyle w:val="Refdenotaderodap"/>
          <w:sz w:val="16"/>
          <w:szCs w:val="16"/>
        </w:rPr>
        <w:footnoteRef/>
      </w:r>
      <w:r w:rsidRPr="004E05F7">
        <w:rPr>
          <w:sz w:val="16"/>
          <w:szCs w:val="16"/>
        </w:rPr>
        <w:t xml:space="preserve"> COUTINHO, Francisco Pereira.</w:t>
      </w:r>
      <w:r w:rsidRPr="004E05F7">
        <w:rPr>
          <w:i/>
          <w:iCs/>
          <w:sz w:val="16"/>
          <w:szCs w:val="16"/>
        </w:rPr>
        <w:t xml:space="preserve"> Os Tribunais Nacionais na Ordem Jurídica da União Europeia: O Caso Português. </w:t>
      </w:r>
      <w:r w:rsidRPr="004E05F7">
        <w:rPr>
          <w:sz w:val="16"/>
          <w:szCs w:val="16"/>
        </w:rPr>
        <w:t>1.ª Edição. Coimbra: Coimbra Editora, 2013, p. 221. ISBN: 978-972-32-2148-0.</w:t>
      </w:r>
    </w:p>
  </w:footnote>
  <w:footnote w:id="31">
    <w:p w14:paraId="54AB5515" w14:textId="213D03BE" w:rsidR="003534CE" w:rsidRDefault="003534CE">
      <w:pPr>
        <w:pStyle w:val="Textodenotaderodap"/>
      </w:pPr>
      <w:r>
        <w:rPr>
          <w:rStyle w:val="Refdenotaderodap"/>
        </w:rPr>
        <w:footnoteRef/>
      </w:r>
      <w:r>
        <w:t xml:space="preserve"> </w:t>
      </w:r>
      <w:r w:rsidRPr="003534CE">
        <w:rPr>
          <w:sz w:val="16"/>
          <w:szCs w:val="16"/>
        </w:rPr>
        <w:t>BARATA, Mário Simões; LUCAS, Eugênio Pereira.Transnational impacts of the Principle of Primacy of European Union Law: Judgment nº 422/20 of the Portuguese Constitutional Court and the Politics of Constitutional Amendment</w:t>
      </w:r>
      <w:r w:rsidRPr="003534CE">
        <w:rPr>
          <w:i/>
          <w:iCs/>
          <w:sz w:val="16"/>
          <w:szCs w:val="16"/>
        </w:rPr>
        <w:t>. Revista Jurídica Portucalense,</w:t>
      </w:r>
      <w:r w:rsidRPr="003534CE">
        <w:rPr>
          <w:sz w:val="16"/>
          <w:szCs w:val="16"/>
        </w:rPr>
        <w:t xml:space="preserve"> n.º 36. 2024, pp. 186-206. ISSN-e: 2183-5705.</w:t>
      </w:r>
    </w:p>
  </w:footnote>
  <w:footnote w:id="32">
    <w:p w14:paraId="4B5C2085" w14:textId="287CD614" w:rsidR="003C496D" w:rsidRDefault="003C496D">
      <w:pPr>
        <w:pStyle w:val="Textodenotaderodap"/>
      </w:pPr>
      <w:r w:rsidRPr="004E05F7">
        <w:rPr>
          <w:rStyle w:val="Refdenotaderodap"/>
          <w:sz w:val="16"/>
          <w:szCs w:val="16"/>
        </w:rPr>
        <w:footnoteRef/>
      </w:r>
      <w:r w:rsidRPr="004E05F7">
        <w:rPr>
          <w:sz w:val="16"/>
          <w:szCs w:val="16"/>
        </w:rPr>
        <w:t xml:space="preserve"> </w:t>
      </w:r>
      <w:r w:rsidR="005A687D" w:rsidRPr="004E05F7">
        <w:rPr>
          <w:sz w:val="16"/>
          <w:szCs w:val="16"/>
        </w:rPr>
        <w:t xml:space="preserve">SILVEIRA, Alessandra; GALISTEO, Juan Gálvez; SOUSA, João Pedro. La   remuneración   de   los   jueces   nacionales   (como problema)  y  el  control  de  la  dimensión  estructural  de  la independencia  judicial  (como  respuesta):  una  cuestión europea. </w:t>
      </w:r>
      <w:r w:rsidR="005A687D" w:rsidRPr="004E05F7">
        <w:rPr>
          <w:i/>
          <w:iCs/>
          <w:sz w:val="16"/>
          <w:szCs w:val="16"/>
        </w:rPr>
        <w:t>El Criminalista Digital</w:t>
      </w:r>
      <w:r w:rsidR="005A687D" w:rsidRPr="004E05F7">
        <w:rPr>
          <w:sz w:val="16"/>
          <w:szCs w:val="16"/>
        </w:rPr>
        <w:t xml:space="preserve">. N.º 14, 2026, </w:t>
      </w:r>
      <w:r w:rsidRPr="004E05F7">
        <w:rPr>
          <w:sz w:val="16"/>
          <w:szCs w:val="16"/>
        </w:rPr>
        <w:t>p. 23</w:t>
      </w:r>
      <w:r w:rsidR="005A687D" w:rsidRPr="004E05F7">
        <w:rPr>
          <w:sz w:val="16"/>
          <w:szCs w:val="16"/>
        </w:rPr>
        <w:t>. ISSN 2340-6046.</w:t>
      </w:r>
    </w:p>
  </w:footnote>
  <w:footnote w:id="33">
    <w:p w14:paraId="07197FAB" w14:textId="3F80D787" w:rsidR="00AD6FFE" w:rsidRPr="000A6DD7" w:rsidRDefault="00AD6FFE" w:rsidP="000A6DD7">
      <w:pPr>
        <w:pStyle w:val="Textodenotaderodap"/>
        <w:rPr>
          <w:sz w:val="16"/>
          <w:szCs w:val="16"/>
        </w:rPr>
      </w:pPr>
      <w:r>
        <w:rPr>
          <w:rStyle w:val="Refdenotaderodap"/>
        </w:rPr>
        <w:footnoteRef/>
      </w:r>
      <w:r>
        <w:t xml:space="preserve"> </w:t>
      </w:r>
      <w:r w:rsidR="000A6DD7" w:rsidRPr="000A6DD7">
        <w:rPr>
          <w:sz w:val="16"/>
          <w:szCs w:val="16"/>
        </w:rPr>
        <w:t>BARATA, Mário Simões. Case C-852/19, Gavanozov II: European Investigation</w:t>
      </w:r>
      <w:r w:rsidR="000A6DD7">
        <w:rPr>
          <w:sz w:val="16"/>
          <w:szCs w:val="16"/>
        </w:rPr>
        <w:t xml:space="preserve"> </w:t>
      </w:r>
      <w:r w:rsidR="000A6DD7" w:rsidRPr="000A6DD7">
        <w:rPr>
          <w:sz w:val="16"/>
          <w:szCs w:val="16"/>
        </w:rPr>
        <w:t xml:space="preserve">Order and the Right to an Effective Remedy in the CFREU. </w:t>
      </w:r>
      <w:r w:rsidR="000A6DD7" w:rsidRPr="000A6DD7">
        <w:rPr>
          <w:i/>
          <w:iCs/>
          <w:sz w:val="16"/>
          <w:szCs w:val="16"/>
        </w:rPr>
        <w:t>Revista Jurídica Portucalense</w:t>
      </w:r>
      <w:r w:rsidR="000A6DD7" w:rsidRPr="000A6DD7">
        <w:rPr>
          <w:sz w:val="16"/>
          <w:szCs w:val="16"/>
        </w:rPr>
        <w:t xml:space="preserve"> N.º 34. 2023, pp.200-201. Disponível em: https://revistas.rcaap.pt/juridica/article/view/32489. Consult. 03-07-2025. ISSN-e: 2183-5705</w:t>
      </w:r>
      <w:r w:rsidR="00B0429F">
        <w:rPr>
          <w:sz w:val="16"/>
          <w:szCs w:val="16"/>
        </w:rPr>
        <w:t>.</w:t>
      </w:r>
    </w:p>
  </w:footnote>
  <w:footnote w:id="34">
    <w:p w14:paraId="460D77F4" w14:textId="69A0238D" w:rsidR="00B0429F" w:rsidRDefault="00B0429F">
      <w:pPr>
        <w:pStyle w:val="Textodenotaderodap"/>
      </w:pPr>
      <w:r>
        <w:rPr>
          <w:rStyle w:val="Refdenotaderodap"/>
        </w:rPr>
        <w:footnoteRef/>
      </w:r>
      <w:r>
        <w:t xml:space="preserve"> </w:t>
      </w:r>
      <w:r w:rsidRPr="00B0429F">
        <w:rPr>
          <w:sz w:val="16"/>
          <w:szCs w:val="16"/>
        </w:rPr>
        <w:t xml:space="preserve">MATOS, Gonçalo Martins de. Defending the rule of  law in the European Union: legal and political approaches. </w:t>
      </w:r>
      <w:r w:rsidRPr="00B0429F">
        <w:rPr>
          <w:i/>
          <w:iCs/>
          <w:sz w:val="16"/>
          <w:szCs w:val="16"/>
        </w:rPr>
        <w:t>UNIO - EU Law Journal</w:t>
      </w:r>
      <w:r w:rsidRPr="00B0429F">
        <w:rPr>
          <w:sz w:val="16"/>
          <w:szCs w:val="16"/>
        </w:rPr>
        <w:t>, Volume 11, N.º 2, 2025, pp. 100-101. Disponível em: https://revistas.uminho.pt/index.php/unio/issue/view/442. Consult. 04-07-2025. ISSN 2183-3435.</w:t>
      </w:r>
    </w:p>
  </w:footnote>
  <w:footnote w:id="35">
    <w:p w14:paraId="6E84106D" w14:textId="62664C73" w:rsidR="00AD2C36" w:rsidRDefault="00AD2C36">
      <w:pPr>
        <w:pStyle w:val="Textodenotaderodap"/>
      </w:pPr>
      <w:r>
        <w:rPr>
          <w:rStyle w:val="Refdenotaderodap"/>
        </w:rPr>
        <w:footnoteRef/>
      </w:r>
      <w:r>
        <w:t xml:space="preserve"> </w:t>
      </w:r>
      <w:r w:rsidRPr="00AD2C36">
        <w:rPr>
          <w:sz w:val="16"/>
          <w:szCs w:val="16"/>
        </w:rPr>
        <w:t xml:space="preserve">BARATA, Mário Simões; </w:t>
      </w:r>
      <w:r>
        <w:rPr>
          <w:sz w:val="16"/>
          <w:szCs w:val="16"/>
        </w:rPr>
        <w:t>ALVES</w:t>
      </w:r>
      <w:r w:rsidRPr="00AD2C36">
        <w:rPr>
          <w:sz w:val="16"/>
          <w:szCs w:val="16"/>
        </w:rPr>
        <w:t>, Dora Resende</w:t>
      </w:r>
      <w:r w:rsidRPr="00AD2C36">
        <w:rPr>
          <w:i/>
          <w:iCs/>
          <w:sz w:val="16"/>
          <w:szCs w:val="16"/>
        </w:rPr>
        <w:t>. A União Europeia em Tempos de Crise: DIREITO E POLÍTICAS PÚBLICAS DE 2020 A 2023</w:t>
      </w:r>
      <w:r w:rsidRPr="00AD2C36">
        <w:rPr>
          <w:sz w:val="16"/>
          <w:szCs w:val="16"/>
        </w:rPr>
        <w:t>. Coimbra: Edições Almedina S.A., 2023, pp.146-151. ISBN: 978-989-40-1532-1</w:t>
      </w:r>
      <w:r>
        <w:rPr>
          <w:sz w:val="16"/>
          <w:szCs w:val="16"/>
        </w:rPr>
        <w:t>.</w:t>
      </w:r>
    </w:p>
  </w:footnote>
  <w:footnote w:id="36">
    <w:p w14:paraId="712F31CE" w14:textId="5528CE6F" w:rsidR="004A5D56" w:rsidRPr="004E05F7" w:rsidRDefault="004A5D56">
      <w:pPr>
        <w:pStyle w:val="Textodenotaderodap"/>
        <w:rPr>
          <w:sz w:val="16"/>
          <w:szCs w:val="16"/>
        </w:rPr>
      </w:pPr>
      <w:r w:rsidRPr="004E05F7">
        <w:rPr>
          <w:rStyle w:val="Refdenotaderodap"/>
          <w:sz w:val="16"/>
          <w:szCs w:val="16"/>
        </w:rPr>
        <w:footnoteRef/>
      </w:r>
      <w:r w:rsidRPr="004E05F7">
        <w:rPr>
          <w:sz w:val="16"/>
          <w:szCs w:val="16"/>
        </w:rPr>
        <w:t xml:space="preserve"> </w:t>
      </w:r>
      <w:r w:rsidR="0003725E" w:rsidRPr="004E05F7">
        <w:rPr>
          <w:sz w:val="16"/>
          <w:szCs w:val="16"/>
        </w:rPr>
        <w:t xml:space="preserve">BALLA, E. European citizenship in quest of a political culture: supranational by law or transnational by politics?. </w:t>
      </w:r>
      <w:r w:rsidR="0003725E" w:rsidRPr="004E05F7">
        <w:rPr>
          <w:i/>
          <w:iCs/>
          <w:sz w:val="16"/>
          <w:szCs w:val="16"/>
        </w:rPr>
        <w:t>Revista Jurídica Portucalense</w:t>
      </w:r>
      <w:r w:rsidR="0003725E" w:rsidRPr="004E05F7">
        <w:rPr>
          <w:sz w:val="16"/>
          <w:szCs w:val="16"/>
        </w:rPr>
        <w:t>. 2024, N.º 36, p. 527. Disponível em: https://doi.org/10.34625/issn.2183-2705(36)2024.ic-23. Consult. 04-07-2025.  ISSN-e: 2183-5705</w:t>
      </w:r>
    </w:p>
  </w:footnote>
  <w:footnote w:id="37">
    <w:p w14:paraId="4C42C3CD" w14:textId="138F54CD" w:rsidR="00E40479" w:rsidRPr="004E05F7" w:rsidRDefault="00E40479">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UNITED STATES SENATE</w:t>
      </w:r>
      <w:r w:rsidRPr="004E05F7">
        <w:rPr>
          <w:sz w:val="16"/>
          <w:szCs w:val="16"/>
        </w:rPr>
        <w:t xml:space="preserve">. </w:t>
      </w:r>
      <w:r w:rsidRPr="004E05F7">
        <w:rPr>
          <w:i/>
          <w:iCs/>
          <w:sz w:val="16"/>
          <w:szCs w:val="16"/>
        </w:rPr>
        <w:t>Constitution of the United States.</w:t>
      </w:r>
      <w:r w:rsidRPr="004E05F7">
        <w:rPr>
          <w:sz w:val="16"/>
          <w:szCs w:val="16"/>
        </w:rPr>
        <w:t xml:space="preserve"> United States Senate. Disponível em: </w:t>
      </w:r>
      <w:hyperlink r:id="rId11" w:anchor="amdt_14_(1868)" w:history="1">
        <w:r w:rsidRPr="004E05F7">
          <w:rPr>
            <w:rStyle w:val="Hiperligao"/>
            <w:sz w:val="16"/>
            <w:szCs w:val="16"/>
          </w:rPr>
          <w:t>https://www.senate.gov/about/origins-foundations/senate-and-constitution/constitution.htm#amdt_14_(1868)</w:t>
        </w:r>
      </w:hyperlink>
      <w:r w:rsidRPr="004E05F7">
        <w:rPr>
          <w:sz w:val="16"/>
          <w:szCs w:val="16"/>
        </w:rPr>
        <w:t>. Consult. 04-07-2025.</w:t>
      </w:r>
    </w:p>
  </w:footnote>
  <w:footnote w:id="38">
    <w:p w14:paraId="4230008A" w14:textId="482343E2" w:rsidR="00383E43" w:rsidRPr="004E05F7" w:rsidRDefault="00383E43">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UNIÃO EUROPEIA</w:t>
      </w:r>
      <w:r w:rsidRPr="004E05F7">
        <w:rPr>
          <w:sz w:val="16"/>
          <w:szCs w:val="16"/>
        </w:rPr>
        <w:t xml:space="preserve">. </w:t>
      </w:r>
      <w:r w:rsidRPr="004E05F7">
        <w:rPr>
          <w:i/>
          <w:iCs/>
          <w:sz w:val="16"/>
          <w:szCs w:val="16"/>
        </w:rPr>
        <w:t>Tratado sobre o Funcionamento da União Europeia (versão consolidada).</w:t>
      </w:r>
      <w:r w:rsidRPr="004E05F7">
        <w:rPr>
          <w:sz w:val="16"/>
          <w:szCs w:val="16"/>
        </w:rPr>
        <w:t xml:space="preserve"> Jornal Oficial da União Europeia, C 202, 7 jun. 2016.</w:t>
      </w:r>
    </w:p>
  </w:footnote>
  <w:footnote w:id="39">
    <w:p w14:paraId="0C529331" w14:textId="14BBF6BE" w:rsidR="00383E43" w:rsidRDefault="00383E43">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UNIÃO EUROPEIA</w:t>
      </w:r>
      <w:r w:rsidR="00EA36EF" w:rsidRPr="004E05F7">
        <w:rPr>
          <w:sz w:val="16"/>
          <w:szCs w:val="16"/>
        </w:rPr>
        <w:t xml:space="preserve">. </w:t>
      </w:r>
      <w:r w:rsidR="00EA36EF" w:rsidRPr="004E05F7">
        <w:rPr>
          <w:i/>
          <w:iCs/>
          <w:sz w:val="16"/>
          <w:szCs w:val="16"/>
        </w:rPr>
        <w:t>Carta dos Direitos Fundamentais da União Europeia</w:t>
      </w:r>
      <w:r w:rsidR="00EA36EF" w:rsidRPr="004E05F7">
        <w:rPr>
          <w:sz w:val="16"/>
          <w:szCs w:val="16"/>
        </w:rPr>
        <w:t>. Jornal Oficial da União Europeia, C 83, 30 mar. 2010.</w:t>
      </w:r>
    </w:p>
  </w:footnote>
  <w:footnote w:id="40">
    <w:p w14:paraId="2B87A80F" w14:textId="45FB00CB" w:rsidR="00904F29" w:rsidRDefault="00904F29">
      <w:pPr>
        <w:pStyle w:val="Textodenotaderodap"/>
      </w:pPr>
      <w:r>
        <w:rPr>
          <w:rStyle w:val="Refdenotaderodap"/>
        </w:rPr>
        <w:footnoteRef/>
      </w:r>
      <w:r>
        <w:t xml:space="preserve"> </w:t>
      </w:r>
      <w:r w:rsidRPr="002E01FB">
        <w:rPr>
          <w:sz w:val="16"/>
          <w:szCs w:val="16"/>
        </w:rPr>
        <w:t>BARATA, M</w:t>
      </w:r>
      <w:r w:rsidR="001D048B">
        <w:rPr>
          <w:sz w:val="16"/>
          <w:szCs w:val="16"/>
        </w:rPr>
        <w:t>ário Simões</w:t>
      </w:r>
      <w:r w:rsidRPr="002E01FB">
        <w:rPr>
          <w:sz w:val="16"/>
          <w:szCs w:val="16"/>
        </w:rPr>
        <w:t xml:space="preserve">; </w:t>
      </w:r>
      <w:r w:rsidR="001D048B">
        <w:rPr>
          <w:sz w:val="16"/>
          <w:szCs w:val="16"/>
        </w:rPr>
        <w:t>ALVES</w:t>
      </w:r>
      <w:r w:rsidRPr="002E01FB">
        <w:rPr>
          <w:sz w:val="16"/>
          <w:szCs w:val="16"/>
        </w:rPr>
        <w:t>, D</w:t>
      </w:r>
      <w:r w:rsidR="001D048B">
        <w:rPr>
          <w:sz w:val="16"/>
          <w:szCs w:val="16"/>
        </w:rPr>
        <w:t>ora</w:t>
      </w:r>
      <w:r w:rsidRPr="002E01FB">
        <w:rPr>
          <w:sz w:val="16"/>
          <w:szCs w:val="16"/>
        </w:rPr>
        <w:t xml:space="preserve"> R</w:t>
      </w:r>
      <w:r w:rsidR="001D048B">
        <w:rPr>
          <w:sz w:val="16"/>
          <w:szCs w:val="16"/>
        </w:rPr>
        <w:t>esende</w:t>
      </w:r>
      <w:r w:rsidRPr="002E01FB">
        <w:rPr>
          <w:sz w:val="16"/>
          <w:szCs w:val="16"/>
        </w:rPr>
        <w:t>. Atualizações sobre iniciativa de Cidadania Europeia: um mecanismo de participação democrática do cidadão. [Comunicação oral na palestra]</w:t>
      </w:r>
      <w:r w:rsidRPr="002E01FB">
        <w:rPr>
          <w:i/>
          <w:iCs/>
          <w:sz w:val="16"/>
          <w:szCs w:val="16"/>
        </w:rPr>
        <w:t xml:space="preserve"> Valores e Cidadania Europeia</w:t>
      </w:r>
      <w:r w:rsidRPr="002E01FB">
        <w:rPr>
          <w:sz w:val="16"/>
          <w:szCs w:val="16"/>
        </w:rPr>
        <w:t>. Lisboa,2023. Disponível em: http://hdl.handle.net/11328/4760.</w:t>
      </w:r>
    </w:p>
  </w:footnote>
  <w:footnote w:id="41">
    <w:p w14:paraId="0F6FAC01" w14:textId="56291C96" w:rsidR="00EA36EF" w:rsidRPr="00EA36EF" w:rsidRDefault="00EA36EF">
      <w:pPr>
        <w:pStyle w:val="Textodenotaderodap"/>
        <w:rPr>
          <w:color w:val="EE0000"/>
        </w:rPr>
      </w:pPr>
      <w:r w:rsidRPr="004E05F7">
        <w:rPr>
          <w:rStyle w:val="Refdenotaderodap"/>
          <w:sz w:val="16"/>
          <w:szCs w:val="16"/>
        </w:rPr>
        <w:footnoteRef/>
      </w:r>
      <w:r w:rsidRPr="004E05F7">
        <w:rPr>
          <w:sz w:val="16"/>
          <w:szCs w:val="16"/>
        </w:rPr>
        <w:t xml:space="preserve"> </w:t>
      </w:r>
      <w:r w:rsidR="004F1654" w:rsidRPr="004E05F7">
        <w:rPr>
          <w:color w:val="000000" w:themeColor="text1"/>
          <w:sz w:val="16"/>
          <w:szCs w:val="16"/>
        </w:rPr>
        <w:t xml:space="preserve">COUTINHO, Luís P. Pereira. </w:t>
      </w:r>
      <w:r w:rsidR="004F1654" w:rsidRPr="004E05F7">
        <w:rPr>
          <w:i/>
          <w:iCs/>
          <w:color w:val="000000" w:themeColor="text1"/>
          <w:sz w:val="16"/>
          <w:szCs w:val="16"/>
        </w:rPr>
        <w:t>Instituições políticas supranacionais: algumas notas</w:t>
      </w:r>
      <w:r w:rsidR="004F1654" w:rsidRPr="004E05F7">
        <w:rPr>
          <w:color w:val="000000" w:themeColor="text1"/>
          <w:sz w:val="16"/>
          <w:szCs w:val="16"/>
        </w:rPr>
        <w:t xml:space="preserve"> [recurso electrónico]. Lisboa: Instituto de Ciências Jurídico-Políticas, 2010, pp. 1-2. Disponível em: https://www.icjp.pt/sites/default/files/media/757-1152.pdf. Consult. 05-07-2025</w:t>
      </w:r>
    </w:p>
  </w:footnote>
  <w:footnote w:id="42">
    <w:p w14:paraId="35D94DCD" w14:textId="3055ED8C" w:rsidR="00EA36EF" w:rsidRDefault="00EA36EF">
      <w:pPr>
        <w:pStyle w:val="Textodenotaderodap"/>
      </w:pPr>
      <w:r w:rsidRPr="004E05F7">
        <w:rPr>
          <w:rStyle w:val="Refdenotaderodap"/>
          <w:sz w:val="16"/>
          <w:szCs w:val="16"/>
        </w:rPr>
        <w:footnoteRef/>
      </w:r>
      <w:r w:rsidRPr="004E05F7">
        <w:rPr>
          <w:sz w:val="16"/>
          <w:szCs w:val="16"/>
        </w:rPr>
        <w:t xml:space="preserve"> KRASNER, Stephen. Soberania: concepções alternativas e normas contestadas. </w:t>
      </w:r>
      <w:r w:rsidRPr="004E05F7">
        <w:rPr>
          <w:i/>
          <w:iCs/>
          <w:sz w:val="16"/>
          <w:szCs w:val="16"/>
        </w:rPr>
        <w:t>Political Internacional</w:t>
      </w:r>
      <w:r w:rsidRPr="004E05F7">
        <w:rPr>
          <w:sz w:val="16"/>
          <w:szCs w:val="16"/>
        </w:rPr>
        <w:t>. Lisboa, v. 3, n</w:t>
      </w:r>
      <w:r w:rsidR="0025493C" w:rsidRPr="004E05F7">
        <w:rPr>
          <w:sz w:val="16"/>
          <w:szCs w:val="16"/>
        </w:rPr>
        <w:t>.</w:t>
      </w:r>
      <w:r w:rsidRPr="004E05F7">
        <w:rPr>
          <w:sz w:val="16"/>
          <w:szCs w:val="16"/>
        </w:rPr>
        <w:t>º 22, p. 17-18.</w:t>
      </w:r>
      <w:r w:rsidR="005E18AD" w:rsidRPr="004E05F7">
        <w:rPr>
          <w:sz w:val="16"/>
          <w:szCs w:val="16"/>
        </w:rPr>
        <w:t xml:space="preserve"> ISSN 0873-6650.</w:t>
      </w:r>
    </w:p>
  </w:footnote>
  <w:footnote w:id="43">
    <w:p w14:paraId="2EC389BD" w14:textId="63218D67" w:rsidR="00D23399" w:rsidRDefault="00D23399">
      <w:pPr>
        <w:pStyle w:val="Textodenotaderodap"/>
      </w:pPr>
      <w:r w:rsidRPr="004E05F7">
        <w:rPr>
          <w:rStyle w:val="Refdenotaderodap"/>
          <w:sz w:val="16"/>
          <w:szCs w:val="16"/>
        </w:rPr>
        <w:footnoteRef/>
      </w:r>
      <w:r w:rsidRPr="004E05F7">
        <w:rPr>
          <w:sz w:val="16"/>
          <w:szCs w:val="16"/>
        </w:rPr>
        <w:t xml:space="preserve"> </w:t>
      </w:r>
      <w:r w:rsidR="002E01FB" w:rsidRPr="004E05F7">
        <w:rPr>
          <w:sz w:val="16"/>
          <w:szCs w:val="16"/>
        </w:rPr>
        <w:t>CUNHA</w:t>
      </w:r>
      <w:r w:rsidRPr="004E05F7">
        <w:rPr>
          <w:sz w:val="16"/>
          <w:szCs w:val="16"/>
        </w:rPr>
        <w:t xml:space="preserve">, Paulo de Pitta e. </w:t>
      </w:r>
      <w:r w:rsidRPr="004E05F7">
        <w:rPr>
          <w:i/>
          <w:iCs/>
          <w:sz w:val="16"/>
          <w:szCs w:val="16"/>
        </w:rPr>
        <w:t>Integração europeia: estudos de economia, direito e política comunitários: (1963-1993)</w:t>
      </w:r>
      <w:r w:rsidRPr="004E05F7">
        <w:rPr>
          <w:sz w:val="16"/>
          <w:szCs w:val="16"/>
        </w:rPr>
        <w:t>. 2.ª ed . Coimbra: Almedina, 2004</w:t>
      </w:r>
      <w:r w:rsidR="00E51C18" w:rsidRPr="004E05F7">
        <w:rPr>
          <w:sz w:val="16"/>
          <w:szCs w:val="16"/>
        </w:rPr>
        <w:t>, p. 135. ISBN: 972-40-2252-8.</w:t>
      </w:r>
    </w:p>
  </w:footnote>
  <w:footnote w:id="44">
    <w:p w14:paraId="42A235FA" w14:textId="5212DD0D" w:rsidR="00606794" w:rsidRDefault="00606794">
      <w:pPr>
        <w:pStyle w:val="Textodenotaderodap"/>
      </w:pPr>
      <w:r>
        <w:rPr>
          <w:rStyle w:val="Refdenotaderodap"/>
        </w:rPr>
        <w:footnoteRef/>
      </w:r>
      <w:r>
        <w:t xml:space="preserve"> </w:t>
      </w:r>
      <w:r w:rsidR="00FB0A75" w:rsidRPr="00FB0A75">
        <w:rPr>
          <w:sz w:val="16"/>
          <w:szCs w:val="16"/>
        </w:rPr>
        <w:t>ALVES, Dora Resende; BARATA, Mário Simões; CASTILHOS, Daniela Serra</w:t>
      </w:r>
      <w:r w:rsidR="00FB0A75" w:rsidRPr="00FB0A75">
        <w:rPr>
          <w:i/>
          <w:iCs/>
          <w:sz w:val="16"/>
          <w:szCs w:val="16"/>
        </w:rPr>
        <w:t>. Temas de Direito da União Europeia.</w:t>
      </w:r>
      <w:r w:rsidR="00FB0A75" w:rsidRPr="00FB0A75">
        <w:rPr>
          <w:sz w:val="16"/>
          <w:szCs w:val="16"/>
        </w:rPr>
        <w:t xml:space="preserve"> Instituto Iberoamericano de Estudos Jurídicos, 1.ª Edição, 2022, p. 40. ISBN: 978-989-53762-0-9.</w:t>
      </w:r>
    </w:p>
  </w:footnote>
  <w:footnote w:id="45">
    <w:p w14:paraId="4EE2B5EF" w14:textId="37BAFDC8" w:rsidR="00CA7020" w:rsidRPr="004E05F7" w:rsidRDefault="00CA7020">
      <w:pPr>
        <w:pStyle w:val="Textodenotaderodap"/>
        <w:rPr>
          <w:sz w:val="16"/>
          <w:szCs w:val="16"/>
        </w:rPr>
      </w:pPr>
      <w:r w:rsidRPr="004E05F7">
        <w:rPr>
          <w:rStyle w:val="Refdenotaderodap"/>
          <w:sz w:val="16"/>
          <w:szCs w:val="16"/>
        </w:rPr>
        <w:footnoteRef/>
      </w:r>
      <w:r w:rsidRPr="004E05F7">
        <w:rPr>
          <w:sz w:val="16"/>
          <w:szCs w:val="16"/>
        </w:rPr>
        <w:t xml:space="preserve"> MADURO, Miguel Poiares. </w:t>
      </w:r>
      <w:r w:rsidRPr="004E05F7">
        <w:rPr>
          <w:i/>
          <w:iCs/>
          <w:sz w:val="16"/>
          <w:szCs w:val="16"/>
        </w:rPr>
        <w:t>A Constituição Plural: Constitucionalismo e União Europeia</w:t>
      </w:r>
      <w:r w:rsidRPr="004E05F7">
        <w:rPr>
          <w:sz w:val="16"/>
          <w:szCs w:val="16"/>
        </w:rPr>
        <w:t>. Principia, 2003, p.76. ISBN: 9789728818593.</w:t>
      </w:r>
    </w:p>
  </w:footnote>
  <w:footnote w:id="46">
    <w:p w14:paraId="5F8D1E54" w14:textId="3B1E0BA4" w:rsidR="00022B17" w:rsidRPr="004E05F7" w:rsidRDefault="00022B17">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 xml:space="preserve">RTP NOTÍCIAS </w:t>
      </w:r>
      <w:r w:rsidRPr="004E05F7">
        <w:rPr>
          <w:sz w:val="16"/>
          <w:szCs w:val="16"/>
        </w:rPr>
        <w:t xml:space="preserve">(13-06-2008). </w:t>
      </w:r>
      <w:r w:rsidRPr="004E05F7">
        <w:rPr>
          <w:i/>
          <w:iCs/>
          <w:sz w:val="16"/>
          <w:szCs w:val="16"/>
        </w:rPr>
        <w:t>Irlandeses chumbam Tratado de Lisboa em referendo.</w:t>
      </w:r>
      <w:r w:rsidRPr="004E05F7">
        <w:rPr>
          <w:sz w:val="16"/>
          <w:szCs w:val="16"/>
        </w:rPr>
        <w:t xml:space="preserve"> RTP Notícias.</w:t>
      </w:r>
      <w:hyperlink r:id="rId12" w:history="1">
        <w:r w:rsidRPr="004E05F7">
          <w:rPr>
            <w:rStyle w:val="Hiperligao"/>
            <w:sz w:val="16"/>
            <w:szCs w:val="16"/>
          </w:rPr>
          <w:t>https://www.rtp.pt/noticias/mundo/irlandeses-chumbam-tratado-de-lisboa-em-referendo_n148250</w:t>
        </w:r>
      </w:hyperlink>
      <w:r w:rsidRPr="004E05F7">
        <w:rPr>
          <w:sz w:val="16"/>
          <w:szCs w:val="16"/>
        </w:rPr>
        <w:t xml:space="preserve">. </w:t>
      </w:r>
      <w:r w:rsidR="00CE2956" w:rsidRPr="004E05F7">
        <w:rPr>
          <w:sz w:val="16"/>
          <w:szCs w:val="16"/>
        </w:rPr>
        <w:t>Consult.</w:t>
      </w:r>
      <w:r w:rsidRPr="004E05F7">
        <w:rPr>
          <w:sz w:val="16"/>
          <w:szCs w:val="16"/>
        </w:rPr>
        <w:t xml:space="preserve"> 07-07-2025.</w:t>
      </w:r>
    </w:p>
  </w:footnote>
  <w:footnote w:id="47">
    <w:p w14:paraId="4C63F2CB" w14:textId="2B8FE505" w:rsidR="00022B17" w:rsidRDefault="00022B17">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UNIÃO EUROPEIA</w:t>
      </w:r>
      <w:r w:rsidRPr="004E05F7">
        <w:rPr>
          <w:sz w:val="16"/>
          <w:szCs w:val="16"/>
        </w:rPr>
        <w:t xml:space="preserve">. </w:t>
      </w:r>
      <w:r w:rsidRPr="004E05F7">
        <w:rPr>
          <w:i/>
          <w:iCs/>
          <w:sz w:val="16"/>
          <w:szCs w:val="16"/>
        </w:rPr>
        <w:t>Opting out (cláusula de isenção).</w:t>
      </w:r>
      <w:r w:rsidRPr="004E05F7">
        <w:rPr>
          <w:sz w:val="16"/>
          <w:szCs w:val="16"/>
        </w:rPr>
        <w:t xml:space="preserve"> União Europeia. https://eur-lex.europa.eu/PT/legal-content/glossary/opting-out.html. </w:t>
      </w:r>
      <w:r w:rsidR="00CE2956" w:rsidRPr="004E05F7">
        <w:rPr>
          <w:sz w:val="16"/>
          <w:szCs w:val="16"/>
        </w:rPr>
        <w:t>Consult.</w:t>
      </w:r>
      <w:r w:rsidRPr="004E05F7">
        <w:rPr>
          <w:sz w:val="16"/>
          <w:szCs w:val="16"/>
        </w:rPr>
        <w:t xml:space="preserve"> 07-07-2025.</w:t>
      </w:r>
    </w:p>
  </w:footnote>
  <w:footnote w:id="48">
    <w:p w14:paraId="2CAEECB2" w14:textId="51F65807" w:rsidR="005747DA" w:rsidRPr="004E05F7" w:rsidRDefault="005747DA" w:rsidP="005747DA">
      <w:pPr>
        <w:pStyle w:val="Textodenotaderodap"/>
        <w:rPr>
          <w:sz w:val="16"/>
          <w:szCs w:val="16"/>
        </w:rPr>
      </w:pPr>
      <w:r w:rsidRPr="004E05F7">
        <w:rPr>
          <w:rStyle w:val="Refdenotaderodap"/>
          <w:sz w:val="16"/>
          <w:szCs w:val="16"/>
        </w:rPr>
        <w:footnoteRef/>
      </w:r>
      <w:r w:rsidRPr="004E05F7">
        <w:rPr>
          <w:sz w:val="16"/>
          <w:szCs w:val="16"/>
        </w:rPr>
        <w:t xml:space="preserve"> </w:t>
      </w:r>
      <w:r w:rsidR="003A0C73" w:rsidRPr="004E05F7">
        <w:rPr>
          <w:sz w:val="16"/>
          <w:szCs w:val="16"/>
        </w:rPr>
        <w:t xml:space="preserve">LUCAS, Eugénio Pereira. </w:t>
      </w:r>
      <w:r w:rsidR="003A0C73" w:rsidRPr="004E05F7">
        <w:rPr>
          <w:i/>
          <w:iCs/>
          <w:sz w:val="16"/>
          <w:szCs w:val="16"/>
        </w:rPr>
        <w:t>Lições de direito da União Europeia</w:t>
      </w:r>
      <w:r w:rsidR="003A0C73" w:rsidRPr="004E05F7">
        <w:rPr>
          <w:sz w:val="16"/>
          <w:szCs w:val="16"/>
        </w:rPr>
        <w:t>. Lisboa: Quid Juris, 2021, pp. 129-130. ISBN: 978-972-724-846-9.</w:t>
      </w:r>
    </w:p>
  </w:footnote>
  <w:footnote w:id="49">
    <w:p w14:paraId="4678E947" w14:textId="51996D90" w:rsidR="005747DA" w:rsidRDefault="005747DA">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PARLAMENTO EUROPEU</w:t>
      </w:r>
      <w:r w:rsidRPr="004E05F7">
        <w:rPr>
          <w:sz w:val="16"/>
          <w:szCs w:val="16"/>
        </w:rPr>
        <w:t xml:space="preserve">. </w:t>
      </w:r>
      <w:r w:rsidRPr="004E05F7">
        <w:rPr>
          <w:i/>
          <w:iCs/>
          <w:sz w:val="16"/>
          <w:szCs w:val="16"/>
        </w:rPr>
        <w:t>Resolução do Parlamento Europeu, de 29 de fevereiro de 2024, sobre o aprofundamento da integração da UE tendo em vista o futuro alargamento (P9_TA(2024)0120; 2023/2114(INI))</w:t>
      </w:r>
      <w:r w:rsidRPr="004E05F7">
        <w:rPr>
          <w:sz w:val="16"/>
          <w:szCs w:val="16"/>
        </w:rPr>
        <w:t xml:space="preserve"> [recurso eletrónico]. Disponível em: https://eur-lex.europa.eu/eli/C/2024/6746/oj/eng. </w:t>
      </w:r>
      <w:r w:rsidR="00CE2956" w:rsidRPr="004E05F7">
        <w:rPr>
          <w:sz w:val="16"/>
          <w:szCs w:val="16"/>
        </w:rPr>
        <w:t>Consult.</w:t>
      </w:r>
      <w:r w:rsidRPr="004E05F7">
        <w:rPr>
          <w:sz w:val="16"/>
          <w:szCs w:val="16"/>
        </w:rPr>
        <w:t xml:space="preserve"> 09-07-2025.</w:t>
      </w:r>
    </w:p>
  </w:footnote>
  <w:footnote w:id="50">
    <w:p w14:paraId="278B86EA" w14:textId="3D792D99" w:rsidR="001A7126" w:rsidRPr="004E05F7" w:rsidRDefault="001A7126">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PARLAMENTO EUROPEU</w:t>
      </w:r>
      <w:r w:rsidR="004161AF" w:rsidRPr="004E05F7">
        <w:rPr>
          <w:sz w:val="16"/>
          <w:szCs w:val="16"/>
        </w:rPr>
        <w:t xml:space="preserve">. </w:t>
      </w:r>
      <w:r w:rsidR="004161AF" w:rsidRPr="004E05F7">
        <w:rPr>
          <w:i/>
          <w:iCs/>
          <w:sz w:val="16"/>
          <w:szCs w:val="16"/>
        </w:rPr>
        <w:t>Resolução do Parlamento Europeu, de 9 de junho de 2022, sobre o apelo à convocação de uma Convenção para a revisão dos Tratados (2022/2705(RSP))</w:t>
      </w:r>
      <w:r w:rsidR="004161AF" w:rsidRPr="004E05F7">
        <w:rPr>
          <w:sz w:val="16"/>
          <w:szCs w:val="16"/>
        </w:rPr>
        <w:t xml:space="preserve"> [recurso eletrónico]. Disponível em: </w:t>
      </w:r>
      <w:hyperlink r:id="rId13" w:history="1">
        <w:r w:rsidR="004161AF" w:rsidRPr="004E05F7">
          <w:rPr>
            <w:rStyle w:val="Hiperligao"/>
            <w:sz w:val="16"/>
            <w:szCs w:val="16"/>
          </w:rPr>
          <w:t>https://www.europarl.europa.eu/doceo/document/TA-9-2022-0244_EN.html</w:t>
        </w:r>
      </w:hyperlink>
      <w:r w:rsidR="004161AF" w:rsidRPr="004E05F7">
        <w:rPr>
          <w:sz w:val="16"/>
          <w:szCs w:val="16"/>
        </w:rPr>
        <w:t xml:space="preserve">. </w:t>
      </w:r>
      <w:r w:rsidR="00A50DBF" w:rsidRPr="004E05F7">
        <w:rPr>
          <w:sz w:val="16"/>
          <w:szCs w:val="16"/>
        </w:rPr>
        <w:t>Consult.</w:t>
      </w:r>
      <w:r w:rsidR="004161AF" w:rsidRPr="004E05F7">
        <w:rPr>
          <w:sz w:val="16"/>
          <w:szCs w:val="16"/>
        </w:rPr>
        <w:t xml:space="preserve"> 09-07-2025</w:t>
      </w:r>
    </w:p>
  </w:footnote>
  <w:footnote w:id="51">
    <w:p w14:paraId="61B8A8FB" w14:textId="13DB62B8" w:rsidR="004161AF" w:rsidRPr="004E05F7" w:rsidRDefault="004161AF" w:rsidP="004161AF">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CONFERÊNCIA SOBRE O FUTURO DA EUROPA</w:t>
      </w:r>
      <w:r w:rsidRPr="004E05F7">
        <w:rPr>
          <w:sz w:val="16"/>
          <w:szCs w:val="16"/>
        </w:rPr>
        <w:t xml:space="preserve">. </w:t>
      </w:r>
      <w:r w:rsidRPr="004E05F7">
        <w:rPr>
          <w:i/>
          <w:iCs/>
          <w:sz w:val="16"/>
          <w:szCs w:val="16"/>
        </w:rPr>
        <w:t>Conference on the Future of Europe: report on the final outcome</w:t>
      </w:r>
      <w:r w:rsidR="00447267" w:rsidRPr="004E05F7">
        <w:rPr>
          <w:i/>
          <w:iCs/>
          <w:sz w:val="16"/>
          <w:szCs w:val="16"/>
        </w:rPr>
        <w:t xml:space="preserve"> </w:t>
      </w:r>
      <w:r w:rsidR="00447267" w:rsidRPr="004E05F7">
        <w:rPr>
          <w:sz w:val="16"/>
          <w:szCs w:val="16"/>
        </w:rPr>
        <w:t>[recurso eletrónico].</w:t>
      </w:r>
      <w:r w:rsidRPr="004E05F7">
        <w:rPr>
          <w:sz w:val="16"/>
          <w:szCs w:val="16"/>
        </w:rPr>
        <w:t xml:space="preserve"> Luxemburgo: Serviço das Publicações da União Europeia, 2022</w:t>
      </w:r>
      <w:r w:rsidR="007137B1" w:rsidRPr="004E05F7">
        <w:rPr>
          <w:sz w:val="16"/>
          <w:szCs w:val="16"/>
        </w:rPr>
        <w:t xml:space="preserve">, </w:t>
      </w:r>
      <w:r w:rsidRPr="004E05F7">
        <w:rPr>
          <w:sz w:val="16"/>
          <w:szCs w:val="16"/>
        </w:rPr>
        <w:t>.</w:t>
      </w:r>
      <w:r w:rsidR="00447267" w:rsidRPr="004E05F7">
        <w:rPr>
          <w:sz w:val="16"/>
          <w:szCs w:val="16"/>
        </w:rPr>
        <w:t xml:space="preserve"> </w:t>
      </w:r>
      <w:r w:rsidR="007137B1" w:rsidRPr="004E05F7">
        <w:rPr>
          <w:sz w:val="16"/>
          <w:szCs w:val="16"/>
        </w:rPr>
        <w:t xml:space="preserve">Disponível em: </w:t>
      </w:r>
      <w:hyperlink r:id="rId14" w:history="1">
        <w:r w:rsidR="007137B1" w:rsidRPr="004E05F7">
          <w:rPr>
            <w:rStyle w:val="Hiperligao"/>
            <w:sz w:val="16"/>
            <w:szCs w:val="16"/>
          </w:rPr>
          <w:t>https://www.europarl.europa.eu/resources/library/media/20220509RES29121/20220509RES29121.pdf</w:t>
        </w:r>
      </w:hyperlink>
      <w:r w:rsidR="007137B1" w:rsidRPr="004E05F7">
        <w:rPr>
          <w:sz w:val="16"/>
          <w:szCs w:val="16"/>
        </w:rPr>
        <w:t xml:space="preserve">. Consult. 09-07-2025. </w:t>
      </w:r>
      <w:r w:rsidR="00447267" w:rsidRPr="004E05F7">
        <w:rPr>
          <w:sz w:val="16"/>
          <w:szCs w:val="16"/>
        </w:rPr>
        <w:t>ISBN: 978-92-824-8748-8</w:t>
      </w:r>
    </w:p>
  </w:footnote>
  <w:footnote w:id="52">
    <w:p w14:paraId="51898195" w14:textId="228CDADF" w:rsidR="00F80BC6" w:rsidRDefault="00F80BC6">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PARLAMENTO EUROPEU</w:t>
      </w:r>
      <w:r w:rsidRPr="004E05F7">
        <w:rPr>
          <w:sz w:val="16"/>
          <w:szCs w:val="16"/>
        </w:rPr>
        <w:t xml:space="preserve">. </w:t>
      </w:r>
      <w:r w:rsidRPr="004E05F7">
        <w:rPr>
          <w:i/>
          <w:iCs/>
          <w:sz w:val="16"/>
          <w:szCs w:val="16"/>
        </w:rPr>
        <w:t>Resolução do Parlamento Europeu, de 16 de fevereiro de 2017, sobre possíveis evoluções e adaptações da atual estrutura institucional da União Europeia (2014/2248(INI))</w:t>
      </w:r>
      <w:r w:rsidRPr="004E05F7">
        <w:rPr>
          <w:sz w:val="16"/>
          <w:szCs w:val="16"/>
        </w:rPr>
        <w:t xml:space="preserve"> [recurso eletrónico]. Disponível em: </w:t>
      </w:r>
      <w:hyperlink r:id="rId15" w:history="1">
        <w:r w:rsidRPr="004E05F7">
          <w:rPr>
            <w:rStyle w:val="Hiperligao"/>
            <w:sz w:val="16"/>
            <w:szCs w:val="16"/>
          </w:rPr>
          <w:t>https://www.europarl.europa.eu/doceo/document/TA-8-2017-0048_EN.html</w:t>
        </w:r>
      </w:hyperlink>
      <w:r w:rsidRPr="004E05F7">
        <w:rPr>
          <w:sz w:val="16"/>
          <w:szCs w:val="16"/>
        </w:rPr>
        <w:t xml:space="preserve">. </w:t>
      </w:r>
      <w:r w:rsidR="00A50DBF" w:rsidRPr="004E05F7">
        <w:rPr>
          <w:sz w:val="16"/>
          <w:szCs w:val="16"/>
        </w:rPr>
        <w:t>Consult.</w:t>
      </w:r>
      <w:r w:rsidRPr="004E05F7">
        <w:rPr>
          <w:sz w:val="16"/>
          <w:szCs w:val="16"/>
        </w:rPr>
        <w:t xml:space="preserve"> 10-07-2025</w:t>
      </w:r>
    </w:p>
  </w:footnote>
  <w:footnote w:id="53">
    <w:p w14:paraId="3AA9ACE9" w14:textId="1C24A04D" w:rsidR="00F80BC6" w:rsidRDefault="00F80BC6">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UNIÃO EUROPEIA</w:t>
      </w:r>
      <w:r w:rsidRPr="004E05F7">
        <w:rPr>
          <w:sz w:val="16"/>
          <w:szCs w:val="16"/>
        </w:rPr>
        <w:t xml:space="preserve">. </w:t>
      </w:r>
      <w:r w:rsidRPr="004E05F7">
        <w:rPr>
          <w:i/>
          <w:iCs/>
          <w:sz w:val="16"/>
          <w:szCs w:val="16"/>
        </w:rPr>
        <w:t>Tratado da União Europeia</w:t>
      </w:r>
      <w:r w:rsidRPr="004E05F7">
        <w:rPr>
          <w:sz w:val="16"/>
          <w:szCs w:val="16"/>
        </w:rPr>
        <w:t xml:space="preserve"> (versão consolidada). Jornal Oficial da União Europeia, C 202, 7 jun. 2016.</w:t>
      </w:r>
    </w:p>
  </w:footnote>
  <w:footnote w:id="54">
    <w:p w14:paraId="18B416BC" w14:textId="3831A8C2" w:rsidR="00534DC2" w:rsidRDefault="00534DC2">
      <w:pPr>
        <w:pStyle w:val="Textodenotaderodap"/>
      </w:pPr>
      <w:r>
        <w:rPr>
          <w:rStyle w:val="Refdenotaderodap"/>
        </w:rPr>
        <w:footnoteRef/>
      </w:r>
      <w:r>
        <w:t xml:space="preserve"> </w:t>
      </w:r>
      <w:r w:rsidRPr="00534DC2">
        <w:rPr>
          <w:sz w:val="16"/>
          <w:szCs w:val="16"/>
        </w:rPr>
        <w:t xml:space="preserve">SILVEIRA, Alessandra. A nova (des)ordem mundial e a União Europeia de Defesa (três anos após a invasão da Ucrânia). </w:t>
      </w:r>
      <w:r w:rsidRPr="00534DC2">
        <w:rPr>
          <w:i/>
          <w:iCs/>
          <w:sz w:val="16"/>
          <w:szCs w:val="16"/>
        </w:rPr>
        <w:t>Officialblogunio.</w:t>
      </w:r>
      <w:r w:rsidRPr="00534DC2">
        <w:rPr>
          <w:sz w:val="16"/>
          <w:szCs w:val="16"/>
        </w:rPr>
        <w:t xml:space="preserve"> Disponível em: https://officialblogofunio.com/2025/03/01/editorial-of-march-2025/. Consult. 12-07-2025.</w:t>
      </w:r>
    </w:p>
  </w:footnote>
  <w:footnote w:id="55">
    <w:p w14:paraId="7CFA7CBC" w14:textId="1F9F335A" w:rsidR="00B622F9" w:rsidRDefault="00B622F9">
      <w:pPr>
        <w:pStyle w:val="Textodenotaderodap"/>
      </w:pPr>
      <w:r>
        <w:rPr>
          <w:rStyle w:val="Refdenotaderodap"/>
        </w:rPr>
        <w:footnoteRef/>
      </w:r>
      <w:r>
        <w:t xml:space="preserve"> </w:t>
      </w:r>
      <w:r w:rsidRPr="00B622F9">
        <w:rPr>
          <w:sz w:val="16"/>
          <w:szCs w:val="16"/>
        </w:rPr>
        <w:t xml:space="preserve">SILVEIRA, Alessandra; FROUFE, Pedro Madeira. Sobre a problemática parceria transatlântica e seu impacto na integração europeia. </w:t>
      </w:r>
      <w:r w:rsidRPr="00B622F9">
        <w:rPr>
          <w:i/>
          <w:iCs/>
          <w:sz w:val="16"/>
          <w:szCs w:val="16"/>
        </w:rPr>
        <w:t>Officialblogunio</w:t>
      </w:r>
      <w:r w:rsidRPr="00B622F9">
        <w:rPr>
          <w:sz w:val="16"/>
          <w:szCs w:val="16"/>
        </w:rPr>
        <w:t>. Disponível em: https://officialblogofunio.com/2025/12/20/editorial-of-december-2025/. Consult. 12-07-2025.</w:t>
      </w:r>
    </w:p>
  </w:footnote>
  <w:footnote w:id="56">
    <w:p w14:paraId="299AAB4E" w14:textId="11BBB558" w:rsidR="00F80BC6" w:rsidRPr="006E6AEE" w:rsidRDefault="00F80BC6">
      <w:pPr>
        <w:pStyle w:val="Textodenotaderodap"/>
        <w:rPr>
          <w:i/>
          <w:iCs/>
        </w:rPr>
      </w:pPr>
      <w:r w:rsidRPr="004E05F7">
        <w:rPr>
          <w:rStyle w:val="Refdenotaderodap"/>
          <w:sz w:val="16"/>
          <w:szCs w:val="16"/>
        </w:rPr>
        <w:footnoteRef/>
      </w:r>
      <w:r w:rsidRPr="004E05F7">
        <w:rPr>
          <w:sz w:val="16"/>
          <w:szCs w:val="16"/>
        </w:rPr>
        <w:t xml:space="preserve"> </w:t>
      </w:r>
      <w:r w:rsidR="00D25262" w:rsidRPr="004E05F7">
        <w:rPr>
          <w:sz w:val="16"/>
          <w:szCs w:val="16"/>
        </w:rPr>
        <w:t>BUNDESVERFASSUNGSGERICHT</w:t>
      </w:r>
      <w:r w:rsidR="004F1654" w:rsidRPr="004E05F7">
        <w:rPr>
          <w:sz w:val="16"/>
          <w:szCs w:val="16"/>
        </w:rPr>
        <w:t xml:space="preserve">. </w:t>
      </w:r>
      <w:r w:rsidR="004F1654" w:rsidRPr="004E05F7">
        <w:rPr>
          <w:i/>
          <w:iCs/>
          <w:sz w:val="16"/>
          <w:szCs w:val="16"/>
        </w:rPr>
        <w:t>Acórdão “Solange I” (BVerfGE 37, 271), decisão de 29 de maio de 1974 (2 BvL 52/71)</w:t>
      </w:r>
      <w:r w:rsidR="004F1654" w:rsidRPr="004E05F7">
        <w:rPr>
          <w:sz w:val="16"/>
          <w:szCs w:val="16"/>
        </w:rPr>
        <w:t xml:space="preserve"> [recurso electrónico]. Bundesverfassungsgericht. Berlim. Bundesverfassungsgericht,</w:t>
      </w:r>
      <w:r w:rsidR="009D66A7" w:rsidRPr="004E05F7">
        <w:rPr>
          <w:sz w:val="16"/>
          <w:szCs w:val="16"/>
        </w:rPr>
        <w:t xml:space="preserve"> </w:t>
      </w:r>
      <w:r w:rsidR="004F1654" w:rsidRPr="004E05F7">
        <w:rPr>
          <w:sz w:val="16"/>
          <w:szCs w:val="16"/>
        </w:rPr>
        <w:t>1974. Disponível em: https://www.bundesverfassungsgericht.de/SharedDocs/Entscheidungen/EN/1974/ls19740529_2bvl005271en.html. Consult. 13-07-2025.</w:t>
      </w:r>
    </w:p>
  </w:footnote>
  <w:footnote w:id="57">
    <w:p w14:paraId="22ACC5AD" w14:textId="490C21C3" w:rsidR="000E0ED3" w:rsidRPr="004E05F7" w:rsidRDefault="000E0ED3" w:rsidP="000E0ED3">
      <w:pPr>
        <w:pStyle w:val="Textodenotaderodap"/>
        <w:rPr>
          <w:sz w:val="16"/>
          <w:szCs w:val="16"/>
        </w:rPr>
      </w:pPr>
      <w:r w:rsidRPr="004E05F7">
        <w:rPr>
          <w:rStyle w:val="Refdenotaderodap"/>
          <w:sz w:val="16"/>
          <w:szCs w:val="16"/>
        </w:rPr>
        <w:footnoteRef/>
      </w:r>
      <w:r w:rsidRPr="004E05F7">
        <w:rPr>
          <w:sz w:val="16"/>
          <w:szCs w:val="16"/>
        </w:rPr>
        <w:t xml:space="preserve"> MESQUITA, Maria José Rangel de.  Comentário ao Acórdão n.º 422/2020 do Plenário do Tribunal Constitucional (Relator: Conselheiro José António Teles Pereira).</w:t>
      </w:r>
      <w:r w:rsidR="00447267" w:rsidRPr="004E05F7">
        <w:rPr>
          <w:i/>
          <w:iCs/>
          <w:sz w:val="16"/>
          <w:szCs w:val="16"/>
        </w:rPr>
        <w:t xml:space="preserve"> </w:t>
      </w:r>
      <w:r w:rsidRPr="004E05F7">
        <w:rPr>
          <w:i/>
          <w:iCs/>
          <w:sz w:val="16"/>
          <w:szCs w:val="16"/>
        </w:rPr>
        <w:t>E-Publica Public Law Journal</w:t>
      </w:r>
      <w:r w:rsidRPr="004E05F7">
        <w:rPr>
          <w:sz w:val="16"/>
          <w:szCs w:val="16"/>
        </w:rPr>
        <w:t>. Vol. 10</w:t>
      </w:r>
      <w:r w:rsidR="00447267" w:rsidRPr="004E05F7">
        <w:rPr>
          <w:sz w:val="16"/>
          <w:szCs w:val="16"/>
        </w:rPr>
        <w:t>, n.º</w:t>
      </w:r>
      <w:r w:rsidRPr="004E05F7">
        <w:rPr>
          <w:sz w:val="16"/>
          <w:szCs w:val="16"/>
        </w:rPr>
        <w:t xml:space="preserve"> 2</w:t>
      </w:r>
      <w:r w:rsidR="00447267" w:rsidRPr="004E05F7">
        <w:rPr>
          <w:sz w:val="16"/>
          <w:szCs w:val="16"/>
        </w:rPr>
        <w:t xml:space="preserve">, </w:t>
      </w:r>
      <w:r w:rsidRPr="004E05F7">
        <w:rPr>
          <w:sz w:val="16"/>
          <w:szCs w:val="16"/>
        </w:rPr>
        <w:t>2023</w:t>
      </w:r>
      <w:r w:rsidR="00447267" w:rsidRPr="004E05F7">
        <w:rPr>
          <w:sz w:val="16"/>
          <w:szCs w:val="16"/>
        </w:rPr>
        <w:t>, p. 142</w:t>
      </w:r>
      <w:r w:rsidRPr="004E05F7">
        <w:rPr>
          <w:sz w:val="16"/>
          <w:szCs w:val="16"/>
        </w:rPr>
        <w:t>.</w:t>
      </w:r>
      <w:r w:rsidR="00447267" w:rsidRPr="004E05F7">
        <w:rPr>
          <w:sz w:val="16"/>
          <w:szCs w:val="16"/>
        </w:rPr>
        <w:t xml:space="preserve"> ISSN: 2183-184X.</w:t>
      </w:r>
    </w:p>
  </w:footnote>
  <w:footnote w:id="58">
    <w:p w14:paraId="131AE193" w14:textId="2A65AD73" w:rsidR="006E6AEE" w:rsidRPr="006C1DF6" w:rsidRDefault="006E6AEE" w:rsidP="006C1DF6">
      <w:pPr>
        <w:pStyle w:val="Textodenotaderodap"/>
      </w:pPr>
      <w:r w:rsidRPr="004E05F7">
        <w:rPr>
          <w:rStyle w:val="Refdenotaderodap"/>
          <w:sz w:val="16"/>
          <w:szCs w:val="16"/>
        </w:rPr>
        <w:footnoteRef/>
      </w:r>
      <w:r w:rsidRPr="004E05F7">
        <w:rPr>
          <w:sz w:val="16"/>
          <w:szCs w:val="16"/>
        </w:rPr>
        <w:t xml:space="preserve"> </w:t>
      </w:r>
      <w:r w:rsidR="0087772A" w:rsidRPr="004E05F7">
        <w:rPr>
          <w:sz w:val="16"/>
          <w:szCs w:val="16"/>
        </w:rPr>
        <w:t xml:space="preserve">CALLEJÓN, Francisco Balaguer. A relação dialética entre identidade constitucional nacional e europeia, no quadro do Direito Constitucional Europeu. </w:t>
      </w:r>
      <w:r w:rsidR="0087772A" w:rsidRPr="004E05F7">
        <w:rPr>
          <w:i/>
          <w:iCs/>
          <w:sz w:val="16"/>
          <w:szCs w:val="16"/>
        </w:rPr>
        <w:t>UNIO - EU Law Journal</w:t>
      </w:r>
      <w:r w:rsidR="0087772A" w:rsidRPr="004E05F7">
        <w:rPr>
          <w:sz w:val="16"/>
          <w:szCs w:val="16"/>
        </w:rPr>
        <w:t>. Vol. 3</w:t>
      </w:r>
      <w:r w:rsidR="00A90C4D" w:rsidRPr="004E05F7">
        <w:rPr>
          <w:sz w:val="16"/>
          <w:szCs w:val="16"/>
        </w:rPr>
        <w:t>,</w:t>
      </w:r>
      <w:r w:rsidR="0087772A" w:rsidRPr="004E05F7">
        <w:rPr>
          <w:sz w:val="16"/>
          <w:szCs w:val="16"/>
        </w:rPr>
        <w:t xml:space="preserve"> N.º 1</w:t>
      </w:r>
      <w:r w:rsidR="00A90C4D" w:rsidRPr="004E05F7">
        <w:rPr>
          <w:sz w:val="16"/>
          <w:szCs w:val="16"/>
        </w:rPr>
        <w:t>,</w:t>
      </w:r>
      <w:r w:rsidR="0087772A" w:rsidRPr="004E05F7">
        <w:rPr>
          <w:sz w:val="16"/>
          <w:szCs w:val="16"/>
        </w:rPr>
        <w:t xml:space="preserve"> 2017</w:t>
      </w:r>
      <w:r w:rsidR="00A90C4D" w:rsidRPr="004E05F7">
        <w:rPr>
          <w:sz w:val="16"/>
          <w:szCs w:val="16"/>
        </w:rPr>
        <w:t>,</w:t>
      </w:r>
      <w:r w:rsidR="0087772A" w:rsidRPr="004E05F7">
        <w:rPr>
          <w:sz w:val="16"/>
          <w:szCs w:val="16"/>
        </w:rPr>
        <w:t xml:space="preserve"> </w:t>
      </w:r>
      <w:r w:rsidR="00A90C4D" w:rsidRPr="004E05F7">
        <w:rPr>
          <w:sz w:val="16"/>
          <w:szCs w:val="16"/>
        </w:rPr>
        <w:t>p</w:t>
      </w:r>
      <w:r w:rsidR="0087772A" w:rsidRPr="004E05F7">
        <w:rPr>
          <w:sz w:val="16"/>
          <w:szCs w:val="16"/>
        </w:rPr>
        <w:t>. 12. ISSN 2183-3435</w:t>
      </w:r>
    </w:p>
  </w:footnote>
  <w:footnote w:id="59">
    <w:p w14:paraId="72828ACD" w14:textId="5A081AC1" w:rsidR="005747DA" w:rsidRPr="004E05F7" w:rsidRDefault="005747DA">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COMISSÃO EUROPEIA</w:t>
      </w:r>
      <w:r w:rsidRPr="004E05F7">
        <w:rPr>
          <w:sz w:val="16"/>
          <w:szCs w:val="16"/>
        </w:rPr>
        <w:t xml:space="preserve">. </w:t>
      </w:r>
      <w:r w:rsidRPr="004E05F7">
        <w:rPr>
          <w:i/>
          <w:iCs/>
          <w:sz w:val="16"/>
          <w:szCs w:val="16"/>
        </w:rPr>
        <w:t>Presidency Conclusions European Council meeting in Laeken 14 and 15 december 2001.</w:t>
      </w:r>
      <w:r w:rsidRPr="004E05F7">
        <w:rPr>
          <w:sz w:val="16"/>
          <w:szCs w:val="16"/>
        </w:rPr>
        <w:t xml:space="preserve"> Comissão Europeia. https://ec.europa.eu/commission/presscorner/detail/en/DOC_01_18. </w:t>
      </w:r>
      <w:r w:rsidR="00A50DBF" w:rsidRPr="004E05F7">
        <w:rPr>
          <w:sz w:val="16"/>
          <w:szCs w:val="16"/>
        </w:rPr>
        <w:t>Consult.</w:t>
      </w:r>
      <w:r w:rsidRPr="004E05F7">
        <w:rPr>
          <w:sz w:val="16"/>
          <w:szCs w:val="16"/>
        </w:rPr>
        <w:t xml:space="preserve"> 23/01/2023</w:t>
      </w:r>
    </w:p>
  </w:footnote>
  <w:footnote w:id="60">
    <w:p w14:paraId="7DCCA8EB" w14:textId="3EEDD485" w:rsidR="005747DA" w:rsidRPr="004E05F7" w:rsidRDefault="005747DA">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COMISSÃO EUROPEIA</w:t>
      </w:r>
      <w:r w:rsidRPr="004E05F7">
        <w:rPr>
          <w:sz w:val="16"/>
          <w:szCs w:val="16"/>
        </w:rPr>
        <w:t xml:space="preserve">. </w:t>
      </w:r>
      <w:r w:rsidRPr="004E05F7">
        <w:rPr>
          <w:i/>
          <w:iCs/>
          <w:sz w:val="16"/>
          <w:szCs w:val="16"/>
        </w:rPr>
        <w:t>Romano Prodi President of the European Commission Planning our work until the end of the term and the Convention Conference of Presidents of the European Parliament Strasbourg, 13 May 2002.</w:t>
      </w:r>
      <w:r w:rsidRPr="004E05F7">
        <w:rPr>
          <w:sz w:val="16"/>
          <w:szCs w:val="16"/>
        </w:rPr>
        <w:t xml:space="preserve"> Comissão Europeia. https://ec.europa.eu/commission/presscorner/detail/en/SPEECH_03_242. </w:t>
      </w:r>
      <w:r w:rsidR="00A50DBF" w:rsidRPr="004E05F7">
        <w:rPr>
          <w:sz w:val="16"/>
          <w:szCs w:val="16"/>
        </w:rPr>
        <w:t>Consult.</w:t>
      </w:r>
      <w:r w:rsidRPr="004E05F7">
        <w:rPr>
          <w:sz w:val="16"/>
          <w:szCs w:val="16"/>
        </w:rPr>
        <w:t xml:space="preserve"> 27/01/2023</w:t>
      </w:r>
    </w:p>
  </w:footnote>
  <w:footnote w:id="61">
    <w:p w14:paraId="2A2D749B" w14:textId="2B9E3562" w:rsidR="005747DA" w:rsidRPr="004E05F7" w:rsidRDefault="005747DA">
      <w:pPr>
        <w:pStyle w:val="Textodenotaderodap"/>
        <w:rPr>
          <w:sz w:val="16"/>
          <w:szCs w:val="16"/>
        </w:rPr>
      </w:pPr>
      <w:r w:rsidRPr="004E05F7">
        <w:rPr>
          <w:rStyle w:val="Refdenotaderodap"/>
          <w:sz w:val="16"/>
          <w:szCs w:val="16"/>
        </w:rPr>
        <w:footnoteRef/>
      </w:r>
      <w:r w:rsidRPr="004E05F7">
        <w:rPr>
          <w:sz w:val="16"/>
          <w:szCs w:val="16"/>
        </w:rPr>
        <w:t xml:space="preserve"> </w:t>
      </w:r>
      <w:r w:rsidR="00980455" w:rsidRPr="004E05F7">
        <w:rPr>
          <w:sz w:val="16"/>
          <w:szCs w:val="16"/>
        </w:rPr>
        <w:t xml:space="preserve">BLACK, Ian. </w:t>
      </w:r>
      <w:r w:rsidR="00980455" w:rsidRPr="004E05F7">
        <w:rPr>
          <w:i/>
          <w:iCs/>
          <w:sz w:val="16"/>
          <w:szCs w:val="16"/>
        </w:rPr>
        <w:t>Christianity Bedevils Talks on EU Treaty</w:t>
      </w:r>
      <w:r w:rsidR="00980455" w:rsidRPr="004E05F7">
        <w:rPr>
          <w:sz w:val="16"/>
          <w:szCs w:val="16"/>
        </w:rPr>
        <w:t xml:space="preserve"> [online]. The Guardian. Disponível em: https://www.theguardian.com/world/2004/may/25/eu.religion. Consult. 27/01/2023</w:t>
      </w:r>
    </w:p>
  </w:footnote>
  <w:footnote w:id="62">
    <w:p w14:paraId="05C53B9C" w14:textId="7C194127" w:rsidR="00855237" w:rsidRPr="004E05F7" w:rsidRDefault="00855237" w:rsidP="00855237">
      <w:pPr>
        <w:pStyle w:val="Textodenotaderodap"/>
        <w:rPr>
          <w:i/>
          <w:iCs/>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JORNAL OFICIAL DA UNIÃO EUROPEIA</w:t>
      </w:r>
      <w:r w:rsidRPr="004E05F7">
        <w:rPr>
          <w:sz w:val="16"/>
          <w:szCs w:val="16"/>
        </w:rPr>
        <w:t xml:space="preserve">. </w:t>
      </w:r>
      <w:r w:rsidRPr="004E05F7">
        <w:rPr>
          <w:i/>
          <w:iCs/>
          <w:sz w:val="16"/>
          <w:szCs w:val="16"/>
        </w:rPr>
        <w:t>TRATADO QUE ESTABELECE UMA</w:t>
      </w:r>
      <w:r w:rsidR="004E05F7">
        <w:rPr>
          <w:i/>
          <w:iCs/>
          <w:sz w:val="16"/>
          <w:szCs w:val="16"/>
        </w:rPr>
        <w:t xml:space="preserve"> </w:t>
      </w:r>
      <w:r w:rsidRPr="004E05F7">
        <w:rPr>
          <w:i/>
          <w:iCs/>
          <w:sz w:val="16"/>
          <w:szCs w:val="16"/>
        </w:rPr>
        <w:t>CONSTITUIÇÃO PARA A EUROPA.</w:t>
      </w:r>
      <w:r w:rsidRPr="004E05F7">
        <w:rPr>
          <w:sz w:val="16"/>
          <w:szCs w:val="16"/>
        </w:rPr>
        <w:t xml:space="preserve"> União Europeia. Disponível em: </w:t>
      </w:r>
      <w:hyperlink r:id="rId16" w:history="1">
        <w:r w:rsidRPr="004E05F7">
          <w:rPr>
            <w:rStyle w:val="Hiperligao"/>
            <w:sz w:val="16"/>
            <w:szCs w:val="16"/>
          </w:rPr>
          <w:t>https://eur-lex.europa.eu/legal-content/PT/ALL/?uri=OJ%3AC%3A2004%3A310%3ATOC</w:t>
        </w:r>
      </w:hyperlink>
      <w:r w:rsidRPr="004E05F7">
        <w:rPr>
          <w:sz w:val="16"/>
          <w:szCs w:val="16"/>
        </w:rPr>
        <w:t>. Consult. 01/02/2023.</w:t>
      </w:r>
    </w:p>
  </w:footnote>
  <w:footnote w:id="63">
    <w:p w14:paraId="40CA1346" w14:textId="4D53B79C" w:rsidR="005747DA" w:rsidRPr="004E05F7" w:rsidRDefault="005747DA">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PARLAMENTO EUROPEU</w:t>
      </w:r>
      <w:r w:rsidRPr="004E05F7">
        <w:rPr>
          <w:sz w:val="16"/>
          <w:szCs w:val="16"/>
        </w:rPr>
        <w:t xml:space="preserve">. </w:t>
      </w:r>
      <w:r w:rsidRPr="004E05F7">
        <w:rPr>
          <w:i/>
          <w:iCs/>
          <w:sz w:val="16"/>
          <w:szCs w:val="16"/>
        </w:rPr>
        <w:t>European Parliament resolution on the Treaty establishing a Constitution for Europe.</w:t>
      </w:r>
      <w:r w:rsidRPr="004E05F7">
        <w:rPr>
          <w:sz w:val="16"/>
          <w:szCs w:val="16"/>
        </w:rPr>
        <w:t xml:space="preserve"> Parlamento Europeu. https://www.europarl.europa.eu/about-parliament/pt/in-the-past/the-parliament-and-the-treaties/draft-treaty-establishing-a-constitution-for-europe. </w:t>
      </w:r>
      <w:r w:rsidR="00A50DBF" w:rsidRPr="004E05F7">
        <w:rPr>
          <w:sz w:val="16"/>
          <w:szCs w:val="16"/>
        </w:rPr>
        <w:t>Consult.</w:t>
      </w:r>
      <w:r w:rsidRPr="004E05F7">
        <w:rPr>
          <w:sz w:val="16"/>
          <w:szCs w:val="16"/>
        </w:rPr>
        <w:t xml:space="preserve"> </w:t>
      </w:r>
      <w:r w:rsidR="00A50DBF" w:rsidRPr="004E05F7">
        <w:rPr>
          <w:sz w:val="16"/>
          <w:szCs w:val="16"/>
        </w:rPr>
        <w:t>0</w:t>
      </w:r>
      <w:r w:rsidRPr="004E05F7">
        <w:rPr>
          <w:sz w:val="16"/>
          <w:szCs w:val="16"/>
        </w:rPr>
        <w:t>1/02/2023</w:t>
      </w:r>
    </w:p>
  </w:footnote>
  <w:footnote w:id="64">
    <w:p w14:paraId="0B5FB073" w14:textId="1FDFD403" w:rsidR="001A7126" w:rsidRDefault="001A7126">
      <w:pPr>
        <w:pStyle w:val="Textodenotaderodap"/>
      </w:pPr>
      <w:r w:rsidRPr="004E05F7">
        <w:rPr>
          <w:rStyle w:val="Refdenotaderodap"/>
          <w:sz w:val="16"/>
          <w:szCs w:val="16"/>
        </w:rPr>
        <w:footnoteRef/>
      </w:r>
      <w:r w:rsidRPr="004E05F7">
        <w:rPr>
          <w:sz w:val="16"/>
          <w:szCs w:val="16"/>
        </w:rPr>
        <w:t xml:space="preserve"> </w:t>
      </w:r>
      <w:r w:rsidR="00980455" w:rsidRPr="004E05F7">
        <w:rPr>
          <w:sz w:val="16"/>
          <w:szCs w:val="16"/>
        </w:rPr>
        <w:t xml:space="preserve">DEBEUF, Koert. </w:t>
      </w:r>
      <w:r w:rsidR="00980455" w:rsidRPr="004E05F7">
        <w:rPr>
          <w:i/>
          <w:iCs/>
          <w:sz w:val="16"/>
          <w:szCs w:val="16"/>
        </w:rPr>
        <w:t>France and Netherlands vote against the Constitution</w:t>
      </w:r>
      <w:r w:rsidR="00980455" w:rsidRPr="004E05F7">
        <w:rPr>
          <w:sz w:val="16"/>
          <w:szCs w:val="16"/>
        </w:rPr>
        <w:t xml:space="preserve"> [online]. Disponível na internet: https://euobserver.com/96591/2005-france-and-netherlands-vote-against-the-constitution/. Consult. 2/02/2023</w:t>
      </w:r>
    </w:p>
  </w:footnote>
  <w:footnote w:id="65">
    <w:p w14:paraId="3D5C4F94" w14:textId="092DA0DD" w:rsidR="001A7126" w:rsidRPr="004E05F7" w:rsidRDefault="001A7126">
      <w:pPr>
        <w:pStyle w:val="Textodenotaderodap"/>
        <w:rPr>
          <w:sz w:val="16"/>
          <w:szCs w:val="16"/>
        </w:rPr>
      </w:pPr>
      <w:r w:rsidRPr="004E05F7">
        <w:rPr>
          <w:rStyle w:val="Refdenotaderodap"/>
          <w:sz w:val="16"/>
          <w:szCs w:val="16"/>
        </w:rPr>
        <w:footnoteRef/>
      </w:r>
      <w:r w:rsidRPr="004E05F7">
        <w:rPr>
          <w:sz w:val="16"/>
          <w:szCs w:val="16"/>
        </w:rPr>
        <w:t xml:space="preserve"> </w:t>
      </w:r>
      <w:r w:rsidR="00486163" w:rsidRPr="004E05F7">
        <w:rPr>
          <w:sz w:val="16"/>
          <w:szCs w:val="16"/>
        </w:rPr>
        <w:t xml:space="preserve">WÌNTOUR, Patrick. </w:t>
      </w:r>
      <w:r w:rsidR="00486163" w:rsidRPr="004E05F7">
        <w:rPr>
          <w:i/>
          <w:iCs/>
          <w:sz w:val="16"/>
          <w:szCs w:val="16"/>
        </w:rPr>
        <w:t>EU scraps timetable for ratifying constitution</w:t>
      </w:r>
      <w:r w:rsidR="00486163" w:rsidRPr="004E05F7">
        <w:rPr>
          <w:sz w:val="16"/>
          <w:szCs w:val="16"/>
        </w:rPr>
        <w:t xml:space="preserve"> [online]. The Guardian. Disponível em:  https://www.theguardian.com/politics/2005/jun/17/eu.politics. Consult. 15-07-2025</w:t>
      </w:r>
      <w:r w:rsidR="004E05F7">
        <w:rPr>
          <w:sz w:val="16"/>
          <w:szCs w:val="16"/>
        </w:rPr>
        <w:t>.</w:t>
      </w:r>
    </w:p>
  </w:footnote>
  <w:footnote w:id="66">
    <w:p w14:paraId="3FB7B930" w14:textId="260F9581" w:rsidR="006620BD" w:rsidRPr="004E05F7" w:rsidRDefault="006620BD">
      <w:pPr>
        <w:pStyle w:val="Textodenotaderodap"/>
        <w:rPr>
          <w:sz w:val="16"/>
          <w:szCs w:val="16"/>
        </w:rPr>
      </w:pPr>
      <w:r w:rsidRPr="004E05F7">
        <w:rPr>
          <w:rStyle w:val="Refdenotaderodap"/>
          <w:sz w:val="16"/>
          <w:szCs w:val="16"/>
        </w:rPr>
        <w:footnoteRef/>
      </w:r>
      <w:r w:rsidRPr="004E05F7">
        <w:rPr>
          <w:sz w:val="16"/>
          <w:szCs w:val="16"/>
        </w:rPr>
        <w:t xml:space="preserve"> JUDT, Tony. </w:t>
      </w:r>
      <w:r w:rsidRPr="004E05F7">
        <w:rPr>
          <w:i/>
          <w:iCs/>
          <w:sz w:val="16"/>
          <w:szCs w:val="16"/>
        </w:rPr>
        <w:t>Pós-Guerra – História da Europa desde 1945</w:t>
      </w:r>
      <w:r w:rsidR="0087772A" w:rsidRPr="004E05F7">
        <w:rPr>
          <w:sz w:val="16"/>
          <w:szCs w:val="16"/>
        </w:rPr>
        <w:t>.</w:t>
      </w:r>
      <w:r w:rsidRPr="004E05F7">
        <w:rPr>
          <w:sz w:val="16"/>
          <w:szCs w:val="16"/>
        </w:rPr>
        <w:t xml:space="preserve"> </w:t>
      </w:r>
      <w:r w:rsidR="0087772A" w:rsidRPr="004E05F7">
        <w:rPr>
          <w:sz w:val="16"/>
          <w:szCs w:val="16"/>
        </w:rPr>
        <w:t xml:space="preserve">Lisboa: </w:t>
      </w:r>
      <w:r w:rsidRPr="004E05F7">
        <w:rPr>
          <w:sz w:val="16"/>
          <w:szCs w:val="16"/>
        </w:rPr>
        <w:t>Edições 70,</w:t>
      </w:r>
      <w:r w:rsidR="0087772A" w:rsidRPr="004E05F7">
        <w:rPr>
          <w:sz w:val="16"/>
          <w:szCs w:val="16"/>
        </w:rPr>
        <w:t xml:space="preserve"> 2006</w:t>
      </w:r>
      <w:r w:rsidRPr="004E05F7">
        <w:rPr>
          <w:sz w:val="16"/>
          <w:szCs w:val="16"/>
        </w:rPr>
        <w:t>, p. 895.</w:t>
      </w:r>
      <w:r w:rsidR="0087772A" w:rsidRPr="004E05F7">
        <w:rPr>
          <w:sz w:val="16"/>
          <w:szCs w:val="16"/>
        </w:rPr>
        <w:t xml:space="preserve"> ISBN: 9789724413006</w:t>
      </w:r>
    </w:p>
  </w:footnote>
  <w:footnote w:id="67">
    <w:p w14:paraId="299CF987" w14:textId="799830F1" w:rsidR="00DA0DA2" w:rsidRPr="004E05F7" w:rsidRDefault="00DA0DA2">
      <w:pPr>
        <w:pStyle w:val="Textodenotaderodap"/>
        <w:rPr>
          <w:sz w:val="16"/>
          <w:szCs w:val="16"/>
        </w:rPr>
      </w:pPr>
      <w:r w:rsidRPr="004E05F7">
        <w:rPr>
          <w:rStyle w:val="Refdenotaderodap"/>
          <w:sz w:val="16"/>
          <w:szCs w:val="16"/>
        </w:rPr>
        <w:footnoteRef/>
      </w:r>
      <w:r w:rsidRPr="004E05F7">
        <w:rPr>
          <w:sz w:val="16"/>
          <w:szCs w:val="16"/>
        </w:rPr>
        <w:t xml:space="preserve"> CANOTILHO, J. J. Gomes. </w:t>
      </w:r>
      <w:r w:rsidRPr="004E05F7">
        <w:rPr>
          <w:i/>
          <w:iCs/>
          <w:sz w:val="16"/>
          <w:szCs w:val="16"/>
        </w:rPr>
        <w:t>Direito Constitucional e Teoria da Constituição</w:t>
      </w:r>
      <w:r w:rsidRPr="004E05F7">
        <w:rPr>
          <w:sz w:val="16"/>
          <w:szCs w:val="16"/>
        </w:rPr>
        <w:t>. 2.ª ed. Lisboa: Almedina, 1998, p. 46. ISBN: 972-40-1102-X.</w:t>
      </w:r>
    </w:p>
  </w:footnote>
  <w:footnote w:id="68">
    <w:p w14:paraId="5DB64FB2" w14:textId="1CA88CC8" w:rsidR="006837BC" w:rsidRDefault="006837BC" w:rsidP="006837BC">
      <w:pPr>
        <w:pStyle w:val="Textodenotaderodap"/>
      </w:pPr>
      <w:r w:rsidRPr="004E05F7">
        <w:rPr>
          <w:rStyle w:val="Refdenotaderodap"/>
          <w:sz w:val="16"/>
          <w:szCs w:val="16"/>
        </w:rPr>
        <w:footnoteRef/>
      </w:r>
      <w:r w:rsidR="003A0C73" w:rsidRPr="004E05F7">
        <w:rPr>
          <w:sz w:val="16"/>
          <w:szCs w:val="16"/>
        </w:rPr>
        <w:t xml:space="preserve">RANGEL, Paulo. </w:t>
      </w:r>
      <w:r w:rsidR="003A0C73" w:rsidRPr="004E05F7">
        <w:rPr>
          <w:i/>
          <w:iCs/>
          <w:sz w:val="16"/>
          <w:szCs w:val="16"/>
        </w:rPr>
        <w:t xml:space="preserve">Elementos da política constitucional: ciência política, teoria da constituição e direito constitucional. </w:t>
      </w:r>
      <w:r w:rsidR="003A0C73" w:rsidRPr="004E05F7">
        <w:rPr>
          <w:sz w:val="16"/>
          <w:szCs w:val="16"/>
        </w:rPr>
        <w:t>Coimbra: Almedina, 2023, pp. 247-248. ISBN: 978-989-40-1631-1</w:t>
      </w:r>
      <w:r w:rsidR="004E05F7">
        <w:rPr>
          <w:sz w:val="16"/>
          <w:szCs w:val="16"/>
        </w:rPr>
        <w:t>.</w:t>
      </w:r>
    </w:p>
  </w:footnote>
  <w:footnote w:id="69">
    <w:p w14:paraId="3F189728" w14:textId="3680E759" w:rsidR="00E65422" w:rsidRPr="004E05F7" w:rsidRDefault="00E65422" w:rsidP="00E65422">
      <w:pPr>
        <w:pStyle w:val="Textodenotaderodap"/>
        <w:rPr>
          <w:sz w:val="16"/>
          <w:szCs w:val="16"/>
        </w:rPr>
      </w:pPr>
      <w:r w:rsidRPr="004E05F7">
        <w:rPr>
          <w:rStyle w:val="Refdenotaderodap"/>
          <w:sz w:val="16"/>
          <w:szCs w:val="16"/>
        </w:rPr>
        <w:footnoteRef/>
      </w:r>
      <w:r w:rsidRPr="004E05F7">
        <w:rPr>
          <w:sz w:val="16"/>
          <w:szCs w:val="16"/>
        </w:rPr>
        <w:t xml:space="preserve"> </w:t>
      </w:r>
      <w:r w:rsidR="00A835B0" w:rsidRPr="004E05F7">
        <w:rPr>
          <w:sz w:val="16"/>
          <w:szCs w:val="16"/>
        </w:rPr>
        <w:t xml:space="preserve">MARTINS, N. F. M., &amp; NORONHA RODRIGUES, J. Sovereignty Showdown: The EU`s Constitutional Tug-of-War. </w:t>
      </w:r>
      <w:r w:rsidR="00A835B0" w:rsidRPr="004E05F7">
        <w:rPr>
          <w:i/>
          <w:iCs/>
          <w:sz w:val="16"/>
          <w:szCs w:val="16"/>
        </w:rPr>
        <w:t>Revista Jurídica Portucalense</w:t>
      </w:r>
      <w:r w:rsidR="00A835B0" w:rsidRPr="004E05F7">
        <w:rPr>
          <w:sz w:val="16"/>
          <w:szCs w:val="16"/>
        </w:rPr>
        <w:t>. 2024, n.º 36, pp. 28-29. Disponível em: https://doi.org/10.34625/issn.2183-2705(36)2024. ISSN-e: 2183-5705</w:t>
      </w:r>
      <w:r w:rsidR="004E05F7">
        <w:rPr>
          <w:sz w:val="16"/>
          <w:szCs w:val="16"/>
        </w:rPr>
        <w:t>.</w:t>
      </w:r>
    </w:p>
  </w:footnote>
  <w:footnote w:id="70">
    <w:p w14:paraId="3ED766AD" w14:textId="216A1F14" w:rsidR="005F0510" w:rsidRDefault="005F0510">
      <w:pPr>
        <w:pStyle w:val="Textodenotaderodap"/>
      </w:pPr>
      <w:r>
        <w:rPr>
          <w:rStyle w:val="Refdenotaderodap"/>
        </w:rPr>
        <w:footnoteRef/>
      </w:r>
      <w:r>
        <w:t xml:space="preserve"> </w:t>
      </w:r>
      <w:r w:rsidR="004B23B3" w:rsidRPr="004B23B3">
        <w:rPr>
          <w:sz w:val="16"/>
          <w:szCs w:val="16"/>
        </w:rPr>
        <w:t xml:space="preserve">BOTELHO, Catarina Santos. </w:t>
      </w:r>
      <w:r w:rsidR="004B23B3" w:rsidRPr="004B23B3">
        <w:rPr>
          <w:i/>
          <w:iCs/>
          <w:sz w:val="16"/>
          <w:szCs w:val="16"/>
        </w:rPr>
        <w:t xml:space="preserve">Aspirações Constitucionais e Força Normativa da Constituição – Requiem pelo «Conceito Ocidental de Constituição»? (Constitutional Aspirations and Normative Force of the Constitution - Requiem for the 'Western Concept of Constitution'?). </w:t>
      </w:r>
      <w:r w:rsidR="004B23B3" w:rsidRPr="004B23B3">
        <w:rPr>
          <w:sz w:val="16"/>
          <w:szCs w:val="16"/>
        </w:rPr>
        <w:t>SSRN. 2017. Disponível em: https://papers.ssrn.com/sol3/papers.cfm?abstract_id=2913580. Consult. 19-07-2025.</w:t>
      </w:r>
    </w:p>
  </w:footnote>
  <w:footnote w:id="71">
    <w:p w14:paraId="07E1E872" w14:textId="582CAD71" w:rsidR="002A0FE2" w:rsidRPr="004E05F7" w:rsidRDefault="002A0FE2">
      <w:pPr>
        <w:pStyle w:val="Textodenotaderodap"/>
        <w:rPr>
          <w:sz w:val="16"/>
          <w:szCs w:val="16"/>
        </w:rPr>
      </w:pPr>
      <w:r w:rsidRPr="004E05F7">
        <w:rPr>
          <w:rStyle w:val="Refdenotaderodap"/>
          <w:sz w:val="16"/>
          <w:szCs w:val="16"/>
        </w:rPr>
        <w:footnoteRef/>
      </w:r>
      <w:r w:rsidRPr="004E05F7">
        <w:rPr>
          <w:sz w:val="16"/>
          <w:szCs w:val="16"/>
        </w:rPr>
        <w:t xml:space="preserve"> Magalhães, M.D.M. </w:t>
      </w:r>
      <w:r w:rsidRPr="004E05F7">
        <w:rPr>
          <w:i/>
          <w:iCs/>
          <w:sz w:val="16"/>
          <w:szCs w:val="16"/>
        </w:rPr>
        <w:t xml:space="preserve">O direito das comunidades europeias: rumo a uma eventual constitucionalização? </w:t>
      </w:r>
      <w:r w:rsidRPr="004E05F7">
        <w:rPr>
          <w:sz w:val="16"/>
          <w:szCs w:val="16"/>
        </w:rPr>
        <w:t>(Tese de doutoramento)</w:t>
      </w:r>
      <w:r w:rsidR="008D7798" w:rsidRPr="004E05F7">
        <w:rPr>
          <w:sz w:val="16"/>
          <w:szCs w:val="16"/>
        </w:rPr>
        <w:t>.</w:t>
      </w:r>
      <w:r w:rsidRPr="004E05F7">
        <w:rPr>
          <w:sz w:val="16"/>
          <w:szCs w:val="16"/>
        </w:rPr>
        <w:t xml:space="preserve"> Universidade Portucalense, Portugal</w:t>
      </w:r>
      <w:r w:rsidR="008D7798" w:rsidRPr="004E05F7">
        <w:rPr>
          <w:sz w:val="16"/>
          <w:szCs w:val="16"/>
        </w:rPr>
        <w:t>, 2002, p. 343</w:t>
      </w:r>
      <w:r w:rsidRPr="004E05F7">
        <w:rPr>
          <w:sz w:val="16"/>
          <w:szCs w:val="16"/>
        </w:rPr>
        <w:t xml:space="preserve">. Disponível </w:t>
      </w:r>
      <w:r w:rsidR="007958DD" w:rsidRPr="004E05F7">
        <w:rPr>
          <w:sz w:val="16"/>
          <w:szCs w:val="16"/>
        </w:rPr>
        <w:t>em:</w:t>
      </w:r>
      <w:r w:rsidRPr="004E05F7">
        <w:rPr>
          <w:sz w:val="16"/>
          <w:szCs w:val="16"/>
        </w:rPr>
        <w:t xml:space="preserve"> </w:t>
      </w:r>
      <w:hyperlink r:id="rId17" w:history="1">
        <w:r w:rsidR="007958DD" w:rsidRPr="004E05F7">
          <w:rPr>
            <w:rStyle w:val="Hiperligao"/>
            <w:sz w:val="16"/>
            <w:szCs w:val="16"/>
          </w:rPr>
          <w:t>http://hdl.handle.net/11328/636</w:t>
        </w:r>
      </w:hyperlink>
      <w:r w:rsidRPr="004E05F7">
        <w:rPr>
          <w:sz w:val="16"/>
          <w:szCs w:val="16"/>
        </w:rPr>
        <w:t>.</w:t>
      </w:r>
      <w:r w:rsidR="007958DD" w:rsidRPr="004E05F7">
        <w:rPr>
          <w:sz w:val="16"/>
          <w:szCs w:val="16"/>
        </w:rPr>
        <w:t xml:space="preserve"> Consult. 19-07-2025. </w:t>
      </w:r>
    </w:p>
  </w:footnote>
  <w:footnote w:id="72">
    <w:p w14:paraId="0D68DE85" w14:textId="0D6E408C" w:rsidR="00805A62" w:rsidRDefault="00805A62" w:rsidP="00A90C4D">
      <w:pPr>
        <w:pStyle w:val="Textodenotaderodap"/>
      </w:pPr>
      <w:r w:rsidRPr="004E05F7">
        <w:rPr>
          <w:rStyle w:val="Refdenotaderodap"/>
          <w:sz w:val="16"/>
          <w:szCs w:val="16"/>
        </w:rPr>
        <w:footnoteRef/>
      </w:r>
      <w:r w:rsidRPr="004E05F7">
        <w:rPr>
          <w:sz w:val="16"/>
          <w:szCs w:val="16"/>
        </w:rPr>
        <w:t xml:space="preserve"> </w:t>
      </w:r>
      <w:r w:rsidR="00A90C4D" w:rsidRPr="004E05F7">
        <w:rPr>
          <w:sz w:val="16"/>
          <w:szCs w:val="16"/>
        </w:rPr>
        <w:t xml:space="preserve">DELPÉRÉE, Francis. </w:t>
      </w:r>
      <w:r w:rsidR="00A90C4D" w:rsidRPr="004E05F7">
        <w:rPr>
          <w:i/>
          <w:iCs/>
          <w:sz w:val="16"/>
          <w:szCs w:val="16"/>
        </w:rPr>
        <w:t>Le Fédéralisme en Europe</w:t>
      </w:r>
      <w:r w:rsidR="00A90C4D" w:rsidRPr="004E05F7">
        <w:rPr>
          <w:sz w:val="16"/>
          <w:szCs w:val="16"/>
        </w:rPr>
        <w:t>. Paris: Presses Universitaires de France. 1.ª Edição. 2000, p</w:t>
      </w:r>
      <w:r w:rsidR="00855237" w:rsidRPr="004E05F7">
        <w:rPr>
          <w:sz w:val="16"/>
          <w:szCs w:val="16"/>
        </w:rPr>
        <w:t>p</w:t>
      </w:r>
      <w:r w:rsidR="00A90C4D" w:rsidRPr="004E05F7">
        <w:rPr>
          <w:sz w:val="16"/>
          <w:szCs w:val="16"/>
        </w:rPr>
        <w:t>. 77-78. ISBN-10 : 2130506852.</w:t>
      </w:r>
    </w:p>
  </w:footnote>
  <w:footnote w:id="73">
    <w:p w14:paraId="2343BF09" w14:textId="49A9A4A4" w:rsidR="00405895" w:rsidRDefault="00405895">
      <w:pPr>
        <w:pStyle w:val="Textodenotaderodap"/>
      </w:pPr>
      <w:r w:rsidRPr="004E05F7">
        <w:rPr>
          <w:rStyle w:val="Refdenotaderodap"/>
          <w:sz w:val="16"/>
          <w:szCs w:val="16"/>
        </w:rPr>
        <w:footnoteRef/>
      </w:r>
      <w:r w:rsidRPr="004E05F7">
        <w:rPr>
          <w:sz w:val="16"/>
          <w:szCs w:val="16"/>
        </w:rPr>
        <w:t xml:space="preserve"> ALVES, Dora Resende; SILVA, Maria Manuela Magalhães. </w:t>
      </w:r>
      <w:r w:rsidRPr="004E05F7">
        <w:rPr>
          <w:i/>
          <w:iCs/>
          <w:sz w:val="16"/>
          <w:szCs w:val="16"/>
        </w:rPr>
        <w:t>Noções de Direito Constitucional e Ciência Política</w:t>
      </w:r>
      <w:r w:rsidRPr="004E05F7">
        <w:rPr>
          <w:sz w:val="16"/>
          <w:szCs w:val="16"/>
        </w:rPr>
        <w:t>. 3.ª Edição, 2016, pp. 60-61. ISBN: 978-989-8823-37-3.</w:t>
      </w:r>
    </w:p>
  </w:footnote>
  <w:footnote w:id="74">
    <w:p w14:paraId="52D0A61D" w14:textId="63EF48F4" w:rsidR="00691BEC" w:rsidRPr="004E05F7" w:rsidRDefault="00691BEC">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TRIBUNAL DE JUSTIÇA DAS COMUNIDADES EUROPEIAS</w:t>
      </w:r>
      <w:r w:rsidR="00486163" w:rsidRPr="004E05F7">
        <w:rPr>
          <w:sz w:val="16"/>
          <w:szCs w:val="16"/>
        </w:rPr>
        <w:t xml:space="preserve">. </w:t>
      </w:r>
      <w:r w:rsidR="00486163" w:rsidRPr="004E05F7">
        <w:rPr>
          <w:i/>
          <w:iCs/>
          <w:sz w:val="16"/>
          <w:szCs w:val="16"/>
        </w:rPr>
        <w:t>Acórdão Brasserie du Pêcheur SA contra Bundesrepublik Deutschland e The Queen contra Secretary of State for Transport, ex parte: Factortame Ltd e outros.</w:t>
      </w:r>
      <w:r w:rsidR="00486163" w:rsidRPr="004E05F7">
        <w:rPr>
          <w:sz w:val="16"/>
          <w:szCs w:val="16"/>
        </w:rPr>
        <w:t xml:space="preserve"> </w:t>
      </w:r>
      <w:r w:rsidR="008F6291" w:rsidRPr="004E05F7">
        <w:rPr>
          <w:sz w:val="16"/>
          <w:szCs w:val="16"/>
        </w:rPr>
        <w:t>Tribunal de Justiça das Comunidades Europeias</w:t>
      </w:r>
      <w:r w:rsidR="00486163" w:rsidRPr="004E05F7">
        <w:rPr>
          <w:sz w:val="16"/>
          <w:szCs w:val="16"/>
        </w:rPr>
        <w:t>. Disponível em: https://eur-lex.europa.eu/legal-content/PT/TXT/?uri=celex:61993CJ0046. Consult. 20-07-2025.</w:t>
      </w:r>
    </w:p>
  </w:footnote>
  <w:footnote w:id="75">
    <w:p w14:paraId="1006BCC2" w14:textId="431213E5" w:rsidR="00691BEC" w:rsidRDefault="00691BEC" w:rsidP="00691BEC">
      <w:pPr>
        <w:pStyle w:val="Textodenotaderodap"/>
      </w:pPr>
      <w:r w:rsidRPr="004E05F7">
        <w:rPr>
          <w:rStyle w:val="Refdenotaderodap"/>
          <w:sz w:val="16"/>
          <w:szCs w:val="16"/>
        </w:rPr>
        <w:footnoteRef/>
      </w:r>
      <w:r w:rsidRPr="004E05F7">
        <w:rPr>
          <w:sz w:val="16"/>
          <w:szCs w:val="16"/>
        </w:rPr>
        <w:t xml:space="preserve"> </w:t>
      </w:r>
      <w:r w:rsidR="003C1C62" w:rsidRPr="004E05F7">
        <w:rPr>
          <w:sz w:val="16"/>
          <w:szCs w:val="16"/>
        </w:rPr>
        <w:t xml:space="preserve">VILAÇA, José Luís da Cruz. </w:t>
      </w:r>
      <w:r w:rsidR="003C1C62" w:rsidRPr="004E05F7">
        <w:rPr>
          <w:i/>
          <w:iCs/>
          <w:sz w:val="16"/>
          <w:szCs w:val="16"/>
        </w:rPr>
        <w:t>EU law and integration: twenty years of judicial application of EU law.</w:t>
      </w:r>
      <w:r w:rsidR="003C1C62" w:rsidRPr="004E05F7">
        <w:rPr>
          <w:sz w:val="16"/>
          <w:szCs w:val="16"/>
        </w:rPr>
        <w:t xml:space="preserve"> Oxford [etc.]: Hart Publishing, cop, 2014, </w:t>
      </w:r>
      <w:r w:rsidR="006220DF" w:rsidRPr="004E05F7">
        <w:rPr>
          <w:sz w:val="16"/>
          <w:szCs w:val="16"/>
        </w:rPr>
        <w:t>pp. 45-46</w:t>
      </w:r>
      <w:r w:rsidR="003C1C62" w:rsidRPr="004E05F7">
        <w:rPr>
          <w:sz w:val="16"/>
          <w:szCs w:val="16"/>
        </w:rPr>
        <w:t>. ISBN: 978-1-84946-508-3.</w:t>
      </w:r>
    </w:p>
  </w:footnote>
  <w:footnote w:id="76">
    <w:p w14:paraId="49F268E9" w14:textId="288D8917" w:rsidR="00691BEC" w:rsidRDefault="00691BEC" w:rsidP="00691BEC">
      <w:pPr>
        <w:pStyle w:val="Textodenotaderodap"/>
      </w:pPr>
      <w:r w:rsidRPr="004E05F7">
        <w:rPr>
          <w:rStyle w:val="Refdenotaderodap"/>
          <w:sz w:val="16"/>
          <w:szCs w:val="16"/>
        </w:rPr>
        <w:footnoteRef/>
      </w:r>
      <w:r w:rsidRPr="004E05F7">
        <w:rPr>
          <w:sz w:val="16"/>
          <w:szCs w:val="16"/>
        </w:rPr>
        <w:t xml:space="preserve"> MACHADO, Jónatas E. M. </w:t>
      </w:r>
      <w:r w:rsidRPr="004E05F7">
        <w:rPr>
          <w:i/>
          <w:iCs/>
          <w:sz w:val="16"/>
          <w:szCs w:val="16"/>
        </w:rPr>
        <w:t>Direito da União Europeia</w:t>
      </w:r>
      <w:r w:rsidRPr="004E05F7">
        <w:rPr>
          <w:sz w:val="16"/>
          <w:szCs w:val="16"/>
        </w:rPr>
        <w:t>. Coimbra: Coimbra Editora, 2014</w:t>
      </w:r>
      <w:r w:rsidR="002408FB" w:rsidRPr="004E05F7">
        <w:rPr>
          <w:sz w:val="16"/>
          <w:szCs w:val="16"/>
        </w:rPr>
        <w:t>, pp. 61-64</w:t>
      </w:r>
      <w:r w:rsidR="00991AC5" w:rsidRPr="004E05F7">
        <w:rPr>
          <w:sz w:val="16"/>
          <w:szCs w:val="16"/>
        </w:rPr>
        <w:t>. ISBN: 9789899136038.</w:t>
      </w:r>
    </w:p>
  </w:footnote>
  <w:footnote w:id="77">
    <w:p w14:paraId="0E48F82A" w14:textId="03448323" w:rsidR="009F3FC0" w:rsidRDefault="009F3FC0">
      <w:pPr>
        <w:pStyle w:val="Textodenotaderodap"/>
      </w:pPr>
      <w:r>
        <w:rPr>
          <w:rStyle w:val="Refdenotaderodap"/>
        </w:rPr>
        <w:footnoteRef/>
      </w:r>
      <w:r>
        <w:t xml:space="preserve"> </w:t>
      </w:r>
      <w:r w:rsidR="008E52BB" w:rsidRPr="008E52BB">
        <w:rPr>
          <w:sz w:val="16"/>
          <w:szCs w:val="16"/>
        </w:rPr>
        <w:t xml:space="preserve">ALMEIDA, Lilian Barros de Oliveira Almeida (autora); BOTELHO, C., TERRINHA, L. H., COUTINHO, P. (eds.). </w:t>
      </w:r>
      <w:r w:rsidR="008E52BB" w:rsidRPr="005F697A">
        <w:rPr>
          <w:sz w:val="16"/>
          <w:szCs w:val="16"/>
        </w:rPr>
        <w:t>Constitutionalism beyond the State and the question of the limitation of power</w:t>
      </w:r>
      <w:r w:rsidR="008E52BB" w:rsidRPr="008E52BB">
        <w:rPr>
          <w:sz w:val="16"/>
          <w:szCs w:val="16"/>
        </w:rPr>
        <w:t xml:space="preserve">. In: </w:t>
      </w:r>
      <w:r w:rsidR="008E52BB" w:rsidRPr="005F697A">
        <w:rPr>
          <w:i/>
          <w:iCs/>
          <w:sz w:val="16"/>
          <w:szCs w:val="16"/>
        </w:rPr>
        <w:t>Constitutionalism in a Plural World</w:t>
      </w:r>
      <w:r w:rsidR="008E52BB" w:rsidRPr="008E52BB">
        <w:rPr>
          <w:sz w:val="16"/>
          <w:szCs w:val="16"/>
        </w:rPr>
        <w:t xml:space="preserve"> (online). Porto: Universidade Católica Editora, 2018, p. 56. Disponível em: https://repositorio.ucp.pt/entities/publication/f14ccaad-46c3-4e04-ae27-691f7242a02b. Consult. 18-07-2025. ISBN: 978-989-8835-49-9.</w:t>
      </w:r>
    </w:p>
  </w:footnote>
  <w:footnote w:id="78">
    <w:p w14:paraId="7AE578D8" w14:textId="0A38097E" w:rsidR="004B1746" w:rsidRPr="004E05F7" w:rsidRDefault="004B1746" w:rsidP="004B1746">
      <w:pPr>
        <w:pStyle w:val="Textodenotaderodap"/>
        <w:rPr>
          <w:sz w:val="16"/>
          <w:szCs w:val="16"/>
        </w:rPr>
      </w:pPr>
      <w:r w:rsidRPr="004E05F7">
        <w:rPr>
          <w:rStyle w:val="Refdenotaderodap"/>
          <w:sz w:val="16"/>
          <w:szCs w:val="16"/>
        </w:rPr>
        <w:footnoteRef/>
      </w:r>
      <w:r w:rsidRPr="004E05F7">
        <w:rPr>
          <w:sz w:val="16"/>
          <w:szCs w:val="16"/>
        </w:rPr>
        <w:t xml:space="preserve"> </w:t>
      </w:r>
      <w:r w:rsidR="000A4029" w:rsidRPr="004E05F7">
        <w:rPr>
          <w:sz w:val="16"/>
          <w:szCs w:val="16"/>
        </w:rPr>
        <w:t xml:space="preserve">PACHECO, Margarida Soares Oliveira da Costa. </w:t>
      </w:r>
      <w:r w:rsidR="000A4029" w:rsidRPr="004E05F7">
        <w:rPr>
          <w:i/>
          <w:iCs/>
          <w:sz w:val="16"/>
          <w:szCs w:val="16"/>
        </w:rPr>
        <w:t>Identidade Nacional e Identidade Europeia no pós-pandemia: uma análise cross-lagged</w:t>
      </w:r>
      <w:r w:rsidR="000A4029" w:rsidRPr="004E05F7">
        <w:rPr>
          <w:sz w:val="16"/>
          <w:szCs w:val="16"/>
        </w:rPr>
        <w:t xml:space="preserve"> [recurso eletrónico]. Tese de Mestrado, Universidade do Porto, Faculdade de Psicologia e de Ciências da Educação, Porto, 2022, p. 36. Disponível em: https://repositorio-aberto.up.pt/handle/10216/141677. Consult. 15-07-2025. Identificador TID: 203051530</w:t>
      </w:r>
      <w:r w:rsidR="004E05F7">
        <w:rPr>
          <w:sz w:val="16"/>
          <w:szCs w:val="16"/>
        </w:rPr>
        <w:t>.</w:t>
      </w:r>
    </w:p>
  </w:footnote>
  <w:footnote w:id="79">
    <w:p w14:paraId="6762752E" w14:textId="29D8FEB8" w:rsidR="00092C07" w:rsidRPr="00092C07" w:rsidRDefault="00092C07" w:rsidP="00092C07">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EUROCID (ABRIL DE 2022</w:t>
      </w:r>
      <w:r w:rsidRPr="004E05F7">
        <w:rPr>
          <w:sz w:val="16"/>
          <w:szCs w:val="16"/>
        </w:rPr>
        <w:t xml:space="preserve">). </w:t>
      </w:r>
      <w:r w:rsidRPr="004E05F7">
        <w:rPr>
          <w:i/>
          <w:iCs/>
          <w:sz w:val="16"/>
          <w:szCs w:val="16"/>
        </w:rPr>
        <w:t>Eurobarómetro - Cidadania Europeia (2021-2022) Opinião pública europeia Eurobarómetro n</w:t>
      </w:r>
      <w:r w:rsidR="0025493C" w:rsidRPr="004E05F7">
        <w:rPr>
          <w:i/>
          <w:iCs/>
          <w:sz w:val="16"/>
          <w:szCs w:val="16"/>
        </w:rPr>
        <w:t>.</w:t>
      </w:r>
      <w:r w:rsidRPr="004E05F7">
        <w:rPr>
          <w:i/>
          <w:iCs/>
          <w:sz w:val="16"/>
          <w:szCs w:val="16"/>
        </w:rPr>
        <w:t>º 96, de 18 de janeiro a 14 de fevereiro de 2022, publicado em abril de 2022.</w:t>
      </w:r>
      <w:r w:rsidRPr="004E05F7">
        <w:rPr>
          <w:sz w:val="16"/>
          <w:szCs w:val="16"/>
        </w:rPr>
        <w:t xml:space="preserve"> Centro de informação europeia Jacques Delors.</w:t>
      </w:r>
      <w:r w:rsidR="00B765A9" w:rsidRPr="004E05F7">
        <w:rPr>
          <w:sz w:val="16"/>
          <w:szCs w:val="16"/>
        </w:rPr>
        <w:t xml:space="preserve"> Disponível em:</w:t>
      </w:r>
      <w:r w:rsidRPr="004E05F7">
        <w:rPr>
          <w:sz w:val="16"/>
          <w:szCs w:val="16"/>
        </w:rPr>
        <w:t xml:space="preserve"> </w:t>
      </w:r>
      <w:hyperlink r:id="rId18" w:anchor=":~:text=Sentimento%20de%20Cidadania%20Europeia&amp;text=Atrav%C3%A9s%20da%20an%C3%A1lise%20nacional%20verificamos%20que%20os,s%C3%A3o%20Portugal%20(85%25)%2C%20Irlanda%20e%20Luxemburgo%20(84%25)" w:history="1">
        <w:r w:rsidRPr="004E05F7">
          <w:rPr>
            <w:rStyle w:val="Hiperligao"/>
            <w:sz w:val="16"/>
            <w:szCs w:val="16"/>
          </w:rPr>
          <w:t>https://eurocid.mne.gov.pt/artigos/eurobarometro-cidadania-europeia-2021-2022#:~:text=Sentimento%20de%20Cidadania%20Europeia&amp;text=Atrav%C3%A9s%20da%20an%C3%A1lise%20nacional%20verificamos%20que%20os,s%C3%A3o%20Portugal%20(85%25)%2C%20Irlanda%20e%20Luxemburgo%20(84%25)</w:t>
        </w:r>
      </w:hyperlink>
      <w:r w:rsidRPr="004E05F7">
        <w:rPr>
          <w:sz w:val="16"/>
          <w:szCs w:val="16"/>
        </w:rPr>
        <w:t xml:space="preserve">. </w:t>
      </w:r>
      <w:r w:rsidR="00A50DBF" w:rsidRPr="004E05F7">
        <w:rPr>
          <w:sz w:val="16"/>
          <w:szCs w:val="16"/>
        </w:rPr>
        <w:t>Consult.</w:t>
      </w:r>
      <w:r w:rsidRPr="004E05F7">
        <w:rPr>
          <w:sz w:val="16"/>
          <w:szCs w:val="16"/>
        </w:rPr>
        <w:t xml:space="preserve"> 23-07-2025.</w:t>
      </w:r>
    </w:p>
  </w:footnote>
  <w:footnote w:id="80">
    <w:p w14:paraId="097B1FF3" w14:textId="19FFB450" w:rsidR="00530FEC" w:rsidRDefault="00530FEC">
      <w:pPr>
        <w:pStyle w:val="Textodenotaderodap"/>
      </w:pPr>
      <w:r>
        <w:rPr>
          <w:rStyle w:val="Refdenotaderodap"/>
        </w:rPr>
        <w:footnoteRef/>
      </w:r>
      <w:r>
        <w:t xml:space="preserve"> </w:t>
      </w:r>
      <w:r w:rsidRPr="00530FEC">
        <w:rPr>
          <w:sz w:val="16"/>
          <w:szCs w:val="16"/>
        </w:rPr>
        <w:t xml:space="preserve">SILVEIRA, Alessandra; FROUFE, Pedro Madeira. O futuro (próximo) da União Europeia: Observações sobre o discurso “Estado da União”, 14 de setembro de 2022. </w:t>
      </w:r>
      <w:r w:rsidRPr="00530FEC">
        <w:rPr>
          <w:i/>
          <w:iCs/>
          <w:sz w:val="16"/>
          <w:szCs w:val="16"/>
        </w:rPr>
        <w:t>Officialblogunio</w:t>
      </w:r>
      <w:r w:rsidRPr="00530FEC">
        <w:rPr>
          <w:sz w:val="16"/>
          <w:szCs w:val="16"/>
        </w:rPr>
        <w:t>. Disponível em: https://officialblogofunio.com/2022/09/22/editorial-of-september-2022/. Consult. 24-07-2025.</w:t>
      </w:r>
    </w:p>
  </w:footnote>
  <w:footnote w:id="81">
    <w:p w14:paraId="447DCDF8" w14:textId="22D0D72E" w:rsidR="00092C07" w:rsidRPr="001E431D" w:rsidRDefault="00092C07" w:rsidP="000A4029">
      <w:pPr>
        <w:pStyle w:val="Textodenotaderodap"/>
      </w:pPr>
      <w:r w:rsidRPr="004E05F7">
        <w:rPr>
          <w:rStyle w:val="Refdenotaderodap"/>
          <w:sz w:val="16"/>
          <w:szCs w:val="16"/>
        </w:rPr>
        <w:footnoteRef/>
      </w:r>
      <w:r w:rsidRPr="004E05F7">
        <w:rPr>
          <w:sz w:val="16"/>
          <w:szCs w:val="16"/>
        </w:rPr>
        <w:t xml:space="preserve"> </w:t>
      </w:r>
      <w:r w:rsidR="000A4029" w:rsidRPr="004E05F7">
        <w:rPr>
          <w:sz w:val="16"/>
          <w:szCs w:val="16"/>
        </w:rPr>
        <w:t xml:space="preserve">FLIGSTEIN, Neil; POLYAKOVA, Alina; SANDHOLTZ, Wayne.  European Integration, Nationalism, and European Identity. </w:t>
      </w:r>
      <w:r w:rsidR="000A4029" w:rsidRPr="004E05F7">
        <w:rPr>
          <w:i/>
          <w:iCs/>
          <w:sz w:val="16"/>
          <w:szCs w:val="16"/>
        </w:rPr>
        <w:t>Journal of Common Market Studies</w:t>
      </w:r>
      <w:r w:rsidR="000A4029" w:rsidRPr="004E05F7">
        <w:rPr>
          <w:sz w:val="16"/>
          <w:szCs w:val="16"/>
        </w:rPr>
        <w:t xml:space="preserve"> [recurso eletrónico]. UC Berkeley Working Paper Series. 2011, pp. 9-10. Disponível em: https://onlinelibrary.wiley.com/toc/14685965/2012/50/s1. Consult. 03-08-2025. ISSN : 1468-5965</w:t>
      </w:r>
      <w:r w:rsidR="004E05F7">
        <w:rPr>
          <w:sz w:val="16"/>
          <w:szCs w:val="16"/>
        </w:rPr>
        <w:t>.</w:t>
      </w:r>
    </w:p>
  </w:footnote>
  <w:footnote w:id="82">
    <w:p w14:paraId="56A4F30B" w14:textId="666E57F2" w:rsidR="00002753" w:rsidRDefault="00002753" w:rsidP="00002753">
      <w:pPr>
        <w:pStyle w:val="Textodenotaderodap"/>
      </w:pPr>
      <w:r w:rsidRPr="004E05F7">
        <w:rPr>
          <w:rStyle w:val="Refdenotaderodap"/>
          <w:sz w:val="16"/>
          <w:szCs w:val="16"/>
        </w:rPr>
        <w:footnoteRef/>
      </w:r>
      <w:r w:rsidRPr="004E05F7">
        <w:rPr>
          <w:sz w:val="16"/>
          <w:szCs w:val="16"/>
        </w:rPr>
        <w:t xml:space="preserve"> </w:t>
      </w:r>
      <w:r w:rsidR="003A0C73" w:rsidRPr="004E05F7">
        <w:rPr>
          <w:sz w:val="16"/>
          <w:szCs w:val="16"/>
        </w:rPr>
        <w:t xml:space="preserve">LUCAS, Eugénio Pereira. </w:t>
      </w:r>
      <w:r w:rsidR="003A0C73" w:rsidRPr="004E05F7">
        <w:rPr>
          <w:i/>
          <w:iCs/>
          <w:sz w:val="16"/>
          <w:szCs w:val="16"/>
        </w:rPr>
        <w:t>Lições de direito da União Europeia</w:t>
      </w:r>
      <w:r w:rsidR="003A0C73" w:rsidRPr="004E05F7">
        <w:rPr>
          <w:sz w:val="16"/>
          <w:szCs w:val="16"/>
        </w:rPr>
        <w:t>. Lisboa: Quid Juris, 2021, pp. 126-127. ISBN: 978-972-724-846-9.</w:t>
      </w:r>
    </w:p>
  </w:footnote>
  <w:footnote w:id="83">
    <w:p w14:paraId="606EA57D" w14:textId="40DBC039" w:rsidR="00002753" w:rsidRPr="004E05F7" w:rsidRDefault="00002753" w:rsidP="00002753">
      <w:pPr>
        <w:pStyle w:val="Textodenotaderodap"/>
        <w:rPr>
          <w:sz w:val="16"/>
          <w:szCs w:val="16"/>
        </w:rPr>
      </w:pPr>
      <w:r w:rsidRPr="004E05F7">
        <w:rPr>
          <w:rStyle w:val="Refdenotaderodap"/>
          <w:sz w:val="16"/>
          <w:szCs w:val="16"/>
        </w:rPr>
        <w:footnoteRef/>
      </w:r>
      <w:r w:rsidRPr="004E05F7">
        <w:rPr>
          <w:sz w:val="16"/>
          <w:szCs w:val="16"/>
        </w:rPr>
        <w:t xml:space="preserve"> </w:t>
      </w:r>
      <w:r w:rsidR="003A0C73" w:rsidRPr="004E05F7">
        <w:rPr>
          <w:sz w:val="16"/>
          <w:szCs w:val="16"/>
        </w:rPr>
        <w:t xml:space="preserve">RANGEL, Paulo. </w:t>
      </w:r>
      <w:r w:rsidR="003A0C73" w:rsidRPr="004E05F7">
        <w:rPr>
          <w:i/>
          <w:iCs/>
          <w:sz w:val="16"/>
          <w:szCs w:val="16"/>
        </w:rPr>
        <w:t xml:space="preserve">Elementos da política constitucional: ciência política, teoria da constituição e direito constitucional. </w:t>
      </w:r>
      <w:r w:rsidR="003A0C73" w:rsidRPr="004E05F7">
        <w:rPr>
          <w:sz w:val="16"/>
          <w:szCs w:val="16"/>
        </w:rPr>
        <w:t>Coimbra: Almedina, 2023, pp. 244-246. ISBN: 978-989-40-1631-1</w:t>
      </w:r>
      <w:r w:rsidR="004E05F7">
        <w:rPr>
          <w:sz w:val="16"/>
          <w:szCs w:val="16"/>
        </w:rPr>
        <w:t>.</w:t>
      </w:r>
    </w:p>
  </w:footnote>
  <w:footnote w:id="84">
    <w:p w14:paraId="2C68A80C" w14:textId="05DB6241" w:rsidR="001E431D" w:rsidRPr="004E05F7" w:rsidRDefault="001E431D">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 xml:space="preserve">RTP NOTÍCIAS </w:t>
      </w:r>
      <w:r w:rsidRPr="004E05F7">
        <w:rPr>
          <w:sz w:val="16"/>
          <w:szCs w:val="16"/>
        </w:rPr>
        <w:t xml:space="preserve">(2020-11-16). </w:t>
      </w:r>
      <w:r w:rsidRPr="004E05F7">
        <w:rPr>
          <w:i/>
          <w:iCs/>
          <w:sz w:val="16"/>
          <w:szCs w:val="16"/>
        </w:rPr>
        <w:t>Hungria e Polónia bloqueiam aprovação de orçamento plurianual da União Europeia.</w:t>
      </w:r>
      <w:r w:rsidRPr="004E05F7">
        <w:rPr>
          <w:sz w:val="16"/>
          <w:szCs w:val="16"/>
        </w:rPr>
        <w:t xml:space="preserve"> RTP Notícias.</w:t>
      </w:r>
      <w:r w:rsidR="00B765A9" w:rsidRPr="004E05F7">
        <w:rPr>
          <w:sz w:val="16"/>
          <w:szCs w:val="16"/>
        </w:rPr>
        <w:t xml:space="preserve"> Disponível em:</w:t>
      </w:r>
      <w:r w:rsidRPr="004E05F7">
        <w:rPr>
          <w:sz w:val="16"/>
          <w:szCs w:val="16"/>
        </w:rPr>
        <w:t xml:space="preserve"> </w:t>
      </w:r>
      <w:hyperlink r:id="rId19" w:history="1">
        <w:r w:rsidRPr="004E05F7">
          <w:rPr>
            <w:rStyle w:val="Hiperligao"/>
            <w:sz w:val="16"/>
            <w:szCs w:val="16"/>
          </w:rPr>
          <w:t>https://www.rtp.pt/noticias/rtpeuropa/hungria-e-polonia-bloqueiam-aprovacao-de-orcamento-plurianual-da-uniao-europeia_n1275803</w:t>
        </w:r>
      </w:hyperlink>
      <w:r w:rsidRPr="004E05F7">
        <w:rPr>
          <w:sz w:val="16"/>
          <w:szCs w:val="16"/>
        </w:rPr>
        <w:t xml:space="preserve">. </w:t>
      </w:r>
      <w:r w:rsidR="00A50DBF" w:rsidRPr="004E05F7">
        <w:rPr>
          <w:sz w:val="16"/>
          <w:szCs w:val="16"/>
        </w:rPr>
        <w:t>Consult.</w:t>
      </w:r>
      <w:r w:rsidRPr="004E05F7">
        <w:rPr>
          <w:sz w:val="16"/>
          <w:szCs w:val="16"/>
        </w:rPr>
        <w:t xml:space="preserve"> 05-08-2025.</w:t>
      </w:r>
    </w:p>
  </w:footnote>
  <w:footnote w:id="85">
    <w:p w14:paraId="63EC76F3" w14:textId="77B96A74" w:rsidR="001E431D" w:rsidRPr="00003C12" w:rsidRDefault="001E431D">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 xml:space="preserve">JORNAL DE NEGÓCIOS </w:t>
      </w:r>
      <w:r w:rsidR="00003C12" w:rsidRPr="004E05F7">
        <w:rPr>
          <w:sz w:val="16"/>
          <w:szCs w:val="16"/>
        </w:rPr>
        <w:t xml:space="preserve">(2022-04-05). </w:t>
      </w:r>
      <w:r w:rsidR="00003C12" w:rsidRPr="004E05F7">
        <w:rPr>
          <w:i/>
          <w:iCs/>
          <w:sz w:val="16"/>
          <w:szCs w:val="16"/>
        </w:rPr>
        <w:t>Veto da Polónia adia IRC mínimo de 15% na União Europeia.</w:t>
      </w:r>
      <w:r w:rsidR="00003C12" w:rsidRPr="004E05F7">
        <w:rPr>
          <w:sz w:val="16"/>
          <w:szCs w:val="16"/>
        </w:rPr>
        <w:t xml:space="preserve"> Jornal de Negócios. </w:t>
      </w:r>
      <w:r w:rsidR="00C21633" w:rsidRPr="004E05F7">
        <w:rPr>
          <w:sz w:val="16"/>
          <w:szCs w:val="16"/>
        </w:rPr>
        <w:t xml:space="preserve">Disponível em: </w:t>
      </w:r>
      <w:r w:rsidR="00003C12" w:rsidRPr="004E05F7">
        <w:rPr>
          <w:sz w:val="16"/>
          <w:szCs w:val="16"/>
        </w:rPr>
        <w:t xml:space="preserve">https://www.jornaldenegocios.pt/economia/europa/uniao-europeia/detalhe/veto-da-polonia-adia-irc-minimo-de-15-na-uniao-europeia. </w:t>
      </w:r>
      <w:r w:rsidR="00A50DBF" w:rsidRPr="004E05F7">
        <w:rPr>
          <w:sz w:val="16"/>
          <w:szCs w:val="16"/>
        </w:rPr>
        <w:t>Consult.</w:t>
      </w:r>
      <w:r w:rsidR="00003C12" w:rsidRPr="004E05F7">
        <w:rPr>
          <w:sz w:val="16"/>
          <w:szCs w:val="16"/>
        </w:rPr>
        <w:t xml:space="preserve"> 09-08-2025.</w:t>
      </w:r>
    </w:p>
  </w:footnote>
  <w:footnote w:id="86">
    <w:p w14:paraId="260F3866" w14:textId="6F18F1A6" w:rsidR="00003C12" w:rsidRPr="00003C12" w:rsidRDefault="00003C12">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 xml:space="preserve">EURONEWS </w:t>
      </w:r>
      <w:r w:rsidRPr="004E05F7">
        <w:rPr>
          <w:sz w:val="16"/>
          <w:szCs w:val="16"/>
        </w:rPr>
        <w:t xml:space="preserve">(2024-05-27). </w:t>
      </w:r>
      <w:r w:rsidRPr="004E05F7">
        <w:rPr>
          <w:i/>
          <w:iCs/>
          <w:sz w:val="16"/>
          <w:szCs w:val="16"/>
        </w:rPr>
        <w:t>"Já foi longe demais". Países da UE mostram-se descontentes com vetos da Hungria à ajuda à Ucrânia.</w:t>
      </w:r>
      <w:r w:rsidRPr="004E05F7">
        <w:rPr>
          <w:sz w:val="16"/>
          <w:szCs w:val="16"/>
        </w:rPr>
        <w:t xml:space="preserve"> EuroNews.</w:t>
      </w:r>
      <w:r w:rsidR="00C21633" w:rsidRPr="004E05F7">
        <w:rPr>
          <w:sz w:val="16"/>
          <w:szCs w:val="16"/>
        </w:rPr>
        <w:t xml:space="preserve"> Disponível em:</w:t>
      </w:r>
      <w:r w:rsidRPr="004E05F7">
        <w:rPr>
          <w:sz w:val="16"/>
          <w:szCs w:val="16"/>
        </w:rPr>
        <w:t xml:space="preserve"> </w:t>
      </w:r>
      <w:hyperlink r:id="rId20" w:history="1">
        <w:r w:rsidRPr="004E05F7">
          <w:rPr>
            <w:rStyle w:val="Hiperligao"/>
            <w:sz w:val="16"/>
            <w:szCs w:val="16"/>
          </w:rPr>
          <w:t>https://pt.euronews.com/my-europe/2024/05/27/ja-foi-longe-demais-paises-da-ue-mostram-se-descontentes-com-vetos-da-hungria-a-ajuda-a-uc</w:t>
        </w:r>
      </w:hyperlink>
      <w:r w:rsidRPr="004E05F7">
        <w:rPr>
          <w:sz w:val="16"/>
          <w:szCs w:val="16"/>
        </w:rPr>
        <w:t xml:space="preserve">. </w:t>
      </w:r>
      <w:r w:rsidR="00A50DBF" w:rsidRPr="004E05F7">
        <w:rPr>
          <w:sz w:val="16"/>
          <w:szCs w:val="16"/>
        </w:rPr>
        <w:t>Consult.</w:t>
      </w:r>
      <w:r w:rsidRPr="004E05F7">
        <w:rPr>
          <w:sz w:val="16"/>
          <w:szCs w:val="16"/>
        </w:rPr>
        <w:t xml:space="preserve"> 10-08-2025.</w:t>
      </w:r>
    </w:p>
  </w:footnote>
  <w:footnote w:id="87">
    <w:p w14:paraId="2E6AD9F8" w14:textId="41814414" w:rsidR="00FE042D" w:rsidRPr="004E05F7" w:rsidRDefault="00003C12" w:rsidP="00FE042D">
      <w:pPr>
        <w:pStyle w:val="Textodenotaderodap"/>
        <w:rPr>
          <w:sz w:val="16"/>
          <w:szCs w:val="16"/>
        </w:rPr>
      </w:pPr>
      <w:r w:rsidRPr="004E05F7">
        <w:rPr>
          <w:rStyle w:val="Refdenotaderodap"/>
          <w:sz w:val="16"/>
          <w:szCs w:val="16"/>
        </w:rPr>
        <w:footnoteRef/>
      </w:r>
      <w:r w:rsidRPr="004E05F7">
        <w:rPr>
          <w:sz w:val="16"/>
          <w:szCs w:val="16"/>
        </w:rPr>
        <w:t xml:space="preserve"> </w:t>
      </w:r>
      <w:r w:rsidR="00B765A9" w:rsidRPr="004E05F7">
        <w:rPr>
          <w:sz w:val="16"/>
          <w:szCs w:val="16"/>
        </w:rPr>
        <w:t xml:space="preserve">ANICETO, Carlota; OLIVEIRA, João; SINTRA, Lara; SEABRA, Maria; REI, Raquel. </w:t>
      </w:r>
      <w:r w:rsidR="00B765A9" w:rsidRPr="004E05F7">
        <w:rPr>
          <w:i/>
          <w:iCs/>
          <w:sz w:val="16"/>
          <w:szCs w:val="16"/>
        </w:rPr>
        <w:t>O VOTO POR MAIORIA QUALIFICADA NO ÂMBITO DA PESC: ALGUMAS CONSIDERAÇÕES</w:t>
      </w:r>
      <w:r w:rsidR="00B765A9" w:rsidRPr="004E05F7">
        <w:rPr>
          <w:sz w:val="16"/>
          <w:szCs w:val="16"/>
        </w:rPr>
        <w:t>. Lisboa: EuroDefense Portugal, 2024, p. 7. Disponível em: https://eurodefense.pt/wp-content/uploads/2024/04/O-Voto-por-Maioria-Qualificada-no-Ambito-da-PESC.pdf. Consult. 11-08-2025.</w:t>
      </w:r>
    </w:p>
    <w:p w14:paraId="7AF41954" w14:textId="5438D842" w:rsidR="00003C12" w:rsidRDefault="00003C12" w:rsidP="00003C12">
      <w:pPr>
        <w:pStyle w:val="Textodenotaderodap"/>
      </w:pPr>
    </w:p>
  </w:footnote>
  <w:footnote w:id="88">
    <w:p w14:paraId="21D8372F" w14:textId="070A2F91" w:rsidR="00FE042D" w:rsidRPr="00FE042D" w:rsidRDefault="00FE042D">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 xml:space="preserve">PARLAMENTO EUROPEU </w:t>
      </w:r>
      <w:r w:rsidRPr="004E05F7">
        <w:rPr>
          <w:sz w:val="16"/>
          <w:szCs w:val="16"/>
        </w:rPr>
        <w:t xml:space="preserve">(2025-12-17). </w:t>
      </w:r>
      <w:r w:rsidRPr="004E05F7">
        <w:rPr>
          <w:i/>
          <w:iCs/>
          <w:sz w:val="16"/>
          <w:szCs w:val="16"/>
        </w:rPr>
        <w:t>Defesa: como a UE está a reforçar a sua segurança: Cada Estado-Membro da UE é responsável pela própria defesa, mas as tensões geopolíticas recentes motivaram uma melhor cooperação militar entre países.</w:t>
      </w:r>
      <w:r w:rsidRPr="004E05F7">
        <w:rPr>
          <w:sz w:val="16"/>
          <w:szCs w:val="16"/>
        </w:rPr>
        <w:t xml:space="preserve"> Parlamento Europeu. </w:t>
      </w:r>
      <w:r w:rsidR="00C21633" w:rsidRPr="004E05F7">
        <w:rPr>
          <w:sz w:val="16"/>
          <w:szCs w:val="16"/>
        </w:rPr>
        <w:t xml:space="preserve">Disponível em: </w:t>
      </w:r>
      <w:r w:rsidRPr="004E05F7">
        <w:rPr>
          <w:sz w:val="16"/>
          <w:szCs w:val="16"/>
        </w:rPr>
        <w:t xml:space="preserve">https://www.europarl.europa.eu/topics/pt/article/20190612STO54310/defesa-como-a-ue-esta-a-reforcar-a-sua-seguranca. </w:t>
      </w:r>
      <w:r w:rsidR="00A50DBF" w:rsidRPr="004E05F7">
        <w:rPr>
          <w:sz w:val="16"/>
          <w:szCs w:val="16"/>
        </w:rPr>
        <w:t>Consult.</w:t>
      </w:r>
      <w:r w:rsidRPr="004E05F7">
        <w:rPr>
          <w:sz w:val="16"/>
          <w:szCs w:val="16"/>
        </w:rPr>
        <w:t xml:space="preserve"> 11-08-2025.</w:t>
      </w:r>
    </w:p>
  </w:footnote>
  <w:footnote w:id="89">
    <w:p w14:paraId="52D39D68" w14:textId="2EA631D5" w:rsidR="00FE042D" w:rsidRPr="004E05F7" w:rsidRDefault="00FE042D">
      <w:pPr>
        <w:pStyle w:val="Textodenotaderodap"/>
        <w:rPr>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UNIÃO EUROPEIA</w:t>
      </w:r>
      <w:r w:rsidRPr="004E05F7">
        <w:rPr>
          <w:sz w:val="16"/>
          <w:szCs w:val="16"/>
        </w:rPr>
        <w:t xml:space="preserve">. </w:t>
      </w:r>
      <w:r w:rsidRPr="004E05F7">
        <w:rPr>
          <w:i/>
          <w:iCs/>
          <w:sz w:val="16"/>
          <w:szCs w:val="16"/>
        </w:rPr>
        <w:t>Factos e números sobre a União Europeia.</w:t>
      </w:r>
      <w:r w:rsidRPr="004E05F7">
        <w:rPr>
          <w:sz w:val="16"/>
          <w:szCs w:val="16"/>
        </w:rPr>
        <w:t xml:space="preserve"> União Europeia.</w:t>
      </w:r>
      <w:r w:rsidR="00C21633" w:rsidRPr="004E05F7">
        <w:rPr>
          <w:sz w:val="16"/>
          <w:szCs w:val="16"/>
        </w:rPr>
        <w:t xml:space="preserve"> Disponível em:</w:t>
      </w:r>
      <w:r w:rsidRPr="004E05F7">
        <w:rPr>
          <w:sz w:val="16"/>
          <w:szCs w:val="16"/>
        </w:rPr>
        <w:t xml:space="preserve"> </w:t>
      </w:r>
      <w:hyperlink r:id="rId21" w:anchor=":~:text=PIB:%20sendo%20uma%20das%20maiores,quase%20toda%20a%20percentagem%20restante" w:history="1">
        <w:r w:rsidRPr="004E05F7">
          <w:rPr>
            <w:rStyle w:val="Hiperligao"/>
            <w:sz w:val="16"/>
            <w:szCs w:val="16"/>
          </w:rPr>
          <w:t>https://european-union.europa.eu/principles-countries-history/facts-and-figures-european-union_pt#:~:text=PIB:%20sendo%20uma%20das%20maiores,quase%20toda%20a%20percentagem%20restante</w:t>
        </w:r>
      </w:hyperlink>
      <w:r w:rsidRPr="004E05F7">
        <w:rPr>
          <w:sz w:val="16"/>
          <w:szCs w:val="16"/>
        </w:rPr>
        <w:t xml:space="preserve">. </w:t>
      </w:r>
      <w:r w:rsidR="00A50DBF" w:rsidRPr="004E05F7">
        <w:rPr>
          <w:sz w:val="16"/>
          <w:szCs w:val="16"/>
        </w:rPr>
        <w:t>Consult.</w:t>
      </w:r>
      <w:r w:rsidRPr="004E05F7">
        <w:rPr>
          <w:sz w:val="16"/>
          <w:szCs w:val="16"/>
        </w:rPr>
        <w:t xml:space="preserve"> 15-08-2025.</w:t>
      </w:r>
    </w:p>
  </w:footnote>
  <w:footnote w:id="90">
    <w:p w14:paraId="3EC8AF7F" w14:textId="01EF9821" w:rsidR="0047551A" w:rsidRPr="004E05F7" w:rsidRDefault="0047551A" w:rsidP="0047551A">
      <w:pPr>
        <w:pStyle w:val="Textodenotaderodap"/>
        <w:rPr>
          <w:i/>
          <w:iCs/>
          <w:sz w:val="16"/>
          <w:szCs w:val="16"/>
        </w:rPr>
      </w:pPr>
      <w:r w:rsidRPr="004E05F7">
        <w:rPr>
          <w:rStyle w:val="Refdenotaderodap"/>
          <w:sz w:val="16"/>
          <w:szCs w:val="16"/>
        </w:rPr>
        <w:footnoteRef/>
      </w:r>
      <w:r w:rsidRPr="004E05F7">
        <w:rPr>
          <w:sz w:val="16"/>
          <w:szCs w:val="16"/>
        </w:rPr>
        <w:t xml:space="preserve"> </w:t>
      </w:r>
      <w:r w:rsidR="00D25262" w:rsidRPr="004E05F7">
        <w:rPr>
          <w:sz w:val="16"/>
          <w:szCs w:val="16"/>
        </w:rPr>
        <w:t xml:space="preserve">CONSELHO DA UNIÃO EUROPEIA </w:t>
      </w:r>
      <w:r w:rsidRPr="004E05F7">
        <w:rPr>
          <w:sz w:val="16"/>
          <w:szCs w:val="16"/>
        </w:rPr>
        <w:t>(2024 – 01</w:t>
      </w:r>
      <w:r w:rsidR="00A50DBF" w:rsidRPr="004E05F7">
        <w:rPr>
          <w:sz w:val="16"/>
          <w:szCs w:val="16"/>
        </w:rPr>
        <w:t xml:space="preserve"> </w:t>
      </w:r>
      <w:r w:rsidRPr="004E05F7">
        <w:rPr>
          <w:sz w:val="16"/>
          <w:szCs w:val="16"/>
        </w:rPr>
        <w:t xml:space="preserve">- 30). </w:t>
      </w:r>
      <w:r w:rsidRPr="004E05F7">
        <w:rPr>
          <w:i/>
          <w:iCs/>
          <w:sz w:val="16"/>
          <w:szCs w:val="16"/>
        </w:rPr>
        <w:t>A resposta da UE à pandemia de COVID-19</w:t>
      </w:r>
    </w:p>
    <w:p w14:paraId="639F197A" w14:textId="028825C3" w:rsidR="0047551A" w:rsidRPr="0047551A" w:rsidRDefault="0047551A" w:rsidP="0047551A">
      <w:pPr>
        <w:pStyle w:val="Textodenotaderodap"/>
      </w:pPr>
      <w:r w:rsidRPr="004E05F7">
        <w:rPr>
          <w:i/>
          <w:iCs/>
          <w:sz w:val="16"/>
          <w:szCs w:val="16"/>
        </w:rPr>
        <w:t>Uma panorâmica das principais medidas tomadas a nível da UE para coordenar a resposta ao surto de COVID-19, atenuar o impacto socioeconómico da pandemia e apoiar a recuperação dos países da UE.</w:t>
      </w:r>
      <w:r w:rsidRPr="004E05F7">
        <w:rPr>
          <w:sz w:val="16"/>
          <w:szCs w:val="16"/>
        </w:rPr>
        <w:t xml:space="preserve"> Conselho da União Europeia. </w:t>
      </w:r>
      <w:r w:rsidR="00C21633" w:rsidRPr="004E05F7">
        <w:rPr>
          <w:sz w:val="16"/>
          <w:szCs w:val="16"/>
        </w:rPr>
        <w:t xml:space="preserve">Disponível em: </w:t>
      </w:r>
      <w:r w:rsidRPr="004E05F7">
        <w:rPr>
          <w:sz w:val="16"/>
          <w:szCs w:val="16"/>
        </w:rPr>
        <w:t>https://www.consilium.europa.eu/pt/policies/coronavirus-pandemic/</w:t>
      </w:r>
      <w:r w:rsidR="00A50DBF" w:rsidRPr="004E05F7">
        <w:rPr>
          <w:sz w:val="16"/>
          <w:szCs w:val="16"/>
        </w:rPr>
        <w:t xml:space="preserve">. Consult. </w:t>
      </w:r>
      <w:r w:rsidRPr="004E05F7">
        <w:rPr>
          <w:sz w:val="16"/>
          <w:szCs w:val="16"/>
        </w:rPr>
        <w:t>02-09-2025.</w:t>
      </w:r>
    </w:p>
  </w:footnote>
  <w:footnote w:id="91">
    <w:p w14:paraId="1F0A561F" w14:textId="61DCF310" w:rsidR="0047551A" w:rsidRPr="004E05F7" w:rsidRDefault="0047551A">
      <w:pPr>
        <w:pStyle w:val="Textodenotaderodap"/>
        <w:rPr>
          <w:sz w:val="16"/>
          <w:szCs w:val="16"/>
        </w:rPr>
      </w:pPr>
      <w:r w:rsidRPr="004E05F7">
        <w:rPr>
          <w:rStyle w:val="Refdenotaderodap"/>
          <w:sz w:val="16"/>
          <w:szCs w:val="16"/>
        </w:rPr>
        <w:footnoteRef/>
      </w:r>
      <w:r w:rsidR="00C21633" w:rsidRPr="004E05F7">
        <w:rPr>
          <w:sz w:val="16"/>
          <w:szCs w:val="16"/>
        </w:rPr>
        <w:t xml:space="preserve"> </w:t>
      </w:r>
      <w:r w:rsidR="00D25262" w:rsidRPr="004E05F7">
        <w:rPr>
          <w:sz w:val="16"/>
          <w:szCs w:val="16"/>
        </w:rPr>
        <w:t>UNIÃO EUROPEIA</w:t>
      </w:r>
      <w:r w:rsidRPr="004E05F7">
        <w:rPr>
          <w:sz w:val="16"/>
          <w:szCs w:val="16"/>
        </w:rPr>
        <w:t xml:space="preserve">. </w:t>
      </w:r>
      <w:r w:rsidRPr="004E05F7">
        <w:rPr>
          <w:i/>
          <w:iCs/>
          <w:sz w:val="16"/>
          <w:szCs w:val="16"/>
        </w:rPr>
        <w:t>Saúde pública</w:t>
      </w:r>
      <w:r w:rsidRPr="004E05F7">
        <w:rPr>
          <w:sz w:val="16"/>
          <w:szCs w:val="16"/>
        </w:rPr>
        <w:t xml:space="preserve">. União Europeia. </w:t>
      </w:r>
      <w:r w:rsidR="00C21633" w:rsidRPr="004E05F7">
        <w:rPr>
          <w:sz w:val="16"/>
          <w:szCs w:val="16"/>
        </w:rPr>
        <w:t xml:space="preserve">Disponível em: </w:t>
      </w:r>
      <w:r w:rsidRPr="004E05F7">
        <w:rPr>
          <w:sz w:val="16"/>
          <w:szCs w:val="16"/>
        </w:rPr>
        <w:t xml:space="preserve">https://eur-lex.europa.eu/PT/legal-content/glossary/public-health.html. </w:t>
      </w:r>
      <w:r w:rsidR="00A50DBF" w:rsidRPr="004E05F7">
        <w:rPr>
          <w:sz w:val="16"/>
          <w:szCs w:val="16"/>
        </w:rPr>
        <w:t>Consult.</w:t>
      </w:r>
      <w:r w:rsidRPr="004E05F7">
        <w:rPr>
          <w:sz w:val="16"/>
          <w:szCs w:val="16"/>
        </w:rPr>
        <w:t xml:space="preserve"> 05-09-2025.</w:t>
      </w:r>
    </w:p>
  </w:footnote>
  <w:footnote w:id="92">
    <w:p w14:paraId="01E64322" w14:textId="4C502DB9" w:rsidR="0047551A" w:rsidRPr="0047551A" w:rsidRDefault="0047551A">
      <w:pPr>
        <w:pStyle w:val="Textodenotaderodap"/>
      </w:pPr>
      <w:r w:rsidRPr="004E05F7">
        <w:rPr>
          <w:rStyle w:val="Refdenotaderodap"/>
          <w:sz w:val="16"/>
          <w:szCs w:val="16"/>
        </w:rPr>
        <w:footnoteRef/>
      </w:r>
      <w:r w:rsidRPr="004E05F7">
        <w:rPr>
          <w:sz w:val="16"/>
          <w:szCs w:val="16"/>
        </w:rPr>
        <w:t xml:space="preserve"> </w:t>
      </w:r>
      <w:r w:rsidR="00C21633" w:rsidRPr="004E05F7">
        <w:rPr>
          <w:sz w:val="16"/>
          <w:szCs w:val="16"/>
        </w:rPr>
        <w:t xml:space="preserve">ERWIN, Paul C.; MUCHECK, Kenneth W.; BROWNSON Ross C.; Different Responses to COVID-19 in Four US States: Washington, New York, Missouri, and Alabama. </w:t>
      </w:r>
      <w:r w:rsidR="00C21633" w:rsidRPr="004E05F7">
        <w:rPr>
          <w:i/>
          <w:iCs/>
          <w:sz w:val="16"/>
          <w:szCs w:val="16"/>
        </w:rPr>
        <w:t>American Journal of Public Health 111</w:t>
      </w:r>
      <w:r w:rsidR="00C21633" w:rsidRPr="004E05F7">
        <w:rPr>
          <w:sz w:val="16"/>
          <w:szCs w:val="16"/>
        </w:rPr>
        <w:t>. 2021, N.º 4, pp. 647-650. Disponível em: https://pmc.ncbi.nlm.nih.gov/articles/PMC7958009/. Consult. 04-08-2025. PMID: 33507807.</w:t>
      </w:r>
    </w:p>
  </w:footnote>
  <w:footnote w:id="93">
    <w:p w14:paraId="64FB2858" w14:textId="07FE23CF" w:rsidR="0047551A" w:rsidRPr="004E05F7" w:rsidRDefault="0047551A" w:rsidP="004A7551">
      <w:pPr>
        <w:pStyle w:val="Textodenotaderodap"/>
        <w:rPr>
          <w:sz w:val="16"/>
          <w:szCs w:val="16"/>
        </w:rPr>
      </w:pPr>
      <w:r w:rsidRPr="004E05F7">
        <w:rPr>
          <w:rStyle w:val="Refdenotaderodap"/>
          <w:sz w:val="16"/>
          <w:szCs w:val="16"/>
        </w:rPr>
        <w:footnoteRef/>
      </w:r>
      <w:r w:rsidRPr="004E05F7">
        <w:rPr>
          <w:sz w:val="16"/>
          <w:szCs w:val="16"/>
        </w:rPr>
        <w:t xml:space="preserve"> </w:t>
      </w:r>
      <w:r w:rsidR="00826944" w:rsidRPr="004E05F7">
        <w:rPr>
          <w:sz w:val="16"/>
          <w:szCs w:val="16"/>
        </w:rPr>
        <w:t>FERNANDES, José Pedro Teixeira. Federalismo: solução para a crise na União Europeia? Uma perspectiva portuguesa [recurso eletrónico].</w:t>
      </w:r>
      <w:r w:rsidR="00826944" w:rsidRPr="004E05F7">
        <w:rPr>
          <w:i/>
          <w:iCs/>
          <w:sz w:val="16"/>
          <w:szCs w:val="16"/>
        </w:rPr>
        <w:t xml:space="preserve"> Relações Internacionais</w:t>
      </w:r>
      <w:r w:rsidR="00826944" w:rsidRPr="004E05F7">
        <w:rPr>
          <w:sz w:val="16"/>
          <w:szCs w:val="16"/>
        </w:rPr>
        <w:t>, n.º 44, 2014, pp. 11-13. Disponível em: https://ipri.unl.pt/index.php/pt/publicacoes/revista-r-i/arquivo-de-revista-r-i/41-relacoes-internacionais-n-44. Consult. 07-09-2025. ISSN: 2183-0436.</w:t>
      </w:r>
    </w:p>
  </w:footnote>
  <w:footnote w:id="94">
    <w:p w14:paraId="49C9A2B8" w14:textId="5BC6E370" w:rsidR="007F57E1" w:rsidRPr="004E05F7" w:rsidRDefault="007F57E1">
      <w:pPr>
        <w:pStyle w:val="Textodenotaderodap"/>
        <w:rPr>
          <w:sz w:val="16"/>
          <w:szCs w:val="16"/>
        </w:rPr>
      </w:pPr>
      <w:r w:rsidRPr="004E05F7">
        <w:rPr>
          <w:rStyle w:val="Refdenotaderodap"/>
          <w:sz w:val="16"/>
          <w:szCs w:val="16"/>
        </w:rPr>
        <w:footnoteRef/>
      </w:r>
      <w:r w:rsidRPr="004E05F7">
        <w:rPr>
          <w:sz w:val="16"/>
          <w:szCs w:val="16"/>
        </w:rPr>
        <w:t xml:space="preserve"> </w:t>
      </w:r>
      <w:r w:rsidR="007C1376" w:rsidRPr="004E05F7">
        <w:rPr>
          <w:sz w:val="16"/>
          <w:szCs w:val="16"/>
        </w:rPr>
        <w:t>AF</w:t>
      </w:r>
      <w:r w:rsidR="00ED127A" w:rsidRPr="004E05F7">
        <w:rPr>
          <w:sz w:val="16"/>
          <w:szCs w:val="16"/>
        </w:rPr>
        <w:t>F</w:t>
      </w:r>
      <w:r w:rsidR="007C1376" w:rsidRPr="004E05F7">
        <w:rPr>
          <w:sz w:val="16"/>
          <w:szCs w:val="16"/>
        </w:rPr>
        <w:t xml:space="preserve">ONSO, A.; HAUPTMEIER, S. Fiscal behaviour in the European Union: rules, fiscal decentralization and government indebtedness. </w:t>
      </w:r>
      <w:r w:rsidR="007C1376" w:rsidRPr="004E05F7">
        <w:rPr>
          <w:i/>
          <w:iCs/>
          <w:sz w:val="16"/>
          <w:szCs w:val="16"/>
        </w:rPr>
        <w:t>ECB Working Paper Series</w:t>
      </w:r>
      <w:r w:rsidR="007C1376" w:rsidRPr="004E05F7">
        <w:rPr>
          <w:sz w:val="16"/>
          <w:szCs w:val="16"/>
        </w:rPr>
        <w:t>, 1054. Frankfurt am Main: European Central Bank, 2009, p. 7. Disponível em: https://www.ecb.europa.eu/pub/pdf/scpwps/ecbwp1054.pdf. Consult. 07-09-2025.  ISSN 1725-2806 (online).</w:t>
      </w:r>
    </w:p>
  </w:footnote>
  <w:footnote w:id="95">
    <w:p w14:paraId="0E81653D" w14:textId="7F6B7BF9" w:rsidR="007F57E1" w:rsidRDefault="007F57E1" w:rsidP="007F57E1">
      <w:pPr>
        <w:pStyle w:val="Textodenotaderodap"/>
      </w:pPr>
      <w:r w:rsidRPr="004E05F7">
        <w:rPr>
          <w:rStyle w:val="Refdenotaderodap"/>
          <w:sz w:val="16"/>
          <w:szCs w:val="16"/>
        </w:rPr>
        <w:footnoteRef/>
      </w:r>
      <w:r w:rsidRPr="004E05F7">
        <w:rPr>
          <w:sz w:val="16"/>
          <w:szCs w:val="16"/>
        </w:rPr>
        <w:t xml:space="preserve"> </w:t>
      </w:r>
      <w:r w:rsidR="00474B31" w:rsidRPr="004E05F7">
        <w:rPr>
          <w:sz w:val="16"/>
          <w:szCs w:val="16"/>
        </w:rPr>
        <w:t xml:space="preserve">HOLZINGER, K.; SCHIMMELFENNIG, F. Differentiated integration in the European Union: many concepts, sparse theory, few data. </w:t>
      </w:r>
      <w:r w:rsidR="00474B31" w:rsidRPr="004E05F7">
        <w:rPr>
          <w:i/>
          <w:iCs/>
          <w:sz w:val="16"/>
          <w:szCs w:val="16"/>
        </w:rPr>
        <w:t>Journal of European Public Policy,</w:t>
      </w:r>
      <w:r w:rsidR="00474B31" w:rsidRPr="004E05F7">
        <w:rPr>
          <w:sz w:val="16"/>
          <w:szCs w:val="16"/>
        </w:rPr>
        <w:t xml:space="preserve"> 2012, vol. 19, n.º 2, pp. 292</w:t>
      </w:r>
      <w:r w:rsidR="00474B31" w:rsidRPr="004E05F7">
        <w:rPr>
          <w:rFonts w:ascii="Cambria Math" w:hAnsi="Cambria Math" w:cs="Cambria Math"/>
          <w:sz w:val="16"/>
          <w:szCs w:val="16"/>
        </w:rPr>
        <w:t>‑</w:t>
      </w:r>
      <w:r w:rsidR="00474B31" w:rsidRPr="004E05F7">
        <w:rPr>
          <w:sz w:val="16"/>
          <w:szCs w:val="16"/>
        </w:rPr>
        <w:t>303. Disponível em: https://www.researchgate.net/publication/233149306_Differentiated_Integration_in_the_European_Union_Many_Concepts_Sparse_Theory_Few_Data. Consult. 13-12-2025. ISSN: 1466-4429 (Online).</w:t>
      </w:r>
    </w:p>
  </w:footnote>
  <w:footnote w:id="96">
    <w:p w14:paraId="76DF9E9B" w14:textId="404DCC90" w:rsidR="007F57E1" w:rsidRPr="004E05F7" w:rsidRDefault="007F57E1">
      <w:pPr>
        <w:pStyle w:val="Textodenotaderodap"/>
        <w:rPr>
          <w:sz w:val="16"/>
          <w:szCs w:val="16"/>
        </w:rPr>
      </w:pPr>
      <w:r w:rsidRPr="004E05F7">
        <w:rPr>
          <w:rStyle w:val="Refdenotaderodap"/>
          <w:sz w:val="16"/>
          <w:szCs w:val="16"/>
        </w:rPr>
        <w:footnoteRef/>
      </w:r>
      <w:r w:rsidR="00FD69E2" w:rsidRPr="004E05F7">
        <w:rPr>
          <w:sz w:val="16"/>
          <w:szCs w:val="16"/>
        </w:rPr>
        <w:t xml:space="preserve"> </w:t>
      </w:r>
      <w:r w:rsidR="008302DA" w:rsidRPr="004E05F7">
        <w:rPr>
          <w:sz w:val="16"/>
          <w:szCs w:val="16"/>
        </w:rPr>
        <w:t xml:space="preserve">ALLARD, C.; BROOKS, P.; BLUEDORN, J.; BORNHORST, F.; CHRISTOPHERSON, K.; OHNSORGE, F.; POGHOSYAN, T. Toward a fiscal union for the euro area. </w:t>
      </w:r>
      <w:r w:rsidR="008302DA" w:rsidRPr="004E05F7">
        <w:rPr>
          <w:i/>
          <w:iCs/>
          <w:sz w:val="16"/>
          <w:szCs w:val="16"/>
        </w:rPr>
        <w:t>Staff Discussion Notes No. 2013/009</w:t>
      </w:r>
      <w:r w:rsidR="008302DA" w:rsidRPr="004E05F7">
        <w:rPr>
          <w:sz w:val="16"/>
          <w:szCs w:val="16"/>
        </w:rPr>
        <w:t>, Vol. 009, p</w:t>
      </w:r>
      <w:r w:rsidR="00A50DBF" w:rsidRPr="004E05F7">
        <w:rPr>
          <w:sz w:val="16"/>
          <w:szCs w:val="16"/>
        </w:rPr>
        <w:t>. 16</w:t>
      </w:r>
      <w:r w:rsidR="008302DA" w:rsidRPr="004E05F7">
        <w:rPr>
          <w:sz w:val="16"/>
          <w:szCs w:val="16"/>
        </w:rPr>
        <w:t>, Disponível em: https://www.imf.org/en/publications/staff-discussion-notes/issues/2016/12/31/toward-a-fiscal-union-for-the-euro-area-40784.</w:t>
      </w:r>
      <w:r w:rsidR="00A50DBF" w:rsidRPr="004E05F7">
        <w:rPr>
          <w:sz w:val="16"/>
          <w:szCs w:val="16"/>
        </w:rPr>
        <w:t xml:space="preserve"> </w:t>
      </w:r>
      <w:r w:rsidR="008302DA" w:rsidRPr="004E05F7">
        <w:rPr>
          <w:sz w:val="16"/>
          <w:szCs w:val="16"/>
        </w:rPr>
        <w:t>Consult. 13-12-2025. ISSN: 2617-6750</w:t>
      </w:r>
      <w:r w:rsidR="004E05F7">
        <w:rPr>
          <w:sz w:val="16"/>
          <w:szCs w:val="16"/>
        </w:rPr>
        <w:t>.</w:t>
      </w:r>
    </w:p>
  </w:footnote>
  <w:footnote w:id="97">
    <w:p w14:paraId="5BEFE442" w14:textId="0F564D02" w:rsidR="001A743C" w:rsidRDefault="001A743C">
      <w:pPr>
        <w:pStyle w:val="Textodenotaderodap"/>
      </w:pPr>
      <w:r>
        <w:rPr>
          <w:rStyle w:val="Refdenotaderodap"/>
        </w:rPr>
        <w:footnoteRef/>
      </w:r>
      <w:r>
        <w:t xml:space="preserve"> </w:t>
      </w:r>
      <w:r w:rsidRPr="001A743C">
        <w:rPr>
          <w:sz w:val="16"/>
          <w:szCs w:val="16"/>
        </w:rPr>
        <w:t xml:space="preserve">MICHELETTI, Francesca. </w:t>
      </w:r>
      <w:r w:rsidRPr="001A743C">
        <w:rPr>
          <w:i/>
          <w:iCs/>
          <w:sz w:val="16"/>
          <w:szCs w:val="16"/>
        </w:rPr>
        <w:t>Draghi: Europe needs to integrate faster if it wants to matter on world stage</w:t>
      </w:r>
      <w:r w:rsidRPr="001A743C">
        <w:rPr>
          <w:sz w:val="16"/>
          <w:szCs w:val="16"/>
        </w:rPr>
        <w:t xml:space="preserve">. Politico. Disponível em: </w:t>
      </w:r>
      <w:hyperlink r:id="rId22" w:history="1">
        <w:r w:rsidRPr="001A743C">
          <w:rPr>
            <w:rStyle w:val="Hiperligao"/>
            <w:sz w:val="16"/>
            <w:szCs w:val="16"/>
          </w:rPr>
          <w:t>https://www.politico.eu/article/europe-needs-new-coalition-of-the-willing-regain-power-world-stage-says-mario-draghi/</w:t>
        </w:r>
      </w:hyperlink>
      <w:r w:rsidRPr="001A743C">
        <w:rPr>
          <w:sz w:val="16"/>
          <w:szCs w:val="16"/>
        </w:rPr>
        <w:t>. Consult. 03-02-2026.</w:t>
      </w:r>
    </w:p>
  </w:footnote>
  <w:footnote w:id="98">
    <w:p w14:paraId="4F00DDE3" w14:textId="798EDC6F" w:rsidR="00FB47F3" w:rsidRDefault="00FB47F3">
      <w:pPr>
        <w:pStyle w:val="Textodenotaderodap"/>
      </w:pPr>
      <w:r w:rsidRPr="004E05F7">
        <w:rPr>
          <w:rStyle w:val="Refdenotaderodap"/>
          <w:sz w:val="16"/>
          <w:szCs w:val="16"/>
        </w:rPr>
        <w:footnoteRef/>
      </w:r>
      <w:r w:rsidRPr="004E05F7">
        <w:rPr>
          <w:sz w:val="16"/>
          <w:szCs w:val="16"/>
        </w:rPr>
        <w:t xml:space="preserve"> </w:t>
      </w:r>
      <w:r w:rsidR="00D25262" w:rsidRPr="004E05F7">
        <w:rPr>
          <w:sz w:val="16"/>
          <w:szCs w:val="16"/>
        </w:rPr>
        <w:t>UNIÃO EUROPEIA</w:t>
      </w:r>
      <w:r w:rsidRPr="004E05F7">
        <w:rPr>
          <w:sz w:val="16"/>
          <w:szCs w:val="16"/>
        </w:rPr>
        <w:t xml:space="preserve">. </w:t>
      </w:r>
      <w:r w:rsidRPr="004E05F7">
        <w:rPr>
          <w:i/>
          <w:iCs/>
          <w:sz w:val="16"/>
          <w:szCs w:val="16"/>
        </w:rPr>
        <w:t>Tratado sobre o Funcionamento da União Europeia (versão consolidada).</w:t>
      </w:r>
      <w:r w:rsidRPr="004E05F7">
        <w:rPr>
          <w:sz w:val="16"/>
          <w:szCs w:val="16"/>
        </w:rPr>
        <w:t xml:space="preserve"> Jornal Oficial da União Europeia, C 202, 7 jun. 2016.</w:t>
      </w:r>
    </w:p>
  </w:footnote>
  <w:footnote w:id="99">
    <w:p w14:paraId="47F3A2A2" w14:textId="03FE993D" w:rsidR="00A052F3" w:rsidRPr="002B4854" w:rsidRDefault="00A052F3" w:rsidP="00693D67">
      <w:pPr>
        <w:pStyle w:val="Textodenotaderodap"/>
      </w:pPr>
      <w:r w:rsidRPr="004E05F7">
        <w:rPr>
          <w:rStyle w:val="Refdenotaderodap"/>
          <w:sz w:val="16"/>
          <w:szCs w:val="16"/>
        </w:rPr>
        <w:footnoteRef/>
      </w:r>
      <w:r w:rsidRPr="004E05F7">
        <w:rPr>
          <w:sz w:val="16"/>
          <w:szCs w:val="16"/>
        </w:rPr>
        <w:t xml:space="preserve"> </w:t>
      </w:r>
      <w:r w:rsidR="002B4854" w:rsidRPr="004E05F7">
        <w:rPr>
          <w:sz w:val="16"/>
          <w:szCs w:val="16"/>
        </w:rPr>
        <w:t>MARTINS, Patrícia Fragoso. Federação e federalismo: breve reflexão sobre o modelo federal europeu.</w:t>
      </w:r>
      <w:r w:rsidR="001D1636" w:rsidRPr="004E05F7">
        <w:rPr>
          <w:sz w:val="16"/>
          <w:szCs w:val="16"/>
        </w:rPr>
        <w:t xml:space="preserve"> </w:t>
      </w:r>
      <w:r w:rsidR="001D1636" w:rsidRPr="004E05F7">
        <w:rPr>
          <w:i/>
          <w:iCs/>
          <w:sz w:val="16"/>
          <w:szCs w:val="16"/>
        </w:rPr>
        <w:t>Católica Talks: conceitos normativos e normatividade</w:t>
      </w:r>
      <w:r w:rsidR="001D1636" w:rsidRPr="004E05F7">
        <w:rPr>
          <w:sz w:val="16"/>
          <w:szCs w:val="16"/>
        </w:rPr>
        <w:t>.</w:t>
      </w:r>
      <w:r w:rsidR="00693D67" w:rsidRPr="004E05F7">
        <w:rPr>
          <w:sz w:val="16"/>
          <w:szCs w:val="16"/>
        </w:rPr>
        <w:t xml:space="preserve"> Centro de Estudos e Investigação em Direito (CEID).</w:t>
      </w:r>
      <w:r w:rsidR="001D1636" w:rsidRPr="004E05F7">
        <w:rPr>
          <w:sz w:val="16"/>
          <w:szCs w:val="16"/>
        </w:rPr>
        <w:t xml:space="preserve"> 2025, pp. 1</w:t>
      </w:r>
      <w:r w:rsidR="00693D67" w:rsidRPr="004E05F7">
        <w:rPr>
          <w:sz w:val="16"/>
          <w:szCs w:val="16"/>
        </w:rPr>
        <w:t>46-147</w:t>
      </w:r>
      <w:r w:rsidR="001D1636" w:rsidRPr="004E05F7">
        <w:rPr>
          <w:sz w:val="16"/>
          <w:szCs w:val="16"/>
        </w:rPr>
        <w:t>.</w:t>
      </w:r>
      <w:r w:rsidR="00693D67" w:rsidRPr="004E05F7">
        <w:rPr>
          <w:sz w:val="16"/>
          <w:szCs w:val="16"/>
        </w:rPr>
        <w:t xml:space="preserve"> ISBN (15): 9789725411292</w:t>
      </w:r>
    </w:p>
  </w:footnote>
  <w:footnote w:id="100">
    <w:p w14:paraId="3647EE67" w14:textId="2A03CAF5" w:rsidR="00A052F3" w:rsidRPr="00A052F3" w:rsidRDefault="00A052F3">
      <w:pPr>
        <w:pStyle w:val="Textodenotaderodap"/>
      </w:pPr>
      <w:r w:rsidRPr="004E05F7">
        <w:rPr>
          <w:rStyle w:val="Refdenotaderodap"/>
          <w:sz w:val="16"/>
          <w:szCs w:val="16"/>
        </w:rPr>
        <w:footnoteRef/>
      </w:r>
      <w:r w:rsidRPr="004E05F7">
        <w:rPr>
          <w:sz w:val="16"/>
          <w:szCs w:val="16"/>
        </w:rPr>
        <w:t xml:space="preserve"> KEGEL, Patrícia Luíza; AMAL, Mohamed.</w:t>
      </w:r>
      <w:r w:rsidRPr="004E05F7">
        <w:rPr>
          <w:i/>
          <w:iCs/>
          <w:sz w:val="16"/>
          <w:szCs w:val="16"/>
        </w:rPr>
        <w:t xml:space="preserve"> </w:t>
      </w:r>
      <w:r w:rsidRPr="004E05F7">
        <w:rPr>
          <w:sz w:val="16"/>
          <w:szCs w:val="16"/>
        </w:rPr>
        <w:t>Instituições, Direito e soberania: a efetividade jurídica nos processos de integração regional nos exemplos da União Européia e do Mercosul</w:t>
      </w:r>
      <w:r w:rsidRPr="004E05F7">
        <w:rPr>
          <w:i/>
          <w:iCs/>
          <w:sz w:val="16"/>
          <w:szCs w:val="16"/>
        </w:rPr>
        <w:t>.</w:t>
      </w:r>
      <w:r w:rsidRPr="004E05F7">
        <w:rPr>
          <w:sz w:val="16"/>
          <w:szCs w:val="16"/>
        </w:rPr>
        <w:t xml:space="preserve"> </w:t>
      </w:r>
      <w:r w:rsidRPr="004E05F7">
        <w:rPr>
          <w:i/>
          <w:iCs/>
          <w:sz w:val="16"/>
          <w:szCs w:val="16"/>
        </w:rPr>
        <w:t>Revista Brasileira de Política Internacional.</w:t>
      </w:r>
      <w:r w:rsidRPr="004E05F7">
        <w:rPr>
          <w:sz w:val="16"/>
          <w:szCs w:val="16"/>
        </w:rPr>
        <w:t xml:space="preserve"> </w:t>
      </w:r>
      <w:r w:rsidR="00D03817" w:rsidRPr="004E05F7">
        <w:rPr>
          <w:sz w:val="16"/>
          <w:szCs w:val="16"/>
        </w:rPr>
        <w:t xml:space="preserve">Centro de Estudos Globais da Universidade de Brasília. </w:t>
      </w:r>
      <w:r w:rsidRPr="004E05F7">
        <w:rPr>
          <w:sz w:val="16"/>
          <w:szCs w:val="16"/>
        </w:rPr>
        <w:t>2009, n.º 52</w:t>
      </w:r>
      <w:r w:rsidR="00693D67" w:rsidRPr="004E05F7">
        <w:rPr>
          <w:sz w:val="16"/>
          <w:szCs w:val="16"/>
        </w:rPr>
        <w:t xml:space="preserve"> (1)</w:t>
      </w:r>
      <w:r w:rsidR="00D03817" w:rsidRPr="004E05F7">
        <w:rPr>
          <w:sz w:val="16"/>
          <w:szCs w:val="16"/>
        </w:rPr>
        <w:t xml:space="preserve">, p. </w:t>
      </w:r>
      <w:r w:rsidR="00693D67" w:rsidRPr="004E05F7">
        <w:rPr>
          <w:sz w:val="16"/>
          <w:szCs w:val="16"/>
        </w:rPr>
        <w:t>62</w:t>
      </w:r>
      <w:r w:rsidR="00D03817" w:rsidRPr="004E05F7">
        <w:rPr>
          <w:sz w:val="16"/>
          <w:szCs w:val="16"/>
        </w:rPr>
        <w:t xml:space="preserve">. </w:t>
      </w:r>
      <w:r w:rsidR="00693D67" w:rsidRPr="004E05F7">
        <w:rPr>
          <w:sz w:val="16"/>
          <w:szCs w:val="16"/>
        </w:rPr>
        <w:t>ISSN online version: 1983-3121</w:t>
      </w:r>
    </w:p>
  </w:footnote>
  <w:footnote w:id="101">
    <w:p w14:paraId="5E20FEC9" w14:textId="093DA79D" w:rsidR="00002753" w:rsidRDefault="00002753" w:rsidP="00002753">
      <w:pPr>
        <w:pStyle w:val="Textodenotaderodap"/>
      </w:pPr>
      <w:r w:rsidRPr="004E05F7">
        <w:rPr>
          <w:rStyle w:val="Refdenotaderodap"/>
          <w:sz w:val="16"/>
          <w:szCs w:val="16"/>
        </w:rPr>
        <w:footnoteRef/>
      </w:r>
      <w:r w:rsidRPr="004E05F7">
        <w:rPr>
          <w:sz w:val="16"/>
          <w:szCs w:val="16"/>
        </w:rPr>
        <w:t xml:space="preserve"> </w:t>
      </w:r>
      <w:r w:rsidR="0054362C" w:rsidRPr="004E05F7">
        <w:rPr>
          <w:sz w:val="16"/>
          <w:szCs w:val="16"/>
        </w:rPr>
        <w:t xml:space="preserve">CAMPOS, João Mota de. </w:t>
      </w:r>
      <w:r w:rsidR="0054362C" w:rsidRPr="004E05F7">
        <w:rPr>
          <w:i/>
          <w:iCs/>
          <w:sz w:val="16"/>
          <w:szCs w:val="16"/>
        </w:rPr>
        <w:t>Manual de direito europeu: o sistema institucional: a ordem jurídica: o ordenamento económico da União Europeia</w:t>
      </w:r>
      <w:r w:rsidR="0054362C" w:rsidRPr="004E05F7">
        <w:rPr>
          <w:sz w:val="16"/>
          <w:szCs w:val="16"/>
        </w:rPr>
        <w:t>. 6.ª ed. Coimbra: Coimbra Editora, 2010, p. 359. ISBN: 978-972-32-1812-1.</w:t>
      </w:r>
    </w:p>
  </w:footnote>
  <w:footnote w:id="102">
    <w:p w14:paraId="625E09E0" w14:textId="7FCFCC5B" w:rsidR="00DA0DA2" w:rsidRPr="004E05F7" w:rsidRDefault="00DA0DA2">
      <w:pPr>
        <w:pStyle w:val="Textodenotaderodap"/>
        <w:rPr>
          <w:sz w:val="16"/>
          <w:szCs w:val="16"/>
        </w:rPr>
      </w:pPr>
      <w:r w:rsidRPr="004E05F7">
        <w:rPr>
          <w:rStyle w:val="Refdenotaderodap"/>
          <w:sz w:val="16"/>
          <w:szCs w:val="16"/>
        </w:rPr>
        <w:footnoteRef/>
      </w:r>
      <w:r w:rsidRPr="004E05F7">
        <w:rPr>
          <w:sz w:val="16"/>
          <w:szCs w:val="16"/>
        </w:rPr>
        <w:t xml:space="preserve"> CANOTILHO, J. J. Gomes. </w:t>
      </w:r>
      <w:r w:rsidRPr="004E05F7">
        <w:rPr>
          <w:i/>
          <w:iCs/>
          <w:sz w:val="16"/>
          <w:szCs w:val="16"/>
        </w:rPr>
        <w:t>Direito Constitucional e Teoria da Constituição</w:t>
      </w:r>
      <w:r w:rsidRPr="004E05F7">
        <w:rPr>
          <w:sz w:val="16"/>
          <w:szCs w:val="16"/>
        </w:rPr>
        <w:t>. 2.ª ed. Lisboa: Almedina, 1998, p. 45. ISBN: 972-40-1102-X.</w:t>
      </w:r>
    </w:p>
  </w:footnote>
  <w:footnote w:id="103">
    <w:p w14:paraId="55DB74AE" w14:textId="05847918" w:rsidR="00002753" w:rsidRPr="004E05F7" w:rsidRDefault="00002753" w:rsidP="00002753">
      <w:pPr>
        <w:pStyle w:val="Textodenotaderodap"/>
        <w:rPr>
          <w:sz w:val="16"/>
          <w:szCs w:val="16"/>
        </w:rPr>
      </w:pPr>
      <w:r w:rsidRPr="004E05F7">
        <w:rPr>
          <w:rStyle w:val="Refdenotaderodap"/>
          <w:sz w:val="16"/>
          <w:szCs w:val="16"/>
        </w:rPr>
        <w:footnoteRef/>
      </w:r>
      <w:r w:rsidRPr="004E05F7">
        <w:rPr>
          <w:sz w:val="16"/>
          <w:szCs w:val="16"/>
        </w:rPr>
        <w:t xml:space="preserve"> MACHADO, Jónatas E. M</w:t>
      </w:r>
      <w:r w:rsidRPr="004E05F7">
        <w:rPr>
          <w:i/>
          <w:iCs/>
          <w:sz w:val="16"/>
          <w:szCs w:val="16"/>
        </w:rPr>
        <w:t>. Direito da União Europeia.</w:t>
      </w:r>
      <w:r w:rsidRPr="004E05F7">
        <w:rPr>
          <w:sz w:val="16"/>
          <w:szCs w:val="16"/>
        </w:rPr>
        <w:t xml:space="preserve"> Coimbra: Coimbra Editora, 2014</w:t>
      </w:r>
      <w:r w:rsidR="002408FB" w:rsidRPr="004E05F7">
        <w:rPr>
          <w:sz w:val="16"/>
          <w:szCs w:val="16"/>
        </w:rPr>
        <w:t>, pp. 67</w:t>
      </w:r>
      <w:r w:rsidR="00991AC5" w:rsidRPr="004E05F7">
        <w:rPr>
          <w:sz w:val="16"/>
          <w:szCs w:val="16"/>
        </w:rPr>
        <w:t xml:space="preserve">. ISBN: 9789899136038. </w:t>
      </w:r>
    </w:p>
  </w:footnote>
  <w:footnote w:id="104">
    <w:p w14:paraId="7B5DFE55" w14:textId="03AD843C" w:rsidR="00002753" w:rsidRDefault="00002753" w:rsidP="006E6AEE">
      <w:pPr>
        <w:pStyle w:val="Textodenotaderodap"/>
      </w:pPr>
      <w:r w:rsidRPr="004E05F7">
        <w:rPr>
          <w:rStyle w:val="Refdenotaderodap"/>
          <w:sz w:val="16"/>
          <w:szCs w:val="16"/>
        </w:rPr>
        <w:footnoteRef/>
      </w:r>
      <w:r w:rsidR="006E6AEE" w:rsidRPr="004E05F7">
        <w:rPr>
          <w:sz w:val="16"/>
          <w:szCs w:val="16"/>
        </w:rPr>
        <w:t xml:space="preserve"> </w:t>
      </w:r>
      <w:r w:rsidR="00991AC5" w:rsidRPr="004E05F7">
        <w:rPr>
          <w:sz w:val="16"/>
          <w:szCs w:val="16"/>
        </w:rPr>
        <w:t xml:space="preserve">SOARES, António Goucha. </w:t>
      </w:r>
      <w:r w:rsidR="00991AC5" w:rsidRPr="004E05F7">
        <w:rPr>
          <w:i/>
          <w:iCs/>
          <w:sz w:val="16"/>
          <w:szCs w:val="16"/>
        </w:rPr>
        <w:t>Repartição de competências e preempção no direito comunitário: aplicação da doutrina da preempção desenvolvida pela United States Supreme Court à repartição de competências no ordenamento comunitário</w:t>
      </w:r>
      <w:r w:rsidR="00991AC5" w:rsidRPr="004E05F7">
        <w:rPr>
          <w:sz w:val="16"/>
          <w:szCs w:val="16"/>
        </w:rPr>
        <w:t>. Lisboa: Cosmos, 1996, pp. 55-56. ISBN: 9789727620159</w:t>
      </w:r>
      <w:r w:rsidR="004E05F7">
        <w:rPr>
          <w:sz w:val="16"/>
          <w:szCs w:val="16"/>
        </w:rPr>
        <w:t>.</w:t>
      </w:r>
    </w:p>
  </w:footnote>
  <w:footnote w:id="105">
    <w:p w14:paraId="2257C190" w14:textId="5AAC628C" w:rsidR="006F3A29" w:rsidRDefault="006F3A29" w:rsidP="006F3A29">
      <w:pPr>
        <w:pStyle w:val="Textodenotaderodap"/>
      </w:pPr>
      <w:r w:rsidRPr="004E05F7">
        <w:rPr>
          <w:rStyle w:val="Refdenotaderodap"/>
          <w:sz w:val="16"/>
          <w:szCs w:val="16"/>
        </w:rPr>
        <w:footnoteRef/>
      </w:r>
      <w:r w:rsidRPr="004E05F7">
        <w:rPr>
          <w:sz w:val="16"/>
          <w:szCs w:val="16"/>
        </w:rPr>
        <w:t xml:space="preserve"> SILVEIRA, Alessandra. </w:t>
      </w:r>
      <w:r w:rsidRPr="004E05F7">
        <w:rPr>
          <w:i/>
          <w:iCs/>
          <w:sz w:val="16"/>
          <w:szCs w:val="16"/>
        </w:rPr>
        <w:t xml:space="preserve">Direito da União Europeia e Transnacionalidade: accção Jean Monnet / coordenação, Alessandra Silveira. </w:t>
      </w:r>
      <w:r w:rsidRPr="004E05F7">
        <w:rPr>
          <w:sz w:val="16"/>
          <w:szCs w:val="16"/>
        </w:rPr>
        <w:t>Lisboa : Quid Juris?, 2010, pp. 9-10. ISBN: 978-972-724-533-8.</w:t>
      </w:r>
    </w:p>
  </w:footnote>
  <w:footnote w:id="106">
    <w:p w14:paraId="48B65A30" w14:textId="2DCF8160" w:rsidR="002B4854" w:rsidRPr="004E05F7" w:rsidRDefault="002B4854">
      <w:pPr>
        <w:pStyle w:val="Textodenotaderodap"/>
        <w:rPr>
          <w:sz w:val="16"/>
          <w:szCs w:val="16"/>
        </w:rPr>
      </w:pPr>
      <w:r w:rsidRPr="004E05F7">
        <w:rPr>
          <w:rStyle w:val="Refdenotaderodap"/>
          <w:sz w:val="16"/>
          <w:szCs w:val="16"/>
        </w:rPr>
        <w:footnoteRef/>
      </w:r>
      <w:r w:rsidRPr="004E05F7">
        <w:rPr>
          <w:sz w:val="16"/>
          <w:szCs w:val="16"/>
        </w:rPr>
        <w:t xml:space="preserve"> </w:t>
      </w:r>
      <w:r w:rsidR="00E57F58" w:rsidRPr="004E05F7">
        <w:rPr>
          <w:sz w:val="16"/>
          <w:szCs w:val="16"/>
        </w:rPr>
        <w:t>COMISSÃO EUROPEIA</w:t>
      </w:r>
      <w:r w:rsidRPr="004E05F7">
        <w:rPr>
          <w:sz w:val="16"/>
          <w:szCs w:val="16"/>
        </w:rPr>
        <w:t xml:space="preserve">. </w:t>
      </w:r>
      <w:r w:rsidRPr="004E05F7">
        <w:rPr>
          <w:i/>
          <w:iCs/>
          <w:sz w:val="16"/>
          <w:szCs w:val="16"/>
        </w:rPr>
        <w:t>European Health Insurance Card.</w:t>
      </w:r>
      <w:r w:rsidRPr="004E05F7">
        <w:rPr>
          <w:sz w:val="16"/>
          <w:szCs w:val="16"/>
        </w:rPr>
        <w:t xml:space="preserve"> União Europeia. </w:t>
      </w:r>
      <w:hyperlink r:id="rId23" w:history="1">
        <w:r w:rsidRPr="004E05F7">
          <w:rPr>
            <w:rStyle w:val="Hiperligao"/>
            <w:sz w:val="16"/>
            <w:szCs w:val="16"/>
          </w:rPr>
          <w:t>https://employment-social-affairs.ec.europa.eu/policies-and-activities/moving-working-europe/eu-social-security-coordination/european-health-insurance-card_en</w:t>
        </w:r>
      </w:hyperlink>
      <w:r w:rsidRPr="004E05F7">
        <w:rPr>
          <w:sz w:val="16"/>
          <w:szCs w:val="16"/>
        </w:rPr>
        <w:t xml:space="preserve">. </w:t>
      </w:r>
      <w:r w:rsidR="00A50DBF" w:rsidRPr="004E05F7">
        <w:rPr>
          <w:sz w:val="16"/>
          <w:szCs w:val="16"/>
        </w:rPr>
        <w:t>Consult.</w:t>
      </w:r>
      <w:r w:rsidRPr="004E05F7">
        <w:rPr>
          <w:sz w:val="16"/>
          <w:szCs w:val="16"/>
        </w:rPr>
        <w:t xml:space="preserve"> 13-12-2025.</w:t>
      </w:r>
    </w:p>
  </w:footnote>
  <w:footnote w:id="107">
    <w:p w14:paraId="483D08AA" w14:textId="68BC6C0A" w:rsidR="002B4854" w:rsidRPr="002B4854" w:rsidRDefault="002B4854">
      <w:pPr>
        <w:pStyle w:val="Textodenotaderodap"/>
      </w:pPr>
      <w:r w:rsidRPr="004E05F7">
        <w:rPr>
          <w:rStyle w:val="Refdenotaderodap"/>
          <w:sz w:val="16"/>
          <w:szCs w:val="16"/>
        </w:rPr>
        <w:footnoteRef/>
      </w:r>
      <w:r w:rsidRPr="004E05F7">
        <w:rPr>
          <w:sz w:val="16"/>
          <w:szCs w:val="16"/>
        </w:rPr>
        <w:t xml:space="preserve"> </w:t>
      </w:r>
      <w:r w:rsidR="00E57F58" w:rsidRPr="004E05F7">
        <w:rPr>
          <w:sz w:val="16"/>
          <w:szCs w:val="16"/>
        </w:rPr>
        <w:t>YOUR EUROPE</w:t>
      </w:r>
      <w:r w:rsidRPr="004E05F7">
        <w:rPr>
          <w:sz w:val="16"/>
          <w:szCs w:val="16"/>
        </w:rPr>
        <w:t xml:space="preserve">. </w:t>
      </w:r>
      <w:r w:rsidRPr="004E05F7">
        <w:rPr>
          <w:i/>
          <w:iCs/>
          <w:sz w:val="16"/>
          <w:szCs w:val="16"/>
        </w:rPr>
        <w:t>Organising planned medical treatment abroad.</w:t>
      </w:r>
      <w:r w:rsidRPr="004E05F7">
        <w:rPr>
          <w:sz w:val="16"/>
          <w:szCs w:val="16"/>
        </w:rPr>
        <w:t xml:space="preserve"> União Europeia. </w:t>
      </w:r>
      <w:r w:rsidR="000A5870" w:rsidRPr="004E05F7">
        <w:rPr>
          <w:sz w:val="16"/>
          <w:szCs w:val="16"/>
        </w:rPr>
        <w:t xml:space="preserve">Disponível em: </w:t>
      </w:r>
      <w:hyperlink r:id="rId24" w:history="1">
        <w:r w:rsidR="00277860" w:rsidRPr="004E05F7">
          <w:rPr>
            <w:rStyle w:val="Hiperligao"/>
            <w:sz w:val="16"/>
            <w:szCs w:val="16"/>
          </w:rPr>
          <w:t>https://europa.eu/youreurope/citizens/health/planned-healthcare/right-to-treatment/index_en.htm</w:t>
        </w:r>
      </w:hyperlink>
      <w:r w:rsidRPr="004E05F7">
        <w:rPr>
          <w:sz w:val="16"/>
          <w:szCs w:val="16"/>
        </w:rPr>
        <w:t xml:space="preserve">. </w:t>
      </w:r>
      <w:r w:rsidR="00A50DBF" w:rsidRPr="004E05F7">
        <w:rPr>
          <w:sz w:val="16"/>
          <w:szCs w:val="16"/>
        </w:rPr>
        <w:t>Consult.</w:t>
      </w:r>
      <w:r w:rsidRPr="004E05F7">
        <w:rPr>
          <w:sz w:val="16"/>
          <w:szCs w:val="16"/>
        </w:rPr>
        <w:t xml:space="preserve"> 15-12-2025.</w:t>
      </w:r>
    </w:p>
  </w:footnote>
  <w:footnote w:id="108">
    <w:p w14:paraId="39968FBC" w14:textId="32B6B60F" w:rsidR="00AF623E" w:rsidRPr="002B4854" w:rsidRDefault="00AF623E" w:rsidP="00AF623E">
      <w:pPr>
        <w:pStyle w:val="Textodenotaderodap"/>
      </w:pPr>
      <w:r w:rsidRPr="004E05F7">
        <w:rPr>
          <w:rStyle w:val="Refdenotaderodap"/>
          <w:sz w:val="16"/>
          <w:szCs w:val="16"/>
        </w:rPr>
        <w:footnoteRef/>
      </w:r>
      <w:r w:rsidRPr="004E05F7">
        <w:rPr>
          <w:sz w:val="16"/>
          <w:szCs w:val="16"/>
        </w:rPr>
        <w:t xml:space="preserve"> </w:t>
      </w:r>
      <w:r w:rsidR="003B0EF4" w:rsidRPr="004E05F7">
        <w:rPr>
          <w:sz w:val="16"/>
          <w:szCs w:val="16"/>
        </w:rPr>
        <w:t xml:space="preserve">MARKS, Gary; HOOGHE, Liesbet. National identity and support for European integration. </w:t>
      </w:r>
      <w:r w:rsidR="003B0EF4" w:rsidRPr="004E05F7">
        <w:rPr>
          <w:i/>
          <w:iCs/>
          <w:sz w:val="16"/>
          <w:szCs w:val="16"/>
        </w:rPr>
        <w:t>WZB Discussion Paper.</w:t>
      </w:r>
      <w:r w:rsidR="003B0EF4" w:rsidRPr="004E05F7">
        <w:rPr>
          <w:sz w:val="16"/>
          <w:szCs w:val="16"/>
        </w:rPr>
        <w:t xml:space="preserve"> Berlim. 2003. P. 5 Disponível em: https://www.econstor.eu/bitstream/10419/49727/1/371681197.pdf. Consult. 28-12-2025. ISSN 1612-1899</w:t>
      </w:r>
      <w:r w:rsidR="004E05F7" w:rsidRPr="004E05F7">
        <w:rPr>
          <w:sz w:val="16"/>
          <w:szCs w:val="16"/>
        </w:rPr>
        <w:t>.</w:t>
      </w:r>
    </w:p>
  </w:footnote>
  <w:footnote w:id="109">
    <w:p w14:paraId="44A949A1" w14:textId="275BE476" w:rsidR="001D1636" w:rsidRPr="004E05F7" w:rsidRDefault="001D1636" w:rsidP="008E1604">
      <w:pPr>
        <w:pStyle w:val="Textodenotaderodap"/>
        <w:rPr>
          <w:sz w:val="16"/>
          <w:szCs w:val="16"/>
        </w:rPr>
      </w:pPr>
      <w:r w:rsidRPr="004E05F7">
        <w:rPr>
          <w:rStyle w:val="Refdenotaderodap"/>
          <w:sz w:val="16"/>
          <w:szCs w:val="16"/>
        </w:rPr>
        <w:footnoteRef/>
      </w:r>
      <w:r w:rsidRPr="004E05F7">
        <w:rPr>
          <w:sz w:val="16"/>
          <w:szCs w:val="16"/>
        </w:rPr>
        <w:t xml:space="preserve"> </w:t>
      </w:r>
      <w:r w:rsidR="003B0EF4" w:rsidRPr="004E05F7">
        <w:rPr>
          <w:sz w:val="16"/>
          <w:szCs w:val="16"/>
        </w:rPr>
        <w:t xml:space="preserve">BERTONCINI, Yves; KOENIG Nicole. EUROSCEPTICISM OR EUROPHOBIA: VOICE VS. EXIT? [recurso eletrónico]. Notre Europe Jacques Delors Institute. </w:t>
      </w:r>
      <w:r w:rsidR="003B0EF4" w:rsidRPr="004E05F7">
        <w:rPr>
          <w:i/>
          <w:iCs/>
          <w:sz w:val="16"/>
          <w:szCs w:val="16"/>
        </w:rPr>
        <w:t>Policy Paper 121</w:t>
      </w:r>
      <w:r w:rsidR="003B0EF4" w:rsidRPr="004E05F7">
        <w:rPr>
          <w:sz w:val="16"/>
          <w:szCs w:val="16"/>
        </w:rPr>
        <w:t>, 2014. P.6. Disponível em: https://institutdelors.eu/content/uploads/2025/04/euroscepticismoreurophobia-bertoncini-koenig-ne-jdi-nov14-1.pdf. Consult. 28-12-2025. ISSN: 2256-9944</w:t>
      </w:r>
    </w:p>
  </w:footnote>
  <w:footnote w:id="110">
    <w:p w14:paraId="2EC13576" w14:textId="0B585CDC" w:rsidR="001D1636" w:rsidRDefault="001D1636">
      <w:pPr>
        <w:pStyle w:val="Textodenotaderodap"/>
      </w:pPr>
      <w:r w:rsidRPr="004E05F7">
        <w:rPr>
          <w:rStyle w:val="Refdenotaderodap"/>
          <w:sz w:val="16"/>
          <w:szCs w:val="16"/>
        </w:rPr>
        <w:footnoteRef/>
      </w:r>
      <w:r w:rsidRPr="004E05F7">
        <w:rPr>
          <w:sz w:val="16"/>
          <w:szCs w:val="16"/>
        </w:rPr>
        <w:t xml:space="preserve"> </w:t>
      </w:r>
      <w:r w:rsidR="00AF623E" w:rsidRPr="004E05F7">
        <w:rPr>
          <w:sz w:val="16"/>
          <w:szCs w:val="16"/>
        </w:rPr>
        <w:t>I</w:t>
      </w:r>
      <w:r w:rsidR="008E1604" w:rsidRPr="004E05F7">
        <w:rPr>
          <w:sz w:val="16"/>
          <w:szCs w:val="16"/>
        </w:rPr>
        <w:t>dem</w:t>
      </w:r>
      <w:r w:rsidR="00AF623E" w:rsidRPr="004E05F7">
        <w:rPr>
          <w:sz w:val="16"/>
          <w:szCs w:val="16"/>
        </w:rPr>
        <w:t>, p.5</w:t>
      </w:r>
    </w:p>
  </w:footnote>
  <w:footnote w:id="111">
    <w:p w14:paraId="25F96705" w14:textId="26732322" w:rsidR="008E1604" w:rsidRPr="004E05F7" w:rsidRDefault="008E1604" w:rsidP="008E1604">
      <w:pPr>
        <w:pStyle w:val="Textodenotaderodap"/>
      </w:pPr>
      <w:r w:rsidRPr="004E05F7">
        <w:rPr>
          <w:rStyle w:val="Refdenotaderodap"/>
          <w:sz w:val="16"/>
          <w:szCs w:val="16"/>
        </w:rPr>
        <w:footnoteRef/>
      </w:r>
      <w:r w:rsidRPr="004E05F7">
        <w:rPr>
          <w:sz w:val="16"/>
          <w:szCs w:val="16"/>
        </w:rPr>
        <w:t xml:space="preserve"> </w:t>
      </w:r>
      <w:r w:rsidR="009F7684" w:rsidRPr="004E05F7">
        <w:rPr>
          <w:sz w:val="16"/>
          <w:szCs w:val="16"/>
        </w:rPr>
        <w:t>HALMAI, Gábor. Abuse of Constitutional Identity. The Hungarian Constitutional Court on Interpretation of Article E) (2) of the Fundamental Law [recurso eletrónico</w:t>
      </w:r>
      <w:r w:rsidR="009F7684" w:rsidRPr="004E05F7">
        <w:rPr>
          <w:i/>
          <w:iCs/>
          <w:sz w:val="16"/>
          <w:szCs w:val="16"/>
        </w:rPr>
        <w:t>]. Review of Central and East European Law,</w:t>
      </w:r>
      <w:r w:rsidR="009F7684" w:rsidRPr="004E05F7">
        <w:rPr>
          <w:sz w:val="16"/>
          <w:szCs w:val="16"/>
        </w:rPr>
        <w:t xml:space="preserve"> vol. 43, 2018, pp. 23</w:t>
      </w:r>
      <w:r w:rsidR="009F7684" w:rsidRPr="004E05F7">
        <w:rPr>
          <w:rFonts w:ascii="Cambria Math" w:hAnsi="Cambria Math" w:cs="Cambria Math"/>
          <w:sz w:val="16"/>
          <w:szCs w:val="16"/>
        </w:rPr>
        <w:t>‑</w:t>
      </w:r>
      <w:r w:rsidR="009F7684" w:rsidRPr="004E05F7">
        <w:rPr>
          <w:sz w:val="16"/>
          <w:szCs w:val="16"/>
        </w:rPr>
        <w:t xml:space="preserve"> 42. Dispon</w:t>
      </w:r>
      <w:r w:rsidR="009F7684" w:rsidRPr="004E05F7">
        <w:rPr>
          <w:rFonts w:cs="Arial Nova Light"/>
          <w:sz w:val="16"/>
          <w:szCs w:val="16"/>
        </w:rPr>
        <w:t>í</w:t>
      </w:r>
      <w:r w:rsidR="009F7684" w:rsidRPr="004E05F7">
        <w:rPr>
          <w:sz w:val="16"/>
          <w:szCs w:val="16"/>
        </w:rPr>
        <w:t>vel em: https://cadmus.eui.eu/entities/publication/f0ec80ae-5942-5144-8303-959110bac6eb. Consult. 03-01-2026. ISSN: 0925-9880</w:t>
      </w:r>
      <w:r w:rsidR="004E05F7" w:rsidRPr="004E05F7">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931D9" w14:textId="77777777" w:rsidR="0019302D" w:rsidRDefault="0019302D">
    <w:pPr>
      <w:pBdr>
        <w:top w:val="nil"/>
        <w:left w:val="nil"/>
        <w:bottom w:val="nil"/>
        <w:right w:val="nil"/>
        <w:between w:val="nil"/>
      </w:pBdr>
      <w:tabs>
        <w:tab w:val="center" w:pos="4252"/>
        <w:tab w:val="right" w:pos="8504"/>
      </w:tabs>
      <w:spacing w:before="0" w:line="240" w:lineRule="auto"/>
      <w:rPr>
        <w:color w:val="000000"/>
      </w:rPr>
    </w:pPr>
  </w:p>
  <w:p w14:paraId="237D761C" w14:textId="77777777" w:rsidR="00FF72DC" w:rsidRDefault="00CF390C">
    <w:r>
      <w:rPr>
        <w:noProof/>
        <w:color w:val="000000"/>
      </w:rPr>
      <mc:AlternateContent>
        <mc:Choice Requires="wps">
          <w:drawing>
            <wp:anchor distT="0" distB="0" distL="114300" distR="114300" simplePos="0" relativeHeight="251656192" behindDoc="1" locked="0" layoutInCell="1" allowOverlap="1" wp14:anchorId="278BDE70" wp14:editId="3BE133D9">
              <wp:simplePos x="0" y="0"/>
              <wp:positionH relativeFrom="page">
                <wp:posOffset>0</wp:posOffset>
              </wp:positionH>
              <wp:positionV relativeFrom="page">
                <wp:posOffset>0</wp:posOffset>
              </wp:positionV>
              <wp:extent cx="0" cy="0"/>
              <wp:effectExtent l="0" t="0" r="0" b="0"/>
              <wp:wrapNone/>
              <wp:docPr id="1460375571" name="Rectangle 1">
                <a:extLst xmlns:a="http://schemas.openxmlformats.org/drawingml/2006/main">
                  <a:ext uri="{A998136B-4AC2-44c3-8CCF-79AB77ABDD1D}">
                    <a15:backgroundPr xmlns:a15="http://schemas.microsoft.com/office/drawing/2012/main" bwMode="white" bwPure="auto" bwNormal="auto" targetScreenSize="1024x768"/>
                  </a:ext>
                </a:extLst>
              </wp:docPr>
              <wp:cNvGraphicFramePr>
                <a:graphicFrameLocks xmlns:a="http://schemas.openxmlformats.org/drawingml/2006/main" noGrp="1" noDrilldown="1" noSelect="1" noChangeAspect="1" noResize="1"/>
              </wp:cNvGraphicFramePr>
              <a:graphic xmlns:a="http://schemas.openxmlformats.org/drawingml/2006/main">
                <a:graphicData uri="http://schemas.microsoft.com/office/word/2010/wordprocessingShape">
                  <wps:wsp>
                    <wps:cNvSpPr>
                      <a:spLocks noGrp="1" noSelect="1" noRot="1" noChangeAspect="1" noResize="1" noEditPoints="1" noAdjustHandles="1" noChangeArrowheads="1" noChangeShapeType="1" noTextEdit="1"/>
                    </wps:cNvSpPr>
                    <wps:spPr bwMode="white">
                      <a:xfrm>
                        <a:off x="0" y="0"/>
                        <a:ext cx="635" cy="63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bodyPr/>
                  </wps:wsp>
                </a:graphicData>
              </a:graphic>
              <wp14:sizeRelH relativeFrom="page">
                <wp14:pctWidth>100000</wp14:pctWidth>
              </wp14:sizeRelH>
              <wp14:sizeRelV relativeFrom="page">
                <wp14:pctHeight>100000</wp14:pctHeight>
              </wp14:sizeRelV>
            </wp:anchor>
          </w:drawing>
        </mc:Choice>
        <mc:Fallback xmlns:w16sdtfl="http://schemas.microsoft.com/office/word/2024/wordml/sdtformatlock" xmlns:w16du="http://schemas.microsoft.com/office/word/2023/wordml/word16du" xmlns:oel="http://schemas.microsoft.com/office/2019/extlst">
          <w:pict>
            <v:rect w14:anchorId="6D3E2713" id="Rectangle 1" o:spid="_x0000_s1026" style="position:absolute;margin-left:0;margin-top:0;width:0;height:0;z-index:-251660288;visibility:visible;mso-wrap-style:square;mso-width-percent:1000;mso-height-percent:1000;mso-wrap-distance-left:9pt;mso-wrap-distance-top:0;mso-wrap-distance-right:9pt;mso-wrap-distance-bottom:0;mso-position-horizontal:absolute;mso-position-horizontal-relative:page;mso-position-vertical:absolute;mso-position-vertical-relative:page;mso-width-percent:1000;mso-height-percent:1000;mso-width-relative:page;mso-height-relative:page;v-text-anchor:top" o:bwmode="whit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" stroked="f" strokeweight="0">
              <o:lock v:ext="edit" rotation="t" aspectratio="t" selection="t" verticies="t" text="t" adjusthandles="t" grouping="t" shapetype="t"/>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CC028" w14:textId="77777777" w:rsidR="0019302D" w:rsidRDefault="0019302D"/>
  <w:p w14:paraId="1F28E0B9" w14:textId="77777777" w:rsidR="00FF72DC" w:rsidRDefault="00CF390C">
    <w:r>
      <w:rPr>
        <w:noProof/>
      </w:rPr>
      <mc:AlternateContent>
        <mc:Choice Requires="wps">
          <w:drawing>
            <wp:anchor distT="0" distB="0" distL="114300" distR="114300" simplePos="0" relativeHeight="251655168" behindDoc="1" locked="0" layoutInCell="1" allowOverlap="1" wp14:anchorId="498ED869" wp14:editId="0811000D">
              <wp:simplePos x="0" y="0"/>
              <wp:positionH relativeFrom="page">
                <wp:posOffset>0</wp:posOffset>
              </wp:positionH>
              <wp:positionV relativeFrom="page">
                <wp:posOffset>0</wp:posOffset>
              </wp:positionV>
              <wp:extent cx="0" cy="0"/>
              <wp:effectExtent l="0" t="0" r="0" b="0"/>
              <wp:wrapNone/>
              <wp:docPr id="1193117258" name="Rectangle 1">
                <a:extLst xmlns:a="http://schemas.openxmlformats.org/drawingml/2006/main">
                  <a:ext uri="{A998136B-4AC2-44c3-8CCF-79AB77ABDD1D}">
                    <a15:backgroundPr xmlns:a15="http://schemas.microsoft.com/office/drawing/2012/main" bwMode="white" bwPure="auto" bwNormal="auto" targetScreenSize="1024x768"/>
                  </a:ext>
                </a:extLst>
              </wp:docPr>
              <wp:cNvGraphicFramePr>
                <a:graphicFrameLocks xmlns:a="http://schemas.openxmlformats.org/drawingml/2006/main" noGrp="1" noDrilldown="1" noSelect="1" noChangeAspect="1" noResize="1"/>
              </wp:cNvGraphicFramePr>
              <a:graphic xmlns:a="http://schemas.openxmlformats.org/drawingml/2006/main">
                <a:graphicData uri="http://schemas.microsoft.com/office/word/2010/wordprocessingShape">
                  <wps:wsp>
                    <wps:cNvSpPr>
                      <a:spLocks noGrp="1" noSelect="1" noRot="1" noChangeAspect="1" noResize="1" noEditPoints="1" noAdjustHandles="1" noChangeArrowheads="1" noChangeShapeType="1" noTextEdit="1"/>
                    </wps:cNvSpPr>
                    <wps:spPr bwMode="white">
                      <a:xfrm>
                        <a:off x="0" y="0"/>
                        <a:ext cx="635" cy="63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bodyPr/>
                  </wps:wsp>
                </a:graphicData>
              </a:graphic>
              <wp14:sizeRelH relativeFrom="page">
                <wp14:pctWidth>100000</wp14:pctWidth>
              </wp14:sizeRelH>
              <wp14:sizeRelV relativeFrom="page">
                <wp14:pctHeight>100000</wp14:pctHeight>
              </wp14:sizeRelV>
            </wp:anchor>
          </w:drawing>
        </mc:Choice>
        <mc:Fallback xmlns:w16sdtfl="http://schemas.microsoft.com/office/word/2024/wordml/sdtformatlock" xmlns:w16du="http://schemas.microsoft.com/office/word/2023/wordml/word16du" xmlns:oel="http://schemas.microsoft.com/office/2019/extlst">
          <w:pict>
            <v:rect w14:anchorId="3A6E8FF7" id="Rectangle 1" o:spid="_x0000_s1026" style="position:absolute;margin-left:0;margin-top:0;width:0;height:0;z-index:-251661312;visibility:visible;mso-wrap-style:square;mso-width-percent:1000;mso-height-percent:1000;mso-wrap-distance-left:9pt;mso-wrap-distance-top:0;mso-wrap-distance-right:9pt;mso-wrap-distance-bottom:0;mso-position-horizontal:absolute;mso-position-horizontal-relative:page;mso-position-vertical:absolute;mso-position-vertical-relative:page;mso-width-percent:1000;mso-height-percent:1000;mso-width-relative:page;mso-height-relative:page;v-text-anchor:top" o:bwmode="whit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" stroked="f" strokeweight="0">
              <o:lock v:ext="edit" rotation="t" aspectratio="t" selection="t" verticies="t" text="t" adjusthandles="t" grouping="t" shapetype="t"/>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7CF42" w14:textId="77777777" w:rsidR="0019302D" w:rsidRDefault="006E60C5">
    <w:r>
      <w:rPr>
        <w:noProof/>
      </w:rPr>
      <w:drawing>
        <wp:anchor distT="0" distB="0" distL="0" distR="0" simplePos="0" relativeHeight="251658240" behindDoc="1" locked="0" layoutInCell="1" hidden="0" allowOverlap="1" wp14:anchorId="0F3BA647" wp14:editId="07E48284">
          <wp:simplePos x="0" y="0"/>
          <wp:positionH relativeFrom="margin">
            <wp:posOffset>-2520315</wp:posOffset>
          </wp:positionH>
          <wp:positionV relativeFrom="margin">
            <wp:posOffset>-1337342</wp:posOffset>
          </wp:positionV>
          <wp:extent cx="7556896" cy="10681259"/>
          <wp:effectExtent l="0" t="0" r="0" b="0"/>
          <wp:wrapNone/>
          <wp:docPr id="1646502579" name="image2.png"/>
          <wp:cNvGraphicFramePr/>
          <a:graphic xmlns:a="http://schemas.openxmlformats.org/drawingml/2006/main">
            <a:graphicData uri="http://schemas.openxmlformats.org/drawingml/2006/picture">
              <pic:pic xmlns:pic="http://schemas.openxmlformats.org/drawingml/2006/picture">
                <pic:nvPicPr>
                  <pic:cNvPr id="1646502579" name="image2.pn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7556896" cy="10681259"/>
                  </a:xfrm>
                  <a:prstGeom prst="rect">
                    <a:avLst/>
                  </a:prstGeom>
                  <a:ln/>
                </pic:spPr>
              </pic:pic>
            </a:graphicData>
          </a:graphic>
        </wp:anchor>
      </w:drawing>
    </w:r>
  </w:p>
  <w:p w14:paraId="7E41D6CB" w14:textId="77777777" w:rsidR="00FF72DC" w:rsidRDefault="00CF390C">
    <w:r>
      <w:rPr>
        <w:noProof/>
      </w:rPr>
      <mc:AlternateContent>
        <mc:Choice Requires="wps">
          <w:drawing>
            <wp:anchor distT="0" distB="0" distL="114300" distR="114300" simplePos="0" relativeHeight="251657216" behindDoc="1" locked="0" layoutInCell="1" allowOverlap="1" wp14:anchorId="42B11BCF" wp14:editId="1F84A2F3">
              <wp:simplePos x="0" y="0"/>
              <wp:positionH relativeFrom="page">
                <wp:posOffset>0</wp:posOffset>
              </wp:positionH>
              <wp:positionV relativeFrom="page">
                <wp:posOffset>0</wp:posOffset>
              </wp:positionV>
              <wp:extent cx="0" cy="0"/>
              <wp:effectExtent l="0" t="0" r="0" b="0"/>
              <wp:wrapNone/>
              <wp:docPr id="651048972" name="Rectangle 1">
                <a:extLst xmlns:a="http://schemas.openxmlformats.org/drawingml/2006/main">
                  <a:ext uri="{A998136B-4AC2-44c3-8CCF-79AB77ABDD1D}">
                    <a15:backgroundPr xmlns:a15="http://schemas.microsoft.com/office/drawing/2012/main" bwMode="white" bwPure="auto" bwNormal="auto" targetScreenSize="1024x768"/>
                  </a:ext>
                </a:extLst>
              </wp:docPr>
              <wp:cNvGraphicFramePr>
                <a:graphicFrameLocks xmlns:a="http://schemas.openxmlformats.org/drawingml/2006/main" noGrp="1" noDrilldown="1" noSelect="1" noChangeAspect="1" noResize="1"/>
              </wp:cNvGraphicFramePr>
              <a:graphic xmlns:a="http://schemas.openxmlformats.org/drawingml/2006/main">
                <a:graphicData uri="http://schemas.microsoft.com/office/word/2010/wordprocessingShape">
                  <wps:wsp>
                    <wps:cNvSpPr>
                      <a:spLocks noGrp="1" noSelect="1" noRot="1" noChangeAspect="1" noResize="1" noEditPoints="1" noAdjustHandles="1" noChangeArrowheads="1" noChangeShapeType="1" noTextEdit="1"/>
                    </wps:cNvSpPr>
                    <wps:spPr bwMode="white">
                      <a:xfrm>
                        <a:off x="0" y="0"/>
                        <a:ext cx="635" cy="63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bodyPr/>
                  </wps:wsp>
                </a:graphicData>
              </a:graphic>
              <wp14:sizeRelH relativeFrom="page">
                <wp14:pctWidth>100000</wp14:pctWidth>
              </wp14:sizeRelH>
              <wp14:sizeRelV relativeFrom="page">
                <wp14:pctHeight>100000</wp14:pctHeight>
              </wp14:sizeRelV>
            </wp:anchor>
          </w:drawing>
        </mc:Choice>
        <mc:Fallback xmlns:w16sdtfl="http://schemas.microsoft.com/office/word/2024/wordml/sdtformatlock" xmlns:w16du="http://schemas.microsoft.com/office/word/2023/wordml/word16du" xmlns:oel="http://schemas.microsoft.com/office/2019/extlst">
          <w:pict>
            <v:rect w14:anchorId="37689EAD" id="Rectangle 1" o:spid="_x0000_s1026" style="position:absolute;margin-left:0;margin-top:0;width:0;height:0;z-index:-251659264;visibility:visible;mso-wrap-style:square;mso-width-percent:1000;mso-height-percent:1000;mso-wrap-distance-left:9pt;mso-wrap-distance-top:0;mso-wrap-distance-right:9pt;mso-wrap-distance-bottom:0;mso-position-horizontal:absolute;mso-position-horizontal-relative:page;mso-position-vertical:absolute;mso-position-vertical-relative:page;mso-width-percent:1000;mso-height-percent:1000;mso-width-relative:page;mso-height-relative:page;v-text-anchor:top" o:bwmode="whit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" stroked="f" strokeweight="0">
              <o:lock v:ext="edit" rotation="t" aspectratio="t" selection="t" verticies="t" text="t" adjusthandles="t" grouping="t" shapetype="t"/>
              <w10:wrap anchorx="page"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81DF8" w14:textId="77777777" w:rsidR="0019302D" w:rsidRDefault="0019302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37E4E2" w14:textId="77777777" w:rsidR="0019302D" w:rsidRDefault="0019302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351F2A"/>
    <w:multiLevelType w:val="hybridMultilevel"/>
    <w:tmpl w:val="D90C1D4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6B655962"/>
    <w:multiLevelType w:val="multilevel"/>
    <w:tmpl w:val="BA946E8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TrueTypeFont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302D"/>
    <w:rsid w:val="00002753"/>
    <w:rsid w:val="00003C12"/>
    <w:rsid w:val="000125D8"/>
    <w:rsid w:val="00022B17"/>
    <w:rsid w:val="0003725E"/>
    <w:rsid w:val="00046099"/>
    <w:rsid w:val="0004609A"/>
    <w:rsid w:val="00051403"/>
    <w:rsid w:val="00051F3D"/>
    <w:rsid w:val="00065DF1"/>
    <w:rsid w:val="00070F0D"/>
    <w:rsid w:val="000775F7"/>
    <w:rsid w:val="00082C1B"/>
    <w:rsid w:val="000903BD"/>
    <w:rsid w:val="00090A65"/>
    <w:rsid w:val="000915B2"/>
    <w:rsid w:val="00092C07"/>
    <w:rsid w:val="000A4029"/>
    <w:rsid w:val="000A5870"/>
    <w:rsid w:val="000A6DD7"/>
    <w:rsid w:val="000B7919"/>
    <w:rsid w:val="000C7F58"/>
    <w:rsid w:val="000E0ED3"/>
    <w:rsid w:val="000F0375"/>
    <w:rsid w:val="000F3F26"/>
    <w:rsid w:val="00114FFF"/>
    <w:rsid w:val="001159D2"/>
    <w:rsid w:val="00123492"/>
    <w:rsid w:val="0013181F"/>
    <w:rsid w:val="001419D9"/>
    <w:rsid w:val="001460B9"/>
    <w:rsid w:val="001510B6"/>
    <w:rsid w:val="00153C37"/>
    <w:rsid w:val="00165BFF"/>
    <w:rsid w:val="00172311"/>
    <w:rsid w:val="0018158D"/>
    <w:rsid w:val="0018591E"/>
    <w:rsid w:val="0018645B"/>
    <w:rsid w:val="001865B5"/>
    <w:rsid w:val="0019302D"/>
    <w:rsid w:val="00193A09"/>
    <w:rsid w:val="001A7126"/>
    <w:rsid w:val="001A743C"/>
    <w:rsid w:val="001C0B78"/>
    <w:rsid w:val="001D048B"/>
    <w:rsid w:val="001D1636"/>
    <w:rsid w:val="001D7EFD"/>
    <w:rsid w:val="001E058A"/>
    <w:rsid w:val="001E431D"/>
    <w:rsid w:val="001F343D"/>
    <w:rsid w:val="00216A1B"/>
    <w:rsid w:val="00216F63"/>
    <w:rsid w:val="00225577"/>
    <w:rsid w:val="002408FB"/>
    <w:rsid w:val="00243C38"/>
    <w:rsid w:val="00245B86"/>
    <w:rsid w:val="0025083A"/>
    <w:rsid w:val="0025493C"/>
    <w:rsid w:val="002556AB"/>
    <w:rsid w:val="00273018"/>
    <w:rsid w:val="00277860"/>
    <w:rsid w:val="00277D7B"/>
    <w:rsid w:val="002A0FE2"/>
    <w:rsid w:val="002A1DE8"/>
    <w:rsid w:val="002A2626"/>
    <w:rsid w:val="002A3C6D"/>
    <w:rsid w:val="002B4854"/>
    <w:rsid w:val="002C03E5"/>
    <w:rsid w:val="002C077E"/>
    <w:rsid w:val="002C5907"/>
    <w:rsid w:val="002C7B1C"/>
    <w:rsid w:val="002C7C65"/>
    <w:rsid w:val="002D2DDF"/>
    <w:rsid w:val="002E01FB"/>
    <w:rsid w:val="002E2945"/>
    <w:rsid w:val="002F0130"/>
    <w:rsid w:val="002F1E58"/>
    <w:rsid w:val="002F36C5"/>
    <w:rsid w:val="002F39B1"/>
    <w:rsid w:val="002F3D1F"/>
    <w:rsid w:val="00301A6A"/>
    <w:rsid w:val="00311CD0"/>
    <w:rsid w:val="00321342"/>
    <w:rsid w:val="00334052"/>
    <w:rsid w:val="003350CA"/>
    <w:rsid w:val="00346FF2"/>
    <w:rsid w:val="00351C6C"/>
    <w:rsid w:val="003534CE"/>
    <w:rsid w:val="00354091"/>
    <w:rsid w:val="0035677F"/>
    <w:rsid w:val="003618C5"/>
    <w:rsid w:val="0037575C"/>
    <w:rsid w:val="003757AE"/>
    <w:rsid w:val="003773E4"/>
    <w:rsid w:val="00380137"/>
    <w:rsid w:val="00383E43"/>
    <w:rsid w:val="003A0C73"/>
    <w:rsid w:val="003B0EF4"/>
    <w:rsid w:val="003B55AA"/>
    <w:rsid w:val="003C1C62"/>
    <w:rsid w:val="003C3885"/>
    <w:rsid w:val="003C496D"/>
    <w:rsid w:val="003C52CA"/>
    <w:rsid w:val="003F1814"/>
    <w:rsid w:val="003F2FA5"/>
    <w:rsid w:val="00400D7B"/>
    <w:rsid w:val="00405895"/>
    <w:rsid w:val="00412D5C"/>
    <w:rsid w:val="00415EAD"/>
    <w:rsid w:val="004161AF"/>
    <w:rsid w:val="004234BF"/>
    <w:rsid w:val="00424323"/>
    <w:rsid w:val="00425F51"/>
    <w:rsid w:val="00442A3C"/>
    <w:rsid w:val="00443256"/>
    <w:rsid w:val="00447267"/>
    <w:rsid w:val="0046079D"/>
    <w:rsid w:val="00465D91"/>
    <w:rsid w:val="00467210"/>
    <w:rsid w:val="00474B31"/>
    <w:rsid w:val="0047551A"/>
    <w:rsid w:val="00481067"/>
    <w:rsid w:val="00481572"/>
    <w:rsid w:val="00486163"/>
    <w:rsid w:val="004A5D56"/>
    <w:rsid w:val="004A7551"/>
    <w:rsid w:val="004B1746"/>
    <w:rsid w:val="004B23B3"/>
    <w:rsid w:val="004B3C1E"/>
    <w:rsid w:val="004D5636"/>
    <w:rsid w:val="004D5793"/>
    <w:rsid w:val="004E05F7"/>
    <w:rsid w:val="004E1267"/>
    <w:rsid w:val="004E4D7F"/>
    <w:rsid w:val="004F1654"/>
    <w:rsid w:val="004F7847"/>
    <w:rsid w:val="00510876"/>
    <w:rsid w:val="005115D9"/>
    <w:rsid w:val="00530FEC"/>
    <w:rsid w:val="005312B0"/>
    <w:rsid w:val="00534DC2"/>
    <w:rsid w:val="00534F63"/>
    <w:rsid w:val="00535232"/>
    <w:rsid w:val="00536079"/>
    <w:rsid w:val="0054362C"/>
    <w:rsid w:val="00552919"/>
    <w:rsid w:val="00556F99"/>
    <w:rsid w:val="00571034"/>
    <w:rsid w:val="00572248"/>
    <w:rsid w:val="005747DA"/>
    <w:rsid w:val="005747EA"/>
    <w:rsid w:val="0057683D"/>
    <w:rsid w:val="0058140E"/>
    <w:rsid w:val="00594191"/>
    <w:rsid w:val="00595B4E"/>
    <w:rsid w:val="005A687D"/>
    <w:rsid w:val="005C14F8"/>
    <w:rsid w:val="005E076F"/>
    <w:rsid w:val="005E18AD"/>
    <w:rsid w:val="005E232A"/>
    <w:rsid w:val="005E5022"/>
    <w:rsid w:val="005E5334"/>
    <w:rsid w:val="005F0510"/>
    <w:rsid w:val="005F06E7"/>
    <w:rsid w:val="005F4619"/>
    <w:rsid w:val="005F697A"/>
    <w:rsid w:val="006037DA"/>
    <w:rsid w:val="00606794"/>
    <w:rsid w:val="00610D6D"/>
    <w:rsid w:val="006146EE"/>
    <w:rsid w:val="00621505"/>
    <w:rsid w:val="006216F4"/>
    <w:rsid w:val="006220DF"/>
    <w:rsid w:val="006620BD"/>
    <w:rsid w:val="00662635"/>
    <w:rsid w:val="0066560C"/>
    <w:rsid w:val="006732EC"/>
    <w:rsid w:val="006837BC"/>
    <w:rsid w:val="006844BE"/>
    <w:rsid w:val="006845BE"/>
    <w:rsid w:val="00691BEC"/>
    <w:rsid w:val="00693D67"/>
    <w:rsid w:val="00695C97"/>
    <w:rsid w:val="006A16B3"/>
    <w:rsid w:val="006A7F20"/>
    <w:rsid w:val="006B7277"/>
    <w:rsid w:val="006B7816"/>
    <w:rsid w:val="006C1DF6"/>
    <w:rsid w:val="006C39BD"/>
    <w:rsid w:val="006C767A"/>
    <w:rsid w:val="006D373E"/>
    <w:rsid w:val="006D4679"/>
    <w:rsid w:val="006E1C38"/>
    <w:rsid w:val="006E4B65"/>
    <w:rsid w:val="006E60C5"/>
    <w:rsid w:val="006E68C8"/>
    <w:rsid w:val="006E6AEE"/>
    <w:rsid w:val="006F3A29"/>
    <w:rsid w:val="006F3DD0"/>
    <w:rsid w:val="007036D8"/>
    <w:rsid w:val="007121EE"/>
    <w:rsid w:val="007137B1"/>
    <w:rsid w:val="00724407"/>
    <w:rsid w:val="00730744"/>
    <w:rsid w:val="00732FEE"/>
    <w:rsid w:val="00750DE8"/>
    <w:rsid w:val="00751EA5"/>
    <w:rsid w:val="007540DE"/>
    <w:rsid w:val="00754BAA"/>
    <w:rsid w:val="00760402"/>
    <w:rsid w:val="00763A61"/>
    <w:rsid w:val="007844A3"/>
    <w:rsid w:val="00787C75"/>
    <w:rsid w:val="00790D60"/>
    <w:rsid w:val="007958DD"/>
    <w:rsid w:val="007A301F"/>
    <w:rsid w:val="007A6DA4"/>
    <w:rsid w:val="007B56E9"/>
    <w:rsid w:val="007C1376"/>
    <w:rsid w:val="007C68D6"/>
    <w:rsid w:val="007D0B17"/>
    <w:rsid w:val="007D58E9"/>
    <w:rsid w:val="007D78CE"/>
    <w:rsid w:val="007F57E1"/>
    <w:rsid w:val="00805A62"/>
    <w:rsid w:val="008134D8"/>
    <w:rsid w:val="008142A4"/>
    <w:rsid w:val="00816BF6"/>
    <w:rsid w:val="00826944"/>
    <w:rsid w:val="008302DA"/>
    <w:rsid w:val="008373C5"/>
    <w:rsid w:val="00855237"/>
    <w:rsid w:val="008556DC"/>
    <w:rsid w:val="008753DB"/>
    <w:rsid w:val="0087772A"/>
    <w:rsid w:val="0088384A"/>
    <w:rsid w:val="00885C05"/>
    <w:rsid w:val="00891D67"/>
    <w:rsid w:val="008923DD"/>
    <w:rsid w:val="008A43D5"/>
    <w:rsid w:val="008A6465"/>
    <w:rsid w:val="008B2A32"/>
    <w:rsid w:val="008D7798"/>
    <w:rsid w:val="008E1604"/>
    <w:rsid w:val="008E52BB"/>
    <w:rsid w:val="008F6291"/>
    <w:rsid w:val="008F70D1"/>
    <w:rsid w:val="00904F29"/>
    <w:rsid w:val="0091082D"/>
    <w:rsid w:val="00911A7B"/>
    <w:rsid w:val="009202EB"/>
    <w:rsid w:val="0092398D"/>
    <w:rsid w:val="00931E87"/>
    <w:rsid w:val="00934B7D"/>
    <w:rsid w:val="0094314A"/>
    <w:rsid w:val="00943DA5"/>
    <w:rsid w:val="00952F23"/>
    <w:rsid w:val="009530CA"/>
    <w:rsid w:val="0096742E"/>
    <w:rsid w:val="00975B86"/>
    <w:rsid w:val="00980455"/>
    <w:rsid w:val="00991AC5"/>
    <w:rsid w:val="00991C03"/>
    <w:rsid w:val="00992CD7"/>
    <w:rsid w:val="009A01EE"/>
    <w:rsid w:val="009A4E9E"/>
    <w:rsid w:val="009A6CC6"/>
    <w:rsid w:val="009A7BD0"/>
    <w:rsid w:val="009B1B8B"/>
    <w:rsid w:val="009B3E81"/>
    <w:rsid w:val="009B538B"/>
    <w:rsid w:val="009D44F6"/>
    <w:rsid w:val="009D4504"/>
    <w:rsid w:val="009D66A7"/>
    <w:rsid w:val="009E0DFA"/>
    <w:rsid w:val="009F3FC0"/>
    <w:rsid w:val="009F7684"/>
    <w:rsid w:val="00A017C8"/>
    <w:rsid w:val="00A052F3"/>
    <w:rsid w:val="00A12056"/>
    <w:rsid w:val="00A20319"/>
    <w:rsid w:val="00A25201"/>
    <w:rsid w:val="00A42414"/>
    <w:rsid w:val="00A47111"/>
    <w:rsid w:val="00A50DBF"/>
    <w:rsid w:val="00A524E7"/>
    <w:rsid w:val="00A57E80"/>
    <w:rsid w:val="00A66FD2"/>
    <w:rsid w:val="00A835B0"/>
    <w:rsid w:val="00A86435"/>
    <w:rsid w:val="00A90C4D"/>
    <w:rsid w:val="00A92C89"/>
    <w:rsid w:val="00A96848"/>
    <w:rsid w:val="00AA14BC"/>
    <w:rsid w:val="00AA2437"/>
    <w:rsid w:val="00AA4858"/>
    <w:rsid w:val="00AA58A0"/>
    <w:rsid w:val="00AA60B8"/>
    <w:rsid w:val="00AA6D95"/>
    <w:rsid w:val="00AB1166"/>
    <w:rsid w:val="00AC759A"/>
    <w:rsid w:val="00AD2C36"/>
    <w:rsid w:val="00AD6FFE"/>
    <w:rsid w:val="00AE5460"/>
    <w:rsid w:val="00AF42D2"/>
    <w:rsid w:val="00AF550C"/>
    <w:rsid w:val="00AF5DBD"/>
    <w:rsid w:val="00AF623E"/>
    <w:rsid w:val="00AF7A48"/>
    <w:rsid w:val="00B007C2"/>
    <w:rsid w:val="00B00FFB"/>
    <w:rsid w:val="00B0429F"/>
    <w:rsid w:val="00B1597D"/>
    <w:rsid w:val="00B2480F"/>
    <w:rsid w:val="00B30F03"/>
    <w:rsid w:val="00B42DB8"/>
    <w:rsid w:val="00B47A2F"/>
    <w:rsid w:val="00B56186"/>
    <w:rsid w:val="00B622F9"/>
    <w:rsid w:val="00B6637F"/>
    <w:rsid w:val="00B66EAC"/>
    <w:rsid w:val="00B72AF3"/>
    <w:rsid w:val="00B75A50"/>
    <w:rsid w:val="00B765A9"/>
    <w:rsid w:val="00B767F5"/>
    <w:rsid w:val="00B90601"/>
    <w:rsid w:val="00B942DE"/>
    <w:rsid w:val="00B9702C"/>
    <w:rsid w:val="00BA1BBC"/>
    <w:rsid w:val="00BA73FD"/>
    <w:rsid w:val="00BD0E8F"/>
    <w:rsid w:val="00BD6485"/>
    <w:rsid w:val="00BD7D42"/>
    <w:rsid w:val="00BE563E"/>
    <w:rsid w:val="00BF02D4"/>
    <w:rsid w:val="00C12EC6"/>
    <w:rsid w:val="00C1778A"/>
    <w:rsid w:val="00C21633"/>
    <w:rsid w:val="00C229A9"/>
    <w:rsid w:val="00C323A2"/>
    <w:rsid w:val="00C3639C"/>
    <w:rsid w:val="00C3668E"/>
    <w:rsid w:val="00C3762B"/>
    <w:rsid w:val="00C47A29"/>
    <w:rsid w:val="00C511B0"/>
    <w:rsid w:val="00C63ECD"/>
    <w:rsid w:val="00C8671B"/>
    <w:rsid w:val="00CA2845"/>
    <w:rsid w:val="00CA5E31"/>
    <w:rsid w:val="00CA7020"/>
    <w:rsid w:val="00CB7FEC"/>
    <w:rsid w:val="00CC23BE"/>
    <w:rsid w:val="00CE06F2"/>
    <w:rsid w:val="00CE2956"/>
    <w:rsid w:val="00CE49D3"/>
    <w:rsid w:val="00CF390C"/>
    <w:rsid w:val="00CF3D3A"/>
    <w:rsid w:val="00D03817"/>
    <w:rsid w:val="00D10325"/>
    <w:rsid w:val="00D20DE7"/>
    <w:rsid w:val="00D23399"/>
    <w:rsid w:val="00D25262"/>
    <w:rsid w:val="00D3394C"/>
    <w:rsid w:val="00D374DF"/>
    <w:rsid w:val="00D37F65"/>
    <w:rsid w:val="00D512B3"/>
    <w:rsid w:val="00D5332C"/>
    <w:rsid w:val="00D56A43"/>
    <w:rsid w:val="00D57335"/>
    <w:rsid w:val="00D66C5E"/>
    <w:rsid w:val="00D75445"/>
    <w:rsid w:val="00D80597"/>
    <w:rsid w:val="00D8187A"/>
    <w:rsid w:val="00D85206"/>
    <w:rsid w:val="00D87DDD"/>
    <w:rsid w:val="00D9566D"/>
    <w:rsid w:val="00D96C30"/>
    <w:rsid w:val="00DA0DA2"/>
    <w:rsid w:val="00DC74EC"/>
    <w:rsid w:val="00DD41D6"/>
    <w:rsid w:val="00DD60E4"/>
    <w:rsid w:val="00DE3264"/>
    <w:rsid w:val="00DE5D93"/>
    <w:rsid w:val="00DE7ED5"/>
    <w:rsid w:val="00DF538D"/>
    <w:rsid w:val="00E02FF9"/>
    <w:rsid w:val="00E07547"/>
    <w:rsid w:val="00E3272D"/>
    <w:rsid w:val="00E37D63"/>
    <w:rsid w:val="00E402E6"/>
    <w:rsid w:val="00E40479"/>
    <w:rsid w:val="00E4086C"/>
    <w:rsid w:val="00E51C18"/>
    <w:rsid w:val="00E524C4"/>
    <w:rsid w:val="00E57F58"/>
    <w:rsid w:val="00E65422"/>
    <w:rsid w:val="00E665EA"/>
    <w:rsid w:val="00E73A42"/>
    <w:rsid w:val="00E75349"/>
    <w:rsid w:val="00E825C7"/>
    <w:rsid w:val="00E860FF"/>
    <w:rsid w:val="00E923E3"/>
    <w:rsid w:val="00E92779"/>
    <w:rsid w:val="00EA36EF"/>
    <w:rsid w:val="00EB2AE3"/>
    <w:rsid w:val="00EB3627"/>
    <w:rsid w:val="00ED0EF1"/>
    <w:rsid w:val="00ED127A"/>
    <w:rsid w:val="00EF1DAC"/>
    <w:rsid w:val="00EF2379"/>
    <w:rsid w:val="00EF538A"/>
    <w:rsid w:val="00F12442"/>
    <w:rsid w:val="00F15DFF"/>
    <w:rsid w:val="00F17378"/>
    <w:rsid w:val="00F257D9"/>
    <w:rsid w:val="00F26567"/>
    <w:rsid w:val="00F3701B"/>
    <w:rsid w:val="00F40F59"/>
    <w:rsid w:val="00F52F2B"/>
    <w:rsid w:val="00F57E61"/>
    <w:rsid w:val="00F63D4F"/>
    <w:rsid w:val="00F67AC2"/>
    <w:rsid w:val="00F73E5C"/>
    <w:rsid w:val="00F80BC6"/>
    <w:rsid w:val="00F900BB"/>
    <w:rsid w:val="00F90FDC"/>
    <w:rsid w:val="00F97A41"/>
    <w:rsid w:val="00FA6865"/>
    <w:rsid w:val="00FB0A75"/>
    <w:rsid w:val="00FB10B5"/>
    <w:rsid w:val="00FB1C58"/>
    <w:rsid w:val="00FB2631"/>
    <w:rsid w:val="00FB47F3"/>
    <w:rsid w:val="00FD69E2"/>
    <w:rsid w:val="00FD7D5D"/>
    <w:rsid w:val="00FE042D"/>
    <w:rsid w:val="00FE054C"/>
    <w:rsid w:val="00FE3CC4"/>
    <w:rsid w:val="00FE610C"/>
    <w:rsid w:val="00FE6B68"/>
    <w:rsid w:val="00FF72DC"/>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7791AF"/>
  <w15:docId w15:val="{E2E49292-1B10-4F8D-8A17-FF6A4BCC4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Helvetica Neue Light" w:eastAsia="Helvetica Neue Light" w:hAnsi="Helvetica Neue Light" w:cs="Helvetica Neue Light"/>
        <w:sz w:val="22"/>
        <w:szCs w:val="22"/>
        <w:lang w:val="pt-PT" w:eastAsia="pt-PT" w:bidi="ar-SA"/>
      </w:rPr>
    </w:rPrDefault>
    <w:pPrDefault>
      <w:pPr>
        <w:spacing w:before="200" w:line="288" w:lineRule="auto"/>
        <w:ind w:right="16"/>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0"/>
      <w:ind w:right="0"/>
      <w:jc w:val="left"/>
      <w:outlineLvl w:val="0"/>
    </w:pPr>
    <w:rPr>
      <w:rFonts w:ascii="Helvetica Neue" w:eastAsia="Helvetica Neue" w:hAnsi="Helvetica Neue" w:cs="Helvetica Neue"/>
      <w:b/>
      <w:bCs/>
      <w:sz w:val="28"/>
      <w:szCs w:val="28"/>
    </w:rPr>
  </w:style>
  <w:style w:type="paragraph" w:styleId="Ttulo2">
    <w:name w:val="heading 2"/>
    <w:basedOn w:val="Normal"/>
    <w:next w:val="Normal"/>
    <w:uiPriority w:val="9"/>
    <w:semiHidden/>
    <w:unhideWhenUsed/>
    <w:qFormat/>
    <w:pPr>
      <w:keepNext/>
      <w:keepLines/>
      <w:spacing w:before="240" w:after="240"/>
      <w:ind w:left="340" w:right="0"/>
      <w:jc w:val="left"/>
      <w:outlineLvl w:val="1"/>
    </w:pPr>
    <w:rPr>
      <w:rFonts w:ascii="Helvetica Neue" w:eastAsia="Helvetica Neue" w:hAnsi="Helvetica Neue" w:cs="Helvetica Neue"/>
      <w:b/>
      <w:bCs/>
    </w:rPr>
  </w:style>
  <w:style w:type="paragraph" w:styleId="Ttulo3">
    <w:name w:val="heading 3"/>
    <w:basedOn w:val="Normal"/>
    <w:next w:val="Normal"/>
    <w:uiPriority w:val="9"/>
    <w:semiHidden/>
    <w:unhideWhenUsed/>
    <w:qFormat/>
    <w:pPr>
      <w:keepNext/>
      <w:keepLines/>
      <w:spacing w:before="120" w:after="120"/>
      <w:ind w:right="0"/>
      <w:jc w:val="left"/>
      <w:outlineLvl w:val="2"/>
    </w:pPr>
    <w:rPr>
      <w:b/>
      <w:bCs/>
      <w:color w:val="9CCDF2"/>
      <w:sz w:val="28"/>
      <w:szCs w:val="28"/>
    </w:rPr>
  </w:style>
  <w:style w:type="paragraph" w:styleId="Ttulo4">
    <w:name w:val="heading 4"/>
    <w:basedOn w:val="Normal"/>
    <w:next w:val="Normal"/>
    <w:uiPriority w:val="9"/>
    <w:semiHidden/>
    <w:unhideWhenUsed/>
    <w:qFormat/>
    <w:pPr>
      <w:keepNext/>
      <w:keepLines/>
      <w:spacing w:before="240"/>
      <w:ind w:right="0"/>
      <w:outlineLvl w:val="3"/>
    </w:pPr>
    <w:rPr>
      <w:color w:val="9ECEF1"/>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iCs/>
      <w:color w:val="66666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0"/>
      <w:ind w:right="0"/>
      <w:jc w:val="left"/>
    </w:pPr>
    <w:rPr>
      <w:rFonts w:ascii="Helvetica Neue" w:eastAsia="Helvetica Neue" w:hAnsi="Helvetica Neue" w:cs="Helvetica Neue"/>
      <w:b/>
      <w:bCs/>
      <w:sz w:val="28"/>
      <w:szCs w:val="28"/>
    </w:rPr>
  </w:style>
  <w:style w:type="table" w:customStyle="1" w:styleId="TableNormal3">
    <w:name w:val="TableNormal3"/>
    <w:tblPr>
      <w:tblCellMar>
        <w:top w:w="100" w:type="dxa"/>
        <w:left w:w="100" w:type="dxa"/>
        <w:bottom w:w="100" w:type="dxa"/>
        <w:right w:w="100" w:type="dxa"/>
      </w:tblCellMar>
    </w:tblPr>
  </w:style>
  <w:style w:type="table" w:customStyle="1" w:styleId="TableNormal2">
    <w:name w:val="TableNormal2"/>
    <w:tblPr>
      <w:tblCellMar>
        <w:top w:w="100" w:type="dxa"/>
        <w:left w:w="100" w:type="dxa"/>
        <w:bottom w:w="100" w:type="dxa"/>
        <w:right w:w="100" w:type="dxa"/>
      </w:tblCellMar>
    </w:tblPr>
  </w:style>
  <w:style w:type="table" w:customStyle="1" w:styleId="TableNormal1">
    <w:name w:val="TableNormal1"/>
    <w:tblPr>
      <w:tblCellMar>
        <w:top w:w="100" w:type="dxa"/>
        <w:left w:w="100" w:type="dxa"/>
        <w:bottom w:w="100" w:type="dxa"/>
        <w:right w:w="100" w:type="dxa"/>
      </w:tblCellMar>
    </w:tblPr>
  </w:style>
  <w:style w:type="table" w:customStyle="1" w:styleId="TableNormal0">
    <w:name w:val="Table Normal"/>
    <w:tblPr>
      <w:tblCellMar>
        <w:top w:w="0" w:type="dxa"/>
        <w:left w:w="0" w:type="dxa"/>
        <w:bottom w:w="0" w:type="dxa"/>
        <w:right w:w="0" w:type="dxa"/>
      </w:tblCellMar>
    </w:tblPr>
  </w:style>
  <w:style w:type="table" w:customStyle="1" w:styleId="TableNormal15">
    <w:name w:val="Table Normal15"/>
    <w:tblPr>
      <w:tblCellMar>
        <w:top w:w="0" w:type="dxa"/>
        <w:left w:w="0" w:type="dxa"/>
        <w:bottom w:w="0" w:type="dxa"/>
        <w:right w:w="0" w:type="dxa"/>
      </w:tblCellMar>
    </w:tblPr>
  </w:style>
  <w:style w:type="table" w:customStyle="1" w:styleId="TableNormal14">
    <w:name w:val="Table Normal14"/>
    <w:tblPr>
      <w:tblCellMar>
        <w:top w:w="0" w:type="dxa"/>
        <w:left w:w="0" w:type="dxa"/>
        <w:bottom w:w="0" w:type="dxa"/>
        <w:right w:w="0" w:type="dxa"/>
      </w:tblCellMar>
    </w:tblPr>
  </w:style>
  <w:style w:type="table" w:customStyle="1" w:styleId="TableNormal13">
    <w:name w:val="Table Normal13"/>
    <w:tblPr>
      <w:tblCellMar>
        <w:top w:w="0" w:type="dxa"/>
        <w:left w:w="0" w:type="dxa"/>
        <w:bottom w:w="0" w:type="dxa"/>
        <w:right w:w="0" w:type="dxa"/>
      </w:tblCellMar>
    </w:tblPr>
  </w:style>
  <w:style w:type="table" w:customStyle="1" w:styleId="TableNormal12">
    <w:name w:val="Table Normal12"/>
    <w:tblPr>
      <w:tblCellMar>
        <w:top w:w="0" w:type="dxa"/>
        <w:left w:w="0" w:type="dxa"/>
        <w:bottom w:w="0" w:type="dxa"/>
        <w:right w:w="0" w:type="dxa"/>
      </w:tblCellMar>
    </w:tblPr>
  </w:style>
  <w:style w:type="table" w:customStyle="1" w:styleId="TableNormal11">
    <w:name w:val="Table Normal11"/>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table" w:customStyle="1" w:styleId="TableNormal9">
    <w:name w:val="Table Normal9"/>
    <w:tblPr>
      <w:tblCellMar>
        <w:top w:w="0" w:type="dxa"/>
        <w:left w:w="0" w:type="dxa"/>
        <w:bottom w:w="0" w:type="dxa"/>
        <w:right w:w="0" w:type="dxa"/>
      </w:tblCellMar>
    </w:tblPr>
  </w:style>
  <w:style w:type="table" w:customStyle="1" w:styleId="TableNormal8">
    <w:name w:val="Table Normal8"/>
    <w:tblPr>
      <w:tblCellMar>
        <w:top w:w="0" w:type="dxa"/>
        <w:left w:w="0" w:type="dxa"/>
        <w:bottom w:w="0" w:type="dxa"/>
        <w:right w:w="0" w:type="dxa"/>
      </w:tblCellMar>
    </w:tblPr>
  </w:style>
  <w:style w:type="table" w:customStyle="1" w:styleId="TableNormal7">
    <w:name w:val="Table Normal7"/>
    <w:tblPr>
      <w:tblCellMar>
        <w:top w:w="0" w:type="dxa"/>
        <w:left w:w="0" w:type="dxa"/>
        <w:bottom w:w="0" w:type="dxa"/>
        <w:right w:w="0" w:type="dxa"/>
      </w:tblCellMar>
    </w:tblPr>
  </w:style>
  <w:style w:type="table" w:customStyle="1" w:styleId="TableNormal6">
    <w:name w:val="Table Normal6"/>
    <w:tblPr>
      <w:tblCellMar>
        <w:top w:w="0" w:type="dxa"/>
        <w:left w:w="0" w:type="dxa"/>
        <w:bottom w:w="0" w:type="dxa"/>
        <w:right w:w="0" w:type="dxa"/>
      </w:tblCellMar>
    </w:tblPr>
  </w:style>
  <w:style w:type="table" w:customStyle="1" w:styleId="TableNormal5">
    <w:name w:val="Table Normal5"/>
    <w:tblPr>
      <w:tblCellMar>
        <w:top w:w="0" w:type="dxa"/>
        <w:left w:w="0" w:type="dxa"/>
        <w:bottom w:w="0" w:type="dxa"/>
        <w:right w:w="0" w:type="dxa"/>
      </w:tblCellMar>
    </w:tblPr>
  </w:style>
  <w:style w:type="table" w:customStyle="1" w:styleId="TableNormal4">
    <w:name w:val="Table Normal4"/>
    <w:tblPr>
      <w:tblCellMar>
        <w:top w:w="0" w:type="dxa"/>
        <w:left w:w="0" w:type="dxa"/>
        <w:bottom w:w="0" w:type="dxa"/>
        <w:right w:w="0" w:type="dxa"/>
      </w:tblCellMar>
    </w:tblPr>
  </w:style>
  <w:style w:type="table" w:customStyle="1" w:styleId="TableNormal30">
    <w:name w:val="Table Normal3"/>
    <w:tblPr>
      <w:tblCellMar>
        <w:top w:w="0" w:type="dxa"/>
        <w:left w:w="0" w:type="dxa"/>
        <w:bottom w:w="0" w:type="dxa"/>
        <w:right w:w="0" w:type="dxa"/>
      </w:tblCellMar>
    </w:tblPr>
  </w:style>
  <w:style w:type="table" w:customStyle="1" w:styleId="TableNormal20">
    <w:name w:val="Table Normal2"/>
    <w:tblPr>
      <w:tblCellMar>
        <w:top w:w="0" w:type="dxa"/>
        <w:left w:w="0" w:type="dxa"/>
        <w:bottom w:w="0" w:type="dxa"/>
        <w:right w:w="0" w:type="dxa"/>
      </w:tblCellMar>
    </w:tblPr>
  </w:style>
  <w:style w:type="table" w:customStyle="1" w:styleId="TableNormal16">
    <w:name w:val="Table Normal1"/>
    <w:tblPr>
      <w:tblCellMar>
        <w:top w:w="0" w:type="dxa"/>
        <w:left w:w="0" w:type="dxa"/>
        <w:bottom w:w="0" w:type="dxa"/>
        <w:right w:w="0" w:type="dxa"/>
      </w:tblCellMar>
    </w:tblPr>
  </w:style>
  <w:style w:type="table" w:customStyle="1" w:styleId="335">
    <w:name w:val="335"/>
    <w:basedOn w:val="TableNormal16"/>
    <w:tblPr>
      <w:tblStyleRowBandSize w:val="1"/>
      <w:tblStyleColBandSize w:val="1"/>
      <w:tblCellMar>
        <w:top w:w="100" w:type="dxa"/>
        <w:left w:w="100" w:type="dxa"/>
        <w:bottom w:w="100" w:type="dxa"/>
        <w:right w:w="100" w:type="dxa"/>
      </w:tblCellMar>
    </w:tblPr>
  </w:style>
  <w:style w:type="table" w:customStyle="1" w:styleId="334">
    <w:name w:val="334"/>
    <w:basedOn w:val="TableNormal16"/>
    <w:tblPr>
      <w:tblStyleRowBandSize w:val="1"/>
      <w:tblStyleColBandSize w:val="1"/>
      <w:tblCellMar>
        <w:top w:w="100" w:type="dxa"/>
        <w:left w:w="100" w:type="dxa"/>
        <w:bottom w:w="100" w:type="dxa"/>
        <w:right w:w="100" w:type="dxa"/>
      </w:tblCellMar>
    </w:tblPr>
  </w:style>
  <w:style w:type="table" w:customStyle="1" w:styleId="333">
    <w:name w:val="333"/>
    <w:basedOn w:val="TableNormal16"/>
    <w:tblPr>
      <w:tblStyleRowBandSize w:val="1"/>
      <w:tblStyleColBandSize w:val="1"/>
      <w:tblCellMar>
        <w:top w:w="100" w:type="dxa"/>
        <w:left w:w="100" w:type="dxa"/>
        <w:bottom w:w="100" w:type="dxa"/>
        <w:right w:w="100" w:type="dxa"/>
      </w:tblCellMar>
    </w:tblPr>
  </w:style>
  <w:style w:type="table" w:customStyle="1" w:styleId="332">
    <w:name w:val="332"/>
    <w:basedOn w:val="TableNormal16"/>
    <w:tblPr>
      <w:tblStyleRowBandSize w:val="1"/>
      <w:tblStyleColBandSize w:val="1"/>
      <w:tblCellMar>
        <w:top w:w="100" w:type="dxa"/>
        <w:left w:w="100" w:type="dxa"/>
        <w:bottom w:w="100" w:type="dxa"/>
        <w:right w:w="100" w:type="dxa"/>
      </w:tblCellMar>
    </w:tblPr>
  </w:style>
  <w:style w:type="table" w:customStyle="1" w:styleId="331">
    <w:name w:val="331"/>
    <w:basedOn w:val="TableNormal16"/>
    <w:tblPr>
      <w:tblStyleRowBandSize w:val="1"/>
      <w:tblStyleColBandSize w:val="1"/>
      <w:tblCellMar>
        <w:top w:w="100" w:type="dxa"/>
        <w:left w:w="100" w:type="dxa"/>
        <w:bottom w:w="100" w:type="dxa"/>
        <w:right w:w="100" w:type="dxa"/>
      </w:tblCellMar>
    </w:tblPr>
  </w:style>
  <w:style w:type="table" w:customStyle="1" w:styleId="330">
    <w:name w:val="330"/>
    <w:basedOn w:val="TableNormal16"/>
    <w:tblPr>
      <w:tblStyleRowBandSize w:val="1"/>
      <w:tblStyleColBandSize w:val="1"/>
      <w:tblCellMar>
        <w:top w:w="100" w:type="dxa"/>
        <w:left w:w="100" w:type="dxa"/>
        <w:bottom w:w="100" w:type="dxa"/>
        <w:right w:w="100" w:type="dxa"/>
      </w:tblCellMar>
    </w:tblPr>
  </w:style>
  <w:style w:type="table" w:customStyle="1" w:styleId="329">
    <w:name w:val="329"/>
    <w:basedOn w:val="TableNormal16"/>
    <w:tblPr>
      <w:tblStyleRowBandSize w:val="1"/>
      <w:tblStyleColBandSize w:val="1"/>
      <w:tblCellMar>
        <w:top w:w="100" w:type="dxa"/>
        <w:left w:w="100" w:type="dxa"/>
        <w:bottom w:w="100" w:type="dxa"/>
        <w:right w:w="100" w:type="dxa"/>
      </w:tblCellMar>
    </w:tblPr>
  </w:style>
  <w:style w:type="table" w:customStyle="1" w:styleId="328">
    <w:name w:val="328"/>
    <w:basedOn w:val="TableNormal16"/>
    <w:tblPr>
      <w:tblStyleRowBandSize w:val="1"/>
      <w:tblStyleColBandSize w:val="1"/>
      <w:tblCellMar>
        <w:top w:w="100" w:type="dxa"/>
        <w:left w:w="100" w:type="dxa"/>
        <w:bottom w:w="100" w:type="dxa"/>
        <w:right w:w="100" w:type="dxa"/>
      </w:tblCellMar>
    </w:tblPr>
  </w:style>
  <w:style w:type="table" w:customStyle="1" w:styleId="327">
    <w:name w:val="327"/>
    <w:basedOn w:val="TableNormal16"/>
    <w:tblPr>
      <w:tblStyleRowBandSize w:val="1"/>
      <w:tblStyleColBandSize w:val="1"/>
      <w:tblCellMar>
        <w:top w:w="100" w:type="dxa"/>
        <w:left w:w="100" w:type="dxa"/>
        <w:bottom w:w="100" w:type="dxa"/>
        <w:right w:w="100" w:type="dxa"/>
      </w:tblCellMar>
    </w:tblPr>
  </w:style>
  <w:style w:type="table" w:customStyle="1" w:styleId="326">
    <w:name w:val="326"/>
    <w:basedOn w:val="TableNormal16"/>
    <w:tblPr>
      <w:tblStyleRowBandSize w:val="1"/>
      <w:tblStyleColBandSize w:val="1"/>
      <w:tblCellMar>
        <w:top w:w="100" w:type="dxa"/>
        <w:left w:w="100" w:type="dxa"/>
        <w:bottom w:w="100" w:type="dxa"/>
        <w:right w:w="100" w:type="dxa"/>
      </w:tblCellMar>
    </w:tblPr>
  </w:style>
  <w:style w:type="table" w:customStyle="1" w:styleId="325">
    <w:name w:val="325"/>
    <w:basedOn w:val="TableNormal16"/>
    <w:tblPr>
      <w:tblStyleRowBandSize w:val="1"/>
      <w:tblStyleColBandSize w:val="1"/>
      <w:tblCellMar>
        <w:top w:w="100" w:type="dxa"/>
        <w:left w:w="100" w:type="dxa"/>
        <w:bottom w:w="100" w:type="dxa"/>
        <w:right w:w="100" w:type="dxa"/>
      </w:tblCellMar>
    </w:tblPr>
  </w:style>
  <w:style w:type="table" w:customStyle="1" w:styleId="324">
    <w:name w:val="324"/>
    <w:basedOn w:val="TableNormal16"/>
    <w:tblPr>
      <w:tblStyleRowBandSize w:val="1"/>
      <w:tblStyleColBandSize w:val="1"/>
      <w:tblCellMar>
        <w:top w:w="100" w:type="dxa"/>
        <w:left w:w="100" w:type="dxa"/>
        <w:bottom w:w="100" w:type="dxa"/>
        <w:right w:w="100" w:type="dxa"/>
      </w:tblCellMar>
    </w:tblPr>
  </w:style>
  <w:style w:type="table" w:customStyle="1" w:styleId="323">
    <w:name w:val="323"/>
    <w:basedOn w:val="TableNormal16"/>
    <w:tblPr>
      <w:tblStyleRowBandSize w:val="1"/>
      <w:tblStyleColBandSize w:val="1"/>
      <w:tblCellMar>
        <w:top w:w="100" w:type="dxa"/>
        <w:left w:w="100" w:type="dxa"/>
        <w:bottom w:w="100" w:type="dxa"/>
        <w:right w:w="100" w:type="dxa"/>
      </w:tblCellMar>
    </w:tblPr>
  </w:style>
  <w:style w:type="table" w:customStyle="1" w:styleId="322">
    <w:name w:val="322"/>
    <w:basedOn w:val="TableNormal16"/>
    <w:tblPr>
      <w:tblStyleRowBandSize w:val="1"/>
      <w:tblStyleColBandSize w:val="1"/>
      <w:tblCellMar>
        <w:top w:w="100" w:type="dxa"/>
        <w:left w:w="100" w:type="dxa"/>
        <w:bottom w:w="100" w:type="dxa"/>
        <w:right w:w="100" w:type="dxa"/>
      </w:tblCellMar>
    </w:tblPr>
  </w:style>
  <w:style w:type="table" w:customStyle="1" w:styleId="321">
    <w:name w:val="321"/>
    <w:basedOn w:val="TableNormal16"/>
    <w:tblPr>
      <w:tblStyleRowBandSize w:val="1"/>
      <w:tblStyleColBandSize w:val="1"/>
      <w:tblCellMar>
        <w:top w:w="100" w:type="dxa"/>
        <w:left w:w="100" w:type="dxa"/>
        <w:bottom w:w="100" w:type="dxa"/>
        <w:right w:w="100" w:type="dxa"/>
      </w:tblCellMar>
    </w:tblPr>
  </w:style>
  <w:style w:type="table" w:customStyle="1" w:styleId="320">
    <w:name w:val="320"/>
    <w:basedOn w:val="TableNormal16"/>
    <w:tblPr>
      <w:tblStyleRowBandSize w:val="1"/>
      <w:tblStyleColBandSize w:val="1"/>
      <w:tblCellMar>
        <w:top w:w="100" w:type="dxa"/>
        <w:left w:w="100" w:type="dxa"/>
        <w:bottom w:w="100" w:type="dxa"/>
        <w:right w:w="100" w:type="dxa"/>
      </w:tblCellMar>
    </w:tblPr>
  </w:style>
  <w:style w:type="table" w:customStyle="1" w:styleId="319">
    <w:name w:val="319"/>
    <w:basedOn w:val="TableNormal16"/>
    <w:tblPr>
      <w:tblStyleRowBandSize w:val="1"/>
      <w:tblStyleColBandSize w:val="1"/>
      <w:tblCellMar>
        <w:top w:w="100" w:type="dxa"/>
        <w:left w:w="100" w:type="dxa"/>
        <w:bottom w:w="100" w:type="dxa"/>
        <w:right w:w="100" w:type="dxa"/>
      </w:tblCellMar>
    </w:tblPr>
  </w:style>
  <w:style w:type="table" w:customStyle="1" w:styleId="318">
    <w:name w:val="318"/>
    <w:basedOn w:val="TableNormal16"/>
    <w:tblPr>
      <w:tblStyleRowBandSize w:val="1"/>
      <w:tblStyleColBandSize w:val="1"/>
      <w:tblCellMar>
        <w:top w:w="100" w:type="dxa"/>
        <w:left w:w="100" w:type="dxa"/>
        <w:bottom w:w="100" w:type="dxa"/>
        <w:right w:w="100" w:type="dxa"/>
      </w:tblCellMar>
    </w:tblPr>
  </w:style>
  <w:style w:type="table" w:customStyle="1" w:styleId="317">
    <w:name w:val="317"/>
    <w:basedOn w:val="TableNormal16"/>
    <w:tblPr>
      <w:tblStyleRowBandSize w:val="1"/>
      <w:tblStyleColBandSize w:val="1"/>
      <w:tblCellMar>
        <w:top w:w="100" w:type="dxa"/>
        <w:left w:w="100" w:type="dxa"/>
        <w:bottom w:w="100" w:type="dxa"/>
        <w:right w:w="100" w:type="dxa"/>
      </w:tblCellMar>
    </w:tblPr>
  </w:style>
  <w:style w:type="table" w:customStyle="1" w:styleId="316">
    <w:name w:val="316"/>
    <w:basedOn w:val="TableNormal16"/>
    <w:tblPr>
      <w:tblStyleRowBandSize w:val="1"/>
      <w:tblStyleColBandSize w:val="1"/>
      <w:tblCellMar>
        <w:top w:w="100" w:type="dxa"/>
        <w:left w:w="100" w:type="dxa"/>
        <w:bottom w:w="100" w:type="dxa"/>
        <w:right w:w="100" w:type="dxa"/>
      </w:tblCellMar>
    </w:tblPr>
  </w:style>
  <w:style w:type="table" w:customStyle="1" w:styleId="315">
    <w:name w:val="315"/>
    <w:basedOn w:val="TableNormal16"/>
    <w:tblPr>
      <w:tblStyleRowBandSize w:val="1"/>
      <w:tblStyleColBandSize w:val="1"/>
      <w:tblCellMar>
        <w:top w:w="100" w:type="dxa"/>
        <w:left w:w="100" w:type="dxa"/>
        <w:bottom w:w="100" w:type="dxa"/>
        <w:right w:w="100" w:type="dxa"/>
      </w:tblCellMar>
    </w:tblPr>
  </w:style>
  <w:style w:type="table" w:customStyle="1" w:styleId="314">
    <w:name w:val="314"/>
    <w:basedOn w:val="TableNormal16"/>
    <w:tblPr>
      <w:tblStyleRowBandSize w:val="1"/>
      <w:tblStyleColBandSize w:val="1"/>
      <w:tblCellMar>
        <w:top w:w="100" w:type="dxa"/>
        <w:left w:w="100" w:type="dxa"/>
        <w:bottom w:w="100" w:type="dxa"/>
        <w:right w:w="100" w:type="dxa"/>
      </w:tblCellMar>
    </w:tblPr>
  </w:style>
  <w:style w:type="table" w:customStyle="1" w:styleId="313">
    <w:name w:val="313"/>
    <w:basedOn w:val="TableNormal16"/>
    <w:tblPr>
      <w:tblStyleRowBandSize w:val="1"/>
      <w:tblStyleColBandSize w:val="1"/>
      <w:tblCellMar>
        <w:top w:w="100" w:type="dxa"/>
        <w:left w:w="100" w:type="dxa"/>
        <w:bottom w:w="100" w:type="dxa"/>
        <w:right w:w="100" w:type="dxa"/>
      </w:tblCellMar>
    </w:tblPr>
  </w:style>
  <w:style w:type="table" w:customStyle="1" w:styleId="312">
    <w:name w:val="312"/>
    <w:basedOn w:val="TableNormal16"/>
    <w:tblPr>
      <w:tblStyleRowBandSize w:val="1"/>
      <w:tblStyleColBandSize w:val="1"/>
      <w:tblCellMar>
        <w:top w:w="100" w:type="dxa"/>
        <w:left w:w="100" w:type="dxa"/>
        <w:bottom w:w="100" w:type="dxa"/>
        <w:right w:w="100" w:type="dxa"/>
      </w:tblCellMar>
    </w:tblPr>
  </w:style>
  <w:style w:type="table" w:customStyle="1" w:styleId="311">
    <w:name w:val="311"/>
    <w:basedOn w:val="TableNormal16"/>
    <w:tblPr>
      <w:tblStyleRowBandSize w:val="1"/>
      <w:tblStyleColBandSize w:val="1"/>
      <w:tblCellMar>
        <w:top w:w="100" w:type="dxa"/>
        <w:left w:w="100" w:type="dxa"/>
        <w:bottom w:w="100" w:type="dxa"/>
        <w:right w:w="100" w:type="dxa"/>
      </w:tblCellMar>
    </w:tblPr>
  </w:style>
  <w:style w:type="table" w:customStyle="1" w:styleId="310">
    <w:name w:val="310"/>
    <w:basedOn w:val="TableNormal16"/>
    <w:tblPr>
      <w:tblStyleRowBandSize w:val="1"/>
      <w:tblStyleColBandSize w:val="1"/>
      <w:tblCellMar>
        <w:top w:w="100" w:type="dxa"/>
        <w:left w:w="100" w:type="dxa"/>
        <w:bottom w:w="100" w:type="dxa"/>
        <w:right w:w="100" w:type="dxa"/>
      </w:tblCellMar>
    </w:tblPr>
  </w:style>
  <w:style w:type="table" w:customStyle="1" w:styleId="309">
    <w:name w:val="309"/>
    <w:basedOn w:val="TableNormal16"/>
    <w:tblPr>
      <w:tblStyleRowBandSize w:val="1"/>
      <w:tblStyleColBandSize w:val="1"/>
      <w:tblCellMar>
        <w:top w:w="100" w:type="dxa"/>
        <w:left w:w="100" w:type="dxa"/>
        <w:bottom w:w="100" w:type="dxa"/>
        <w:right w:w="100" w:type="dxa"/>
      </w:tblCellMar>
    </w:tblPr>
  </w:style>
  <w:style w:type="table" w:customStyle="1" w:styleId="308">
    <w:name w:val="308"/>
    <w:basedOn w:val="TableNormal16"/>
    <w:tblPr>
      <w:tblStyleRowBandSize w:val="1"/>
      <w:tblStyleColBandSize w:val="1"/>
      <w:tblCellMar>
        <w:top w:w="100" w:type="dxa"/>
        <w:left w:w="100" w:type="dxa"/>
        <w:bottom w:w="100" w:type="dxa"/>
        <w:right w:w="100" w:type="dxa"/>
      </w:tblCellMar>
    </w:tblPr>
  </w:style>
  <w:style w:type="table" w:customStyle="1" w:styleId="307">
    <w:name w:val="307"/>
    <w:basedOn w:val="TableNormal16"/>
    <w:tblPr>
      <w:tblStyleRowBandSize w:val="1"/>
      <w:tblStyleColBandSize w:val="1"/>
      <w:tblCellMar>
        <w:top w:w="100" w:type="dxa"/>
        <w:left w:w="100" w:type="dxa"/>
        <w:bottom w:w="100" w:type="dxa"/>
        <w:right w:w="100" w:type="dxa"/>
      </w:tblCellMar>
    </w:tblPr>
  </w:style>
  <w:style w:type="table" w:customStyle="1" w:styleId="306">
    <w:name w:val="306"/>
    <w:basedOn w:val="TableNormal16"/>
    <w:tblPr>
      <w:tblStyleRowBandSize w:val="1"/>
      <w:tblStyleColBandSize w:val="1"/>
      <w:tblCellMar>
        <w:top w:w="100" w:type="dxa"/>
        <w:left w:w="100" w:type="dxa"/>
        <w:bottom w:w="100" w:type="dxa"/>
        <w:right w:w="100" w:type="dxa"/>
      </w:tblCellMar>
    </w:tblPr>
  </w:style>
  <w:style w:type="table" w:customStyle="1" w:styleId="305">
    <w:name w:val="305"/>
    <w:basedOn w:val="TableNormal16"/>
    <w:tblPr>
      <w:tblStyleRowBandSize w:val="1"/>
      <w:tblStyleColBandSize w:val="1"/>
      <w:tblCellMar>
        <w:top w:w="100" w:type="dxa"/>
        <w:left w:w="100" w:type="dxa"/>
        <w:bottom w:w="100" w:type="dxa"/>
        <w:right w:w="100" w:type="dxa"/>
      </w:tblCellMar>
    </w:tblPr>
  </w:style>
  <w:style w:type="table" w:customStyle="1" w:styleId="304">
    <w:name w:val="304"/>
    <w:basedOn w:val="TableNormal16"/>
    <w:tblPr>
      <w:tblStyleRowBandSize w:val="1"/>
      <w:tblStyleColBandSize w:val="1"/>
      <w:tblCellMar>
        <w:top w:w="100" w:type="dxa"/>
        <w:left w:w="100" w:type="dxa"/>
        <w:bottom w:w="100" w:type="dxa"/>
        <w:right w:w="100" w:type="dxa"/>
      </w:tblCellMar>
    </w:tblPr>
  </w:style>
  <w:style w:type="table" w:customStyle="1" w:styleId="303">
    <w:name w:val="303"/>
    <w:basedOn w:val="TableNormal16"/>
    <w:tblPr>
      <w:tblStyleRowBandSize w:val="1"/>
      <w:tblStyleColBandSize w:val="1"/>
      <w:tblCellMar>
        <w:top w:w="100" w:type="dxa"/>
        <w:left w:w="100" w:type="dxa"/>
        <w:bottom w:w="100" w:type="dxa"/>
        <w:right w:w="100" w:type="dxa"/>
      </w:tblCellMar>
    </w:tblPr>
  </w:style>
  <w:style w:type="table" w:customStyle="1" w:styleId="302">
    <w:name w:val="302"/>
    <w:basedOn w:val="TableNormal16"/>
    <w:tblPr>
      <w:tblStyleRowBandSize w:val="1"/>
      <w:tblStyleColBandSize w:val="1"/>
      <w:tblCellMar>
        <w:top w:w="100" w:type="dxa"/>
        <w:left w:w="100" w:type="dxa"/>
        <w:bottom w:w="100" w:type="dxa"/>
        <w:right w:w="100" w:type="dxa"/>
      </w:tblCellMar>
    </w:tblPr>
  </w:style>
  <w:style w:type="table" w:customStyle="1" w:styleId="301">
    <w:name w:val="301"/>
    <w:basedOn w:val="TableNormal16"/>
    <w:tblPr>
      <w:tblStyleRowBandSize w:val="1"/>
      <w:tblStyleColBandSize w:val="1"/>
      <w:tblCellMar>
        <w:top w:w="100" w:type="dxa"/>
        <w:left w:w="100" w:type="dxa"/>
        <w:bottom w:w="100" w:type="dxa"/>
        <w:right w:w="100" w:type="dxa"/>
      </w:tblCellMar>
    </w:tblPr>
  </w:style>
  <w:style w:type="table" w:customStyle="1" w:styleId="300">
    <w:name w:val="300"/>
    <w:basedOn w:val="TableNormal16"/>
    <w:tblPr>
      <w:tblStyleRowBandSize w:val="1"/>
      <w:tblStyleColBandSize w:val="1"/>
      <w:tblCellMar>
        <w:top w:w="100" w:type="dxa"/>
        <w:left w:w="100" w:type="dxa"/>
        <w:bottom w:w="100" w:type="dxa"/>
        <w:right w:w="100" w:type="dxa"/>
      </w:tblCellMar>
    </w:tblPr>
  </w:style>
  <w:style w:type="table" w:customStyle="1" w:styleId="299">
    <w:name w:val="299"/>
    <w:basedOn w:val="TableNormal16"/>
    <w:tblPr>
      <w:tblStyleRowBandSize w:val="1"/>
      <w:tblStyleColBandSize w:val="1"/>
      <w:tblCellMar>
        <w:top w:w="100" w:type="dxa"/>
        <w:left w:w="100" w:type="dxa"/>
        <w:bottom w:w="100" w:type="dxa"/>
        <w:right w:w="100" w:type="dxa"/>
      </w:tblCellMar>
    </w:tblPr>
  </w:style>
  <w:style w:type="table" w:customStyle="1" w:styleId="298">
    <w:name w:val="298"/>
    <w:basedOn w:val="TableNormal16"/>
    <w:tblPr>
      <w:tblStyleRowBandSize w:val="1"/>
      <w:tblStyleColBandSize w:val="1"/>
      <w:tblCellMar>
        <w:top w:w="100" w:type="dxa"/>
        <w:left w:w="100" w:type="dxa"/>
        <w:bottom w:w="100" w:type="dxa"/>
        <w:right w:w="100" w:type="dxa"/>
      </w:tblCellMar>
    </w:tblPr>
  </w:style>
  <w:style w:type="table" w:customStyle="1" w:styleId="297">
    <w:name w:val="297"/>
    <w:basedOn w:val="TableNormal16"/>
    <w:tblPr>
      <w:tblStyleRowBandSize w:val="1"/>
      <w:tblStyleColBandSize w:val="1"/>
      <w:tblCellMar>
        <w:top w:w="100" w:type="dxa"/>
        <w:left w:w="100" w:type="dxa"/>
        <w:bottom w:w="100" w:type="dxa"/>
        <w:right w:w="100" w:type="dxa"/>
      </w:tblCellMar>
    </w:tblPr>
  </w:style>
  <w:style w:type="table" w:customStyle="1" w:styleId="296">
    <w:name w:val="296"/>
    <w:basedOn w:val="TableNormal16"/>
    <w:tblPr>
      <w:tblStyleRowBandSize w:val="1"/>
      <w:tblStyleColBandSize w:val="1"/>
      <w:tblCellMar>
        <w:top w:w="100" w:type="dxa"/>
        <w:left w:w="100" w:type="dxa"/>
        <w:bottom w:w="100" w:type="dxa"/>
        <w:right w:w="100" w:type="dxa"/>
      </w:tblCellMar>
    </w:tblPr>
  </w:style>
  <w:style w:type="table" w:customStyle="1" w:styleId="295">
    <w:name w:val="295"/>
    <w:basedOn w:val="TableNormal16"/>
    <w:tblPr>
      <w:tblStyleRowBandSize w:val="1"/>
      <w:tblStyleColBandSize w:val="1"/>
      <w:tblCellMar>
        <w:top w:w="100" w:type="dxa"/>
        <w:left w:w="100" w:type="dxa"/>
        <w:bottom w:w="100" w:type="dxa"/>
        <w:right w:w="100" w:type="dxa"/>
      </w:tblCellMar>
    </w:tblPr>
  </w:style>
  <w:style w:type="table" w:customStyle="1" w:styleId="294">
    <w:name w:val="294"/>
    <w:basedOn w:val="TableNormal16"/>
    <w:tblPr>
      <w:tblStyleRowBandSize w:val="1"/>
      <w:tblStyleColBandSize w:val="1"/>
      <w:tblCellMar>
        <w:top w:w="100" w:type="dxa"/>
        <w:left w:w="100" w:type="dxa"/>
        <w:bottom w:w="100" w:type="dxa"/>
        <w:right w:w="100" w:type="dxa"/>
      </w:tblCellMar>
    </w:tblPr>
  </w:style>
  <w:style w:type="table" w:customStyle="1" w:styleId="293">
    <w:name w:val="293"/>
    <w:basedOn w:val="TableNormal16"/>
    <w:tblPr>
      <w:tblStyleRowBandSize w:val="1"/>
      <w:tblStyleColBandSize w:val="1"/>
      <w:tblCellMar>
        <w:top w:w="100" w:type="dxa"/>
        <w:left w:w="100" w:type="dxa"/>
        <w:bottom w:w="100" w:type="dxa"/>
        <w:right w:w="100" w:type="dxa"/>
      </w:tblCellMar>
    </w:tblPr>
  </w:style>
  <w:style w:type="table" w:customStyle="1" w:styleId="292">
    <w:name w:val="292"/>
    <w:basedOn w:val="TableNormal16"/>
    <w:tblPr>
      <w:tblStyleRowBandSize w:val="1"/>
      <w:tblStyleColBandSize w:val="1"/>
      <w:tblCellMar>
        <w:top w:w="100" w:type="dxa"/>
        <w:left w:w="100" w:type="dxa"/>
        <w:bottom w:w="100" w:type="dxa"/>
        <w:right w:w="100" w:type="dxa"/>
      </w:tblCellMar>
    </w:tblPr>
  </w:style>
  <w:style w:type="table" w:customStyle="1" w:styleId="291">
    <w:name w:val="291"/>
    <w:basedOn w:val="TableNormal16"/>
    <w:tblPr>
      <w:tblStyleRowBandSize w:val="1"/>
      <w:tblStyleColBandSize w:val="1"/>
      <w:tblCellMar>
        <w:top w:w="100" w:type="dxa"/>
        <w:left w:w="100" w:type="dxa"/>
        <w:bottom w:w="100" w:type="dxa"/>
        <w:right w:w="100" w:type="dxa"/>
      </w:tblCellMar>
    </w:tblPr>
  </w:style>
  <w:style w:type="table" w:customStyle="1" w:styleId="290">
    <w:name w:val="290"/>
    <w:basedOn w:val="TableNormal16"/>
    <w:tblPr>
      <w:tblStyleRowBandSize w:val="1"/>
      <w:tblStyleColBandSize w:val="1"/>
      <w:tblCellMar>
        <w:top w:w="100" w:type="dxa"/>
        <w:left w:w="100" w:type="dxa"/>
        <w:bottom w:w="100" w:type="dxa"/>
        <w:right w:w="100" w:type="dxa"/>
      </w:tblCellMar>
    </w:tblPr>
  </w:style>
  <w:style w:type="table" w:customStyle="1" w:styleId="289">
    <w:name w:val="289"/>
    <w:basedOn w:val="TableNormal16"/>
    <w:tblPr>
      <w:tblStyleRowBandSize w:val="1"/>
      <w:tblStyleColBandSize w:val="1"/>
      <w:tblCellMar>
        <w:top w:w="100" w:type="dxa"/>
        <w:left w:w="100" w:type="dxa"/>
        <w:bottom w:w="100" w:type="dxa"/>
        <w:right w:w="100" w:type="dxa"/>
      </w:tblCellMar>
    </w:tblPr>
  </w:style>
  <w:style w:type="table" w:customStyle="1" w:styleId="288">
    <w:name w:val="288"/>
    <w:basedOn w:val="TableNormal16"/>
    <w:tblPr>
      <w:tblStyleRowBandSize w:val="1"/>
      <w:tblStyleColBandSize w:val="1"/>
      <w:tblCellMar>
        <w:top w:w="100" w:type="dxa"/>
        <w:left w:w="100" w:type="dxa"/>
        <w:bottom w:w="100" w:type="dxa"/>
        <w:right w:w="100" w:type="dxa"/>
      </w:tblCellMar>
    </w:tblPr>
  </w:style>
  <w:style w:type="table" w:customStyle="1" w:styleId="287">
    <w:name w:val="287"/>
    <w:basedOn w:val="TableNormal16"/>
    <w:tblPr>
      <w:tblStyleRowBandSize w:val="1"/>
      <w:tblStyleColBandSize w:val="1"/>
      <w:tblCellMar>
        <w:top w:w="100" w:type="dxa"/>
        <w:left w:w="100" w:type="dxa"/>
        <w:bottom w:w="100" w:type="dxa"/>
        <w:right w:w="100" w:type="dxa"/>
      </w:tblCellMar>
    </w:tblPr>
  </w:style>
  <w:style w:type="table" w:customStyle="1" w:styleId="286">
    <w:name w:val="286"/>
    <w:basedOn w:val="TableNormal16"/>
    <w:tblPr>
      <w:tblStyleRowBandSize w:val="1"/>
      <w:tblStyleColBandSize w:val="1"/>
      <w:tblCellMar>
        <w:top w:w="100" w:type="dxa"/>
        <w:left w:w="100" w:type="dxa"/>
        <w:bottom w:w="100" w:type="dxa"/>
        <w:right w:w="100" w:type="dxa"/>
      </w:tblCellMar>
    </w:tblPr>
  </w:style>
  <w:style w:type="table" w:customStyle="1" w:styleId="285">
    <w:name w:val="285"/>
    <w:basedOn w:val="TableNormal16"/>
    <w:tblPr>
      <w:tblStyleRowBandSize w:val="1"/>
      <w:tblStyleColBandSize w:val="1"/>
      <w:tblCellMar>
        <w:top w:w="100" w:type="dxa"/>
        <w:left w:w="100" w:type="dxa"/>
        <w:bottom w:w="100" w:type="dxa"/>
        <w:right w:w="100" w:type="dxa"/>
      </w:tblCellMar>
    </w:tblPr>
  </w:style>
  <w:style w:type="table" w:customStyle="1" w:styleId="284">
    <w:name w:val="284"/>
    <w:basedOn w:val="TableNormal16"/>
    <w:tblPr>
      <w:tblStyleRowBandSize w:val="1"/>
      <w:tblStyleColBandSize w:val="1"/>
      <w:tblCellMar>
        <w:top w:w="100" w:type="dxa"/>
        <w:left w:w="100" w:type="dxa"/>
        <w:bottom w:w="100" w:type="dxa"/>
        <w:right w:w="100" w:type="dxa"/>
      </w:tblCellMar>
    </w:tblPr>
  </w:style>
  <w:style w:type="table" w:customStyle="1" w:styleId="283">
    <w:name w:val="283"/>
    <w:basedOn w:val="TableNormal16"/>
    <w:tblPr>
      <w:tblStyleRowBandSize w:val="1"/>
      <w:tblStyleColBandSize w:val="1"/>
      <w:tblCellMar>
        <w:top w:w="100" w:type="dxa"/>
        <w:left w:w="100" w:type="dxa"/>
        <w:bottom w:w="100" w:type="dxa"/>
        <w:right w:w="100" w:type="dxa"/>
      </w:tblCellMar>
    </w:tblPr>
  </w:style>
  <w:style w:type="table" w:customStyle="1" w:styleId="282">
    <w:name w:val="282"/>
    <w:basedOn w:val="TableNormal16"/>
    <w:tblPr>
      <w:tblStyleRowBandSize w:val="1"/>
      <w:tblStyleColBandSize w:val="1"/>
      <w:tblCellMar>
        <w:top w:w="100" w:type="dxa"/>
        <w:left w:w="100" w:type="dxa"/>
        <w:bottom w:w="100" w:type="dxa"/>
        <w:right w:w="100" w:type="dxa"/>
      </w:tblCellMar>
    </w:tblPr>
  </w:style>
  <w:style w:type="table" w:customStyle="1" w:styleId="281">
    <w:name w:val="281"/>
    <w:basedOn w:val="TableNormal16"/>
    <w:tblPr>
      <w:tblStyleRowBandSize w:val="1"/>
      <w:tblStyleColBandSize w:val="1"/>
      <w:tblCellMar>
        <w:top w:w="100" w:type="dxa"/>
        <w:left w:w="100" w:type="dxa"/>
        <w:bottom w:w="100" w:type="dxa"/>
        <w:right w:w="100" w:type="dxa"/>
      </w:tblCellMar>
    </w:tblPr>
  </w:style>
  <w:style w:type="paragraph" w:styleId="Cabealho">
    <w:name w:val="header"/>
    <w:basedOn w:val="Normal"/>
    <w:link w:val="CabealhoCarter"/>
    <w:uiPriority w:val="99"/>
    <w:unhideWhenUsed/>
    <w:rsid w:val="00420A3E"/>
    <w:pPr>
      <w:tabs>
        <w:tab w:val="center" w:pos="4252"/>
        <w:tab w:val="right" w:pos="8504"/>
      </w:tabs>
      <w:spacing w:before="0" w:line="240" w:lineRule="auto"/>
    </w:pPr>
  </w:style>
  <w:style w:type="character" w:customStyle="1" w:styleId="CabealhoCarter">
    <w:name w:val="Cabeçalho Caráter"/>
    <w:basedOn w:val="Tipodeletrapredefinidodopargrafo"/>
    <w:link w:val="Cabealho"/>
    <w:uiPriority w:val="99"/>
    <w:rsid w:val="00420A3E"/>
  </w:style>
  <w:style w:type="paragraph" w:styleId="Rodap">
    <w:name w:val="footer"/>
    <w:basedOn w:val="Normal"/>
    <w:link w:val="RodapCarter"/>
    <w:uiPriority w:val="99"/>
    <w:unhideWhenUsed/>
    <w:rsid w:val="00420A3E"/>
    <w:pPr>
      <w:tabs>
        <w:tab w:val="center" w:pos="4252"/>
        <w:tab w:val="right" w:pos="8504"/>
      </w:tabs>
      <w:spacing w:before="0" w:line="240" w:lineRule="auto"/>
    </w:pPr>
  </w:style>
  <w:style w:type="character" w:customStyle="1" w:styleId="RodapCarter">
    <w:name w:val="Rodapé Caráter"/>
    <w:basedOn w:val="Tipodeletrapredefinidodopargrafo"/>
    <w:link w:val="Rodap"/>
    <w:uiPriority w:val="99"/>
    <w:rsid w:val="00420A3E"/>
  </w:style>
  <w:style w:type="paragraph" w:styleId="PargrafodaLista">
    <w:name w:val="List Paragraph"/>
    <w:basedOn w:val="Normal"/>
    <w:uiPriority w:val="34"/>
    <w:qFormat/>
    <w:rsid w:val="00420A3E"/>
    <w:pPr>
      <w:ind w:left="720"/>
      <w:contextualSpacing/>
    </w:pPr>
  </w:style>
  <w:style w:type="character" w:styleId="Nmerodepgina">
    <w:name w:val="page number"/>
    <w:basedOn w:val="Tipodeletrapredefinidodopargrafo"/>
    <w:uiPriority w:val="99"/>
    <w:semiHidden/>
    <w:unhideWhenUsed/>
    <w:rsid w:val="00562BF1"/>
  </w:style>
  <w:style w:type="table" w:styleId="TabelacomGrelha">
    <w:name w:val="Table Grid"/>
    <w:basedOn w:val="Tabelanormal"/>
    <w:uiPriority w:val="39"/>
    <w:rsid w:val="00562BF1"/>
    <w:pPr>
      <w:spacing w:before="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Texto">
    <w:name w:val="Corpo de Texto"/>
    <w:basedOn w:val="Normal"/>
    <w:next w:val="Normal"/>
    <w:qFormat/>
    <w:rsid w:val="00FB0CF1"/>
    <w:pPr>
      <w:ind w:right="0"/>
    </w:pPr>
    <w:rPr>
      <w:color w:val="000000" w:themeColor="text1"/>
    </w:rPr>
  </w:style>
  <w:style w:type="paragraph" w:customStyle="1" w:styleId="Legendas">
    <w:name w:val="Legendas"/>
    <w:basedOn w:val="Normal"/>
    <w:qFormat/>
    <w:rsid w:val="00FB0CF1"/>
    <w:pPr>
      <w:framePr w:vSpace="284" w:wrap="around" w:vAnchor="text" w:hAnchor="margin" w:xAlign="center" w:y="285"/>
      <w:widowControl w:val="0"/>
      <w:spacing w:before="100" w:after="100"/>
      <w:ind w:right="0"/>
      <w:jc w:val="right"/>
    </w:pPr>
    <w:rPr>
      <w:sz w:val="16"/>
      <w:szCs w:val="16"/>
    </w:rPr>
  </w:style>
  <w:style w:type="paragraph" w:styleId="Citao">
    <w:name w:val="Quote"/>
    <w:basedOn w:val="Normal"/>
    <w:next w:val="Normal"/>
    <w:link w:val="CitaoCarter"/>
    <w:uiPriority w:val="29"/>
    <w:qFormat/>
    <w:rsid w:val="00EF15D0"/>
    <w:pPr>
      <w:spacing w:after="200"/>
      <w:ind w:left="567" w:right="0"/>
      <w:jc w:val="center"/>
    </w:pPr>
    <w:rPr>
      <w:i/>
      <w:iCs/>
      <w:color w:val="404040" w:themeColor="text1" w:themeTint="BF"/>
    </w:rPr>
  </w:style>
  <w:style w:type="character" w:customStyle="1" w:styleId="CitaoCarter">
    <w:name w:val="Citação Caráter"/>
    <w:basedOn w:val="Tipodeletrapredefinidodopargrafo"/>
    <w:link w:val="Citao"/>
    <w:uiPriority w:val="29"/>
    <w:rsid w:val="00EF15D0"/>
    <w:rPr>
      <w:i/>
      <w:iCs/>
      <w:color w:val="404040" w:themeColor="text1" w:themeTint="BF"/>
    </w:rPr>
  </w:style>
  <w:style w:type="table" w:customStyle="1" w:styleId="280">
    <w:name w:val="280"/>
    <w:basedOn w:val="TableNormal4"/>
    <w:tblPr>
      <w:tblStyleRowBandSize w:val="1"/>
      <w:tblStyleColBandSize w:val="1"/>
      <w:tblCellMar>
        <w:top w:w="100" w:type="dxa"/>
        <w:left w:w="100" w:type="dxa"/>
        <w:bottom w:w="100" w:type="dxa"/>
        <w:right w:w="100" w:type="dxa"/>
      </w:tblCellMar>
    </w:tblPr>
  </w:style>
  <w:style w:type="table" w:customStyle="1" w:styleId="279">
    <w:name w:val="279"/>
    <w:basedOn w:val="TableNormal4"/>
    <w:tblPr>
      <w:tblStyleRowBandSize w:val="1"/>
      <w:tblStyleColBandSize w:val="1"/>
      <w:tblCellMar>
        <w:top w:w="100" w:type="dxa"/>
        <w:left w:w="100" w:type="dxa"/>
        <w:bottom w:w="100" w:type="dxa"/>
        <w:right w:w="100" w:type="dxa"/>
      </w:tblCellMar>
    </w:tblPr>
  </w:style>
  <w:style w:type="table" w:customStyle="1" w:styleId="278">
    <w:name w:val="278"/>
    <w:basedOn w:val="TableNormal4"/>
    <w:pPr>
      <w:spacing w:before="0" w:line="240" w:lineRule="auto"/>
    </w:pPr>
    <w:tblPr>
      <w:tblStyleRowBandSize w:val="1"/>
      <w:tblStyleColBandSize w:val="1"/>
    </w:tblPr>
  </w:style>
  <w:style w:type="table" w:customStyle="1" w:styleId="277">
    <w:name w:val="277"/>
    <w:basedOn w:val="TableNormal4"/>
    <w:pPr>
      <w:spacing w:before="0" w:line="240" w:lineRule="auto"/>
    </w:pPr>
    <w:tblPr>
      <w:tblStyleRowBandSize w:val="1"/>
      <w:tblStyleColBandSize w:val="1"/>
    </w:tblPr>
  </w:style>
  <w:style w:type="table" w:customStyle="1" w:styleId="276">
    <w:name w:val="276"/>
    <w:basedOn w:val="TableNormal4"/>
    <w:pPr>
      <w:spacing w:before="0" w:line="240" w:lineRule="auto"/>
    </w:pPr>
    <w:tblPr>
      <w:tblStyleRowBandSize w:val="1"/>
      <w:tblStyleColBandSize w:val="1"/>
    </w:tblPr>
  </w:style>
  <w:style w:type="table" w:customStyle="1" w:styleId="275">
    <w:name w:val="275"/>
    <w:basedOn w:val="TableNormal4"/>
    <w:pPr>
      <w:spacing w:before="0" w:line="240" w:lineRule="auto"/>
    </w:pPr>
    <w:tblPr>
      <w:tblStyleRowBandSize w:val="1"/>
      <w:tblStyleColBandSize w:val="1"/>
    </w:tblPr>
  </w:style>
  <w:style w:type="table" w:customStyle="1" w:styleId="274">
    <w:name w:val="274"/>
    <w:basedOn w:val="TableNormal4"/>
    <w:pPr>
      <w:spacing w:before="0" w:line="240" w:lineRule="auto"/>
    </w:pPr>
    <w:tblPr>
      <w:tblStyleRowBandSize w:val="1"/>
      <w:tblStyleColBandSize w:val="1"/>
    </w:tblPr>
  </w:style>
  <w:style w:type="table" w:customStyle="1" w:styleId="273">
    <w:name w:val="273"/>
    <w:basedOn w:val="TableNormal4"/>
    <w:tblPr>
      <w:tblStyleRowBandSize w:val="1"/>
      <w:tblStyleColBandSize w:val="1"/>
      <w:tblCellMar>
        <w:top w:w="100" w:type="dxa"/>
        <w:left w:w="100" w:type="dxa"/>
        <w:bottom w:w="100" w:type="dxa"/>
        <w:right w:w="100" w:type="dxa"/>
      </w:tblCellMar>
    </w:tblPr>
  </w:style>
  <w:style w:type="table" w:customStyle="1" w:styleId="272">
    <w:name w:val="272"/>
    <w:basedOn w:val="TableNormal4"/>
    <w:tblPr>
      <w:tblStyleRowBandSize w:val="1"/>
      <w:tblStyleColBandSize w:val="1"/>
      <w:tblCellMar>
        <w:top w:w="100" w:type="dxa"/>
        <w:left w:w="100" w:type="dxa"/>
        <w:bottom w:w="100" w:type="dxa"/>
        <w:right w:w="100" w:type="dxa"/>
      </w:tblCellMar>
    </w:tblPr>
  </w:style>
  <w:style w:type="table" w:customStyle="1" w:styleId="271">
    <w:name w:val="271"/>
    <w:basedOn w:val="TableNormal4"/>
    <w:tblPr>
      <w:tblStyleRowBandSize w:val="1"/>
      <w:tblStyleColBandSize w:val="1"/>
      <w:tblCellMar>
        <w:top w:w="100" w:type="dxa"/>
        <w:left w:w="100" w:type="dxa"/>
        <w:bottom w:w="100" w:type="dxa"/>
        <w:right w:w="100" w:type="dxa"/>
      </w:tblCellMar>
    </w:tblPr>
  </w:style>
  <w:style w:type="table" w:customStyle="1" w:styleId="270">
    <w:name w:val="270"/>
    <w:basedOn w:val="TableNormal4"/>
    <w:tblPr>
      <w:tblStyleRowBandSize w:val="1"/>
      <w:tblStyleColBandSize w:val="1"/>
    </w:tblPr>
  </w:style>
  <w:style w:type="table" w:customStyle="1" w:styleId="269">
    <w:name w:val="269"/>
    <w:basedOn w:val="TableNormal4"/>
    <w:tblPr>
      <w:tblStyleRowBandSize w:val="1"/>
      <w:tblStyleColBandSize w:val="1"/>
    </w:tblPr>
  </w:style>
  <w:style w:type="table" w:customStyle="1" w:styleId="268">
    <w:name w:val="268"/>
    <w:basedOn w:val="TableNormal5"/>
    <w:pPr>
      <w:spacing w:before="0" w:line="240" w:lineRule="auto"/>
    </w:pPr>
    <w:tblPr>
      <w:tblStyleRowBandSize w:val="1"/>
      <w:tblStyleColBandSize w:val="1"/>
    </w:tblPr>
  </w:style>
  <w:style w:type="table" w:customStyle="1" w:styleId="267">
    <w:name w:val="267"/>
    <w:basedOn w:val="TableNormal5"/>
    <w:pPr>
      <w:spacing w:before="0" w:line="240" w:lineRule="auto"/>
    </w:pPr>
    <w:tblPr>
      <w:tblStyleRowBandSize w:val="1"/>
      <w:tblStyleColBandSize w:val="1"/>
    </w:tblPr>
  </w:style>
  <w:style w:type="table" w:customStyle="1" w:styleId="266">
    <w:name w:val="266"/>
    <w:basedOn w:val="TableNormal5"/>
    <w:pPr>
      <w:spacing w:before="0" w:line="240" w:lineRule="auto"/>
    </w:pPr>
    <w:tblPr>
      <w:tblStyleRowBandSize w:val="1"/>
      <w:tblStyleColBandSize w:val="1"/>
      <w:tblCellMar>
        <w:top w:w="100" w:type="dxa"/>
        <w:left w:w="100" w:type="dxa"/>
        <w:bottom w:w="100" w:type="dxa"/>
        <w:right w:w="100" w:type="dxa"/>
      </w:tblCellMar>
    </w:tblPr>
  </w:style>
  <w:style w:type="table" w:customStyle="1" w:styleId="265">
    <w:name w:val="265"/>
    <w:basedOn w:val="TableNormal5"/>
    <w:pPr>
      <w:spacing w:before="0" w:line="240" w:lineRule="auto"/>
    </w:pPr>
    <w:tblPr>
      <w:tblStyleRowBandSize w:val="1"/>
      <w:tblStyleColBandSize w:val="1"/>
      <w:tblCellMar>
        <w:top w:w="100" w:type="dxa"/>
        <w:left w:w="100" w:type="dxa"/>
        <w:bottom w:w="100" w:type="dxa"/>
        <w:right w:w="100" w:type="dxa"/>
      </w:tblCellMar>
    </w:tblPr>
  </w:style>
  <w:style w:type="table" w:customStyle="1" w:styleId="264">
    <w:name w:val="264"/>
    <w:basedOn w:val="TableNormal5"/>
    <w:pPr>
      <w:spacing w:before="0" w:line="240" w:lineRule="auto"/>
    </w:pPr>
    <w:tblPr>
      <w:tblStyleRowBandSize w:val="1"/>
      <w:tblStyleColBandSize w:val="1"/>
      <w:tblCellMar>
        <w:top w:w="100" w:type="dxa"/>
        <w:left w:w="100" w:type="dxa"/>
        <w:bottom w:w="100" w:type="dxa"/>
        <w:right w:w="100" w:type="dxa"/>
      </w:tblCellMar>
    </w:tblPr>
  </w:style>
  <w:style w:type="table" w:customStyle="1" w:styleId="263">
    <w:name w:val="263"/>
    <w:basedOn w:val="TableNormal5"/>
    <w:pPr>
      <w:spacing w:before="0" w:line="240" w:lineRule="auto"/>
    </w:pPr>
    <w:tblPr>
      <w:tblStyleRowBandSize w:val="1"/>
      <w:tblStyleColBandSize w:val="1"/>
      <w:tblCellMar>
        <w:top w:w="100" w:type="dxa"/>
        <w:left w:w="100" w:type="dxa"/>
        <w:bottom w:w="100" w:type="dxa"/>
        <w:right w:w="100" w:type="dxa"/>
      </w:tblCellMar>
    </w:tblPr>
  </w:style>
  <w:style w:type="table" w:customStyle="1" w:styleId="262">
    <w:name w:val="262"/>
    <w:basedOn w:val="TableNormal5"/>
    <w:pPr>
      <w:spacing w:before="0" w:line="240" w:lineRule="auto"/>
    </w:pPr>
    <w:tblPr>
      <w:tblStyleRowBandSize w:val="1"/>
      <w:tblStyleColBandSize w:val="1"/>
      <w:tblCellMar>
        <w:top w:w="100" w:type="dxa"/>
        <w:left w:w="100" w:type="dxa"/>
        <w:bottom w:w="100" w:type="dxa"/>
        <w:right w:w="100" w:type="dxa"/>
      </w:tblCellMar>
    </w:tblPr>
  </w:style>
  <w:style w:type="table" w:customStyle="1" w:styleId="261">
    <w:name w:val="261"/>
    <w:basedOn w:val="TableNormal5"/>
    <w:pPr>
      <w:spacing w:before="0" w:line="240" w:lineRule="auto"/>
    </w:pPr>
    <w:tblPr>
      <w:tblStyleRowBandSize w:val="1"/>
      <w:tblStyleColBandSize w:val="1"/>
      <w:tblCellMar>
        <w:top w:w="100" w:type="dxa"/>
        <w:left w:w="100" w:type="dxa"/>
        <w:bottom w:w="100" w:type="dxa"/>
        <w:right w:w="100" w:type="dxa"/>
      </w:tblCellMar>
    </w:tblPr>
  </w:style>
  <w:style w:type="table" w:customStyle="1" w:styleId="260">
    <w:name w:val="260"/>
    <w:basedOn w:val="TableNormal5"/>
    <w:pPr>
      <w:spacing w:before="0" w:line="240" w:lineRule="auto"/>
    </w:pPr>
    <w:tblPr>
      <w:tblStyleRowBandSize w:val="1"/>
      <w:tblStyleColBandSize w:val="1"/>
      <w:tblCellMar>
        <w:top w:w="100" w:type="dxa"/>
        <w:left w:w="100" w:type="dxa"/>
        <w:bottom w:w="100" w:type="dxa"/>
        <w:right w:w="100" w:type="dxa"/>
      </w:tblCellMar>
    </w:tblPr>
  </w:style>
  <w:style w:type="table" w:customStyle="1" w:styleId="259">
    <w:name w:val="259"/>
    <w:basedOn w:val="TableNormal5"/>
    <w:pPr>
      <w:spacing w:before="0" w:line="240" w:lineRule="auto"/>
    </w:pPr>
    <w:tblPr>
      <w:tblStyleRowBandSize w:val="1"/>
      <w:tblStyleColBandSize w:val="1"/>
      <w:tblCellMar>
        <w:top w:w="100" w:type="dxa"/>
        <w:left w:w="100" w:type="dxa"/>
        <w:bottom w:w="100" w:type="dxa"/>
        <w:right w:w="100" w:type="dxa"/>
      </w:tblCellMar>
    </w:tblPr>
  </w:style>
  <w:style w:type="table" w:customStyle="1" w:styleId="258">
    <w:name w:val="258"/>
    <w:basedOn w:val="TableNormal5"/>
    <w:pPr>
      <w:spacing w:before="0" w:line="240" w:lineRule="auto"/>
    </w:pPr>
    <w:tblPr>
      <w:tblStyleRowBandSize w:val="1"/>
      <w:tblStyleColBandSize w:val="1"/>
      <w:tblCellMar>
        <w:top w:w="100" w:type="dxa"/>
        <w:left w:w="100" w:type="dxa"/>
        <w:bottom w:w="100" w:type="dxa"/>
        <w:right w:w="100" w:type="dxa"/>
      </w:tblCellMar>
    </w:tblPr>
  </w:style>
  <w:style w:type="table" w:customStyle="1" w:styleId="257">
    <w:name w:val="257"/>
    <w:basedOn w:val="TableNormal5"/>
    <w:pPr>
      <w:spacing w:before="0" w:line="240" w:lineRule="auto"/>
    </w:pPr>
    <w:tblPr>
      <w:tblStyleRowBandSize w:val="1"/>
      <w:tblStyleColBandSize w:val="1"/>
      <w:tblCellMar>
        <w:top w:w="100" w:type="dxa"/>
        <w:left w:w="100" w:type="dxa"/>
        <w:bottom w:w="100" w:type="dxa"/>
        <w:right w:w="100" w:type="dxa"/>
      </w:tblCellMar>
    </w:tblPr>
  </w:style>
  <w:style w:type="table" w:customStyle="1" w:styleId="256">
    <w:name w:val="256"/>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55">
    <w:name w:val="255"/>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54">
    <w:name w:val="254"/>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53">
    <w:name w:val="253"/>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52">
    <w:name w:val="252"/>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51">
    <w:name w:val="251"/>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50">
    <w:name w:val="250"/>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49">
    <w:name w:val="249"/>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48">
    <w:name w:val="248"/>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47">
    <w:name w:val="247"/>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46">
    <w:name w:val="246"/>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45">
    <w:name w:val="245"/>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44">
    <w:name w:val="244"/>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43">
    <w:name w:val="243"/>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42">
    <w:name w:val="242"/>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41">
    <w:name w:val="241"/>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40">
    <w:name w:val="240"/>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39">
    <w:name w:val="239"/>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38">
    <w:name w:val="238"/>
    <w:basedOn w:val="TableNormal6"/>
    <w:tblPr>
      <w:tblStyleRowBandSize w:val="1"/>
      <w:tblStyleColBandSize w:val="1"/>
      <w:tblCellMar>
        <w:top w:w="100" w:type="dxa"/>
        <w:left w:w="100" w:type="dxa"/>
        <w:bottom w:w="100" w:type="dxa"/>
        <w:right w:w="100" w:type="dxa"/>
      </w:tblCellMar>
    </w:tblPr>
  </w:style>
  <w:style w:type="table" w:customStyle="1" w:styleId="237">
    <w:name w:val="237"/>
    <w:basedOn w:val="TableNormal6"/>
    <w:tblPr>
      <w:tblStyleRowBandSize w:val="1"/>
      <w:tblStyleColBandSize w:val="1"/>
      <w:tblCellMar>
        <w:top w:w="100" w:type="dxa"/>
        <w:left w:w="100" w:type="dxa"/>
        <w:bottom w:w="100" w:type="dxa"/>
        <w:right w:w="100" w:type="dxa"/>
      </w:tblCellMar>
    </w:tblPr>
  </w:style>
  <w:style w:type="table" w:customStyle="1" w:styleId="236">
    <w:name w:val="236"/>
    <w:basedOn w:val="TableNormal6"/>
    <w:pPr>
      <w:spacing w:before="0" w:line="240" w:lineRule="auto"/>
    </w:pPr>
    <w:tblPr>
      <w:tblStyleRowBandSize w:val="1"/>
      <w:tblStyleColBandSize w:val="1"/>
      <w:tblCellMar>
        <w:top w:w="100" w:type="dxa"/>
        <w:left w:w="100" w:type="dxa"/>
        <w:bottom w:w="100" w:type="dxa"/>
        <w:right w:w="100" w:type="dxa"/>
      </w:tblCellMar>
    </w:tblPr>
  </w:style>
  <w:style w:type="table" w:customStyle="1" w:styleId="235">
    <w:name w:val="235"/>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34">
    <w:name w:val="234"/>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33">
    <w:name w:val="233"/>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32">
    <w:name w:val="232"/>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31">
    <w:name w:val="231"/>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30">
    <w:name w:val="230"/>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29">
    <w:name w:val="229"/>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28">
    <w:name w:val="228"/>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27">
    <w:name w:val="227"/>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26">
    <w:name w:val="226"/>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25">
    <w:name w:val="225"/>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24">
    <w:name w:val="224"/>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23">
    <w:name w:val="223"/>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22">
    <w:name w:val="222"/>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21">
    <w:name w:val="221"/>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20">
    <w:name w:val="220"/>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19">
    <w:name w:val="219"/>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18">
    <w:name w:val="218"/>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17">
    <w:name w:val="217"/>
    <w:basedOn w:val="TableNormal7"/>
    <w:tblPr>
      <w:tblStyleRowBandSize w:val="1"/>
      <w:tblStyleColBandSize w:val="1"/>
      <w:tblCellMar>
        <w:top w:w="100" w:type="dxa"/>
        <w:left w:w="100" w:type="dxa"/>
        <w:bottom w:w="100" w:type="dxa"/>
        <w:right w:w="100" w:type="dxa"/>
      </w:tblCellMar>
    </w:tblPr>
  </w:style>
  <w:style w:type="table" w:customStyle="1" w:styleId="216">
    <w:name w:val="216"/>
    <w:basedOn w:val="TableNormal7"/>
    <w:tblPr>
      <w:tblStyleRowBandSize w:val="1"/>
      <w:tblStyleColBandSize w:val="1"/>
      <w:tblCellMar>
        <w:top w:w="100" w:type="dxa"/>
        <w:left w:w="100" w:type="dxa"/>
        <w:bottom w:w="100" w:type="dxa"/>
        <w:right w:w="100" w:type="dxa"/>
      </w:tblCellMar>
    </w:tblPr>
  </w:style>
  <w:style w:type="table" w:customStyle="1" w:styleId="215">
    <w:name w:val="215"/>
    <w:basedOn w:val="TableNormal7"/>
    <w:pPr>
      <w:spacing w:before="0" w:line="240" w:lineRule="auto"/>
    </w:pPr>
    <w:tblPr>
      <w:tblStyleRowBandSize w:val="1"/>
      <w:tblStyleColBandSize w:val="1"/>
      <w:tblCellMar>
        <w:top w:w="100" w:type="dxa"/>
        <w:left w:w="100" w:type="dxa"/>
        <w:bottom w:w="100" w:type="dxa"/>
        <w:right w:w="100" w:type="dxa"/>
      </w:tblCellMar>
    </w:tblPr>
  </w:style>
  <w:style w:type="table" w:customStyle="1" w:styleId="214">
    <w:name w:val="214"/>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13">
    <w:name w:val="213"/>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12">
    <w:name w:val="212"/>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11">
    <w:name w:val="211"/>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10">
    <w:name w:val="210"/>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09">
    <w:name w:val="209"/>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08">
    <w:name w:val="208"/>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07">
    <w:name w:val="207"/>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06">
    <w:name w:val="206"/>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05">
    <w:name w:val="205"/>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04">
    <w:name w:val="204"/>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03">
    <w:name w:val="203"/>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02">
    <w:name w:val="202"/>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01">
    <w:name w:val="201"/>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200">
    <w:name w:val="200"/>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199">
    <w:name w:val="199"/>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198">
    <w:name w:val="198"/>
    <w:basedOn w:val="TableNormal8"/>
    <w:tblPr>
      <w:tblStyleRowBandSize w:val="1"/>
      <w:tblStyleColBandSize w:val="1"/>
      <w:tblCellMar>
        <w:top w:w="100" w:type="dxa"/>
        <w:left w:w="100" w:type="dxa"/>
        <w:bottom w:w="100" w:type="dxa"/>
        <w:right w:w="100" w:type="dxa"/>
      </w:tblCellMar>
    </w:tblPr>
  </w:style>
  <w:style w:type="table" w:customStyle="1" w:styleId="197">
    <w:name w:val="197"/>
    <w:basedOn w:val="TableNormal8"/>
    <w:tblPr>
      <w:tblStyleRowBandSize w:val="1"/>
      <w:tblStyleColBandSize w:val="1"/>
      <w:tblCellMar>
        <w:top w:w="100" w:type="dxa"/>
        <w:left w:w="100" w:type="dxa"/>
        <w:bottom w:w="100" w:type="dxa"/>
        <w:right w:w="100" w:type="dxa"/>
      </w:tblCellMar>
    </w:tblPr>
  </w:style>
  <w:style w:type="table" w:customStyle="1" w:styleId="196">
    <w:name w:val="196"/>
    <w:basedOn w:val="TableNormal8"/>
    <w:pPr>
      <w:spacing w:before="0" w:line="240" w:lineRule="auto"/>
    </w:pPr>
    <w:tblPr>
      <w:tblStyleRowBandSize w:val="1"/>
      <w:tblStyleColBandSize w:val="1"/>
      <w:tblCellMar>
        <w:top w:w="100" w:type="dxa"/>
        <w:left w:w="100" w:type="dxa"/>
        <w:bottom w:w="100" w:type="dxa"/>
        <w:right w:w="100" w:type="dxa"/>
      </w:tblCellMar>
    </w:tblPr>
  </w:style>
  <w:style w:type="table" w:customStyle="1" w:styleId="195">
    <w:name w:val="195"/>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94">
    <w:name w:val="194"/>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93">
    <w:name w:val="193"/>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92">
    <w:name w:val="192"/>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91">
    <w:name w:val="191"/>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90">
    <w:name w:val="190"/>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89">
    <w:name w:val="189"/>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88">
    <w:name w:val="188"/>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87">
    <w:name w:val="187"/>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86">
    <w:name w:val="186"/>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85">
    <w:name w:val="185"/>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84">
    <w:name w:val="184"/>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83">
    <w:name w:val="183"/>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82">
    <w:name w:val="182"/>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81">
    <w:name w:val="181"/>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80">
    <w:name w:val="180"/>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79">
    <w:name w:val="179"/>
    <w:basedOn w:val="TableNormal9"/>
    <w:pPr>
      <w:spacing w:before="0" w:line="240" w:lineRule="auto"/>
    </w:pPr>
    <w:tblPr>
      <w:tblStyleRowBandSize w:val="1"/>
      <w:tblStyleColBandSize w:val="1"/>
      <w:tblCellMar>
        <w:left w:w="108" w:type="dxa"/>
        <w:right w:w="108" w:type="dxa"/>
      </w:tblCellMar>
    </w:tblPr>
  </w:style>
  <w:style w:type="table" w:customStyle="1" w:styleId="178">
    <w:name w:val="178"/>
    <w:basedOn w:val="TableNormal9"/>
    <w:pPr>
      <w:spacing w:before="0" w:line="240" w:lineRule="auto"/>
    </w:pPr>
    <w:tblPr>
      <w:tblStyleRowBandSize w:val="1"/>
      <w:tblStyleColBandSize w:val="1"/>
      <w:tblCellMar>
        <w:top w:w="100" w:type="dxa"/>
        <w:left w:w="100" w:type="dxa"/>
        <w:bottom w:w="100" w:type="dxa"/>
        <w:right w:w="100" w:type="dxa"/>
      </w:tblCellMar>
    </w:tblPr>
  </w:style>
  <w:style w:type="table" w:customStyle="1" w:styleId="177">
    <w:name w:val="177"/>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76">
    <w:name w:val="17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75">
    <w:name w:val="175"/>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74">
    <w:name w:val="17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73">
    <w:name w:val="173"/>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72">
    <w:name w:val="17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71">
    <w:name w:val="171"/>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70">
    <w:name w:val="17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69">
    <w:name w:val="169"/>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68">
    <w:name w:val="168"/>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67">
    <w:name w:val="167"/>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66">
    <w:name w:val="16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65">
    <w:name w:val="165"/>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64">
    <w:name w:val="16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63">
    <w:name w:val="163"/>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62">
    <w:name w:val="16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61">
    <w:name w:val="161"/>
    <w:basedOn w:val="TableNormal10"/>
    <w:pPr>
      <w:spacing w:before="0" w:line="240" w:lineRule="auto"/>
    </w:pPr>
    <w:tblPr>
      <w:tblStyleRowBandSize w:val="1"/>
      <w:tblStyleColBandSize w:val="1"/>
      <w:tblCellMar>
        <w:left w:w="108" w:type="dxa"/>
        <w:right w:w="108" w:type="dxa"/>
      </w:tblCellMar>
    </w:tblPr>
  </w:style>
  <w:style w:type="table" w:customStyle="1" w:styleId="160">
    <w:name w:val="16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59">
    <w:name w:val="159"/>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58">
    <w:name w:val="158"/>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57">
    <w:name w:val="157"/>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56">
    <w:name w:val="15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55">
    <w:name w:val="155"/>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54">
    <w:name w:val="15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53">
    <w:name w:val="153"/>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52">
    <w:name w:val="15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51">
    <w:name w:val="151"/>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50">
    <w:name w:val="15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49">
    <w:name w:val="149"/>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48">
    <w:name w:val="148"/>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47">
    <w:name w:val="147"/>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46">
    <w:name w:val="14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45">
    <w:name w:val="145"/>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44">
    <w:name w:val="14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43">
    <w:name w:val="143"/>
    <w:basedOn w:val="TableNormal10"/>
    <w:pPr>
      <w:spacing w:before="0" w:line="240" w:lineRule="auto"/>
    </w:pPr>
    <w:tblPr>
      <w:tblStyleRowBandSize w:val="1"/>
      <w:tblStyleColBandSize w:val="1"/>
      <w:tblCellMar>
        <w:left w:w="108" w:type="dxa"/>
        <w:right w:w="108" w:type="dxa"/>
      </w:tblCellMar>
    </w:tblPr>
  </w:style>
  <w:style w:type="table" w:customStyle="1" w:styleId="142">
    <w:name w:val="14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41">
    <w:name w:val="141"/>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40">
    <w:name w:val="14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39">
    <w:name w:val="139"/>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38">
    <w:name w:val="138"/>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37">
    <w:name w:val="137"/>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36">
    <w:name w:val="13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35">
    <w:name w:val="135"/>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34">
    <w:name w:val="13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33">
    <w:name w:val="133"/>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32">
    <w:name w:val="13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31">
    <w:name w:val="131"/>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30">
    <w:name w:val="13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29">
    <w:name w:val="129"/>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28">
    <w:name w:val="128"/>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27">
    <w:name w:val="127"/>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26">
    <w:name w:val="12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25">
    <w:name w:val="125"/>
    <w:basedOn w:val="TableNormal10"/>
    <w:pPr>
      <w:spacing w:before="0" w:line="240" w:lineRule="auto"/>
    </w:pPr>
    <w:tblPr>
      <w:tblStyleRowBandSize w:val="1"/>
      <w:tblStyleColBandSize w:val="1"/>
      <w:tblCellMar>
        <w:left w:w="108" w:type="dxa"/>
        <w:right w:w="108" w:type="dxa"/>
      </w:tblCellMar>
    </w:tblPr>
  </w:style>
  <w:style w:type="table" w:customStyle="1" w:styleId="124">
    <w:name w:val="12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23">
    <w:name w:val="123"/>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22">
    <w:name w:val="12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21">
    <w:name w:val="121"/>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20">
    <w:name w:val="12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19">
    <w:name w:val="119"/>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18">
    <w:name w:val="118"/>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17">
    <w:name w:val="117"/>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16">
    <w:name w:val="11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15">
    <w:name w:val="115"/>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14">
    <w:name w:val="11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13">
    <w:name w:val="113"/>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12">
    <w:name w:val="11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11">
    <w:name w:val="111"/>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10">
    <w:name w:val="11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09">
    <w:name w:val="109"/>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08">
    <w:name w:val="108"/>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07">
    <w:name w:val="107"/>
    <w:basedOn w:val="TableNormal10"/>
    <w:pPr>
      <w:spacing w:before="0" w:line="240" w:lineRule="auto"/>
    </w:pPr>
    <w:tblPr>
      <w:tblStyleRowBandSize w:val="1"/>
      <w:tblStyleColBandSize w:val="1"/>
      <w:tblCellMar>
        <w:left w:w="108" w:type="dxa"/>
        <w:right w:w="108" w:type="dxa"/>
      </w:tblCellMar>
    </w:tblPr>
  </w:style>
  <w:style w:type="table" w:customStyle="1" w:styleId="106">
    <w:name w:val="10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05">
    <w:name w:val="105"/>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04">
    <w:name w:val="10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03">
    <w:name w:val="103"/>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02">
    <w:name w:val="10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01">
    <w:name w:val="101"/>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100">
    <w:name w:val="10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99">
    <w:name w:val="99"/>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98">
    <w:name w:val="98"/>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97">
    <w:name w:val="97"/>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96">
    <w:name w:val="9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95">
    <w:name w:val="95"/>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94">
    <w:name w:val="9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93">
    <w:name w:val="93"/>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92">
    <w:name w:val="9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91">
    <w:name w:val="91"/>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90">
    <w:name w:val="9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89">
    <w:name w:val="89"/>
    <w:basedOn w:val="TableNormal10"/>
    <w:pPr>
      <w:spacing w:before="0" w:line="240" w:lineRule="auto"/>
    </w:pPr>
    <w:tblPr>
      <w:tblStyleRowBandSize w:val="1"/>
      <w:tblStyleColBandSize w:val="1"/>
      <w:tblCellMar>
        <w:left w:w="108" w:type="dxa"/>
        <w:right w:w="108" w:type="dxa"/>
      </w:tblCellMar>
    </w:tblPr>
  </w:style>
  <w:style w:type="table" w:customStyle="1" w:styleId="88">
    <w:name w:val="88"/>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87">
    <w:name w:val="87"/>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86">
    <w:name w:val="8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85">
    <w:name w:val="85"/>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84">
    <w:name w:val="8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83">
    <w:name w:val="83"/>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82">
    <w:name w:val="8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81">
    <w:name w:val="81"/>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80">
    <w:name w:val="8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79">
    <w:name w:val="79"/>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78">
    <w:name w:val="78"/>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77">
    <w:name w:val="77"/>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76">
    <w:name w:val="76"/>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75">
    <w:name w:val="75"/>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74">
    <w:name w:val="74"/>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73">
    <w:name w:val="73"/>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72">
    <w:name w:val="72"/>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71">
    <w:name w:val="71"/>
    <w:basedOn w:val="TableNormal10"/>
    <w:pPr>
      <w:spacing w:before="0" w:line="240" w:lineRule="auto"/>
    </w:pPr>
    <w:tblPr>
      <w:tblStyleRowBandSize w:val="1"/>
      <w:tblStyleColBandSize w:val="1"/>
      <w:tblCellMar>
        <w:left w:w="108" w:type="dxa"/>
        <w:right w:w="108" w:type="dxa"/>
      </w:tblCellMar>
    </w:tblPr>
  </w:style>
  <w:style w:type="table" w:customStyle="1" w:styleId="70">
    <w:name w:val="70"/>
    <w:basedOn w:val="TableNormal10"/>
    <w:pPr>
      <w:spacing w:before="0" w:line="240" w:lineRule="auto"/>
    </w:pPr>
    <w:tblPr>
      <w:tblStyleRowBandSize w:val="1"/>
      <w:tblStyleColBandSize w:val="1"/>
      <w:tblCellMar>
        <w:top w:w="100" w:type="dxa"/>
        <w:left w:w="100" w:type="dxa"/>
        <w:bottom w:w="100" w:type="dxa"/>
        <w:right w:w="100" w:type="dxa"/>
      </w:tblCellMar>
    </w:tblPr>
  </w:style>
  <w:style w:type="table" w:customStyle="1" w:styleId="69">
    <w:name w:val="69"/>
    <w:basedOn w:val="TableNormal0"/>
    <w:pPr>
      <w:spacing w:before="0" w:line="240" w:lineRule="auto"/>
    </w:pPr>
    <w:tblPr>
      <w:tblStyleRowBandSize w:val="1"/>
      <w:tblStyleColBandSize w:val="1"/>
    </w:tblPr>
  </w:style>
  <w:style w:type="table" w:customStyle="1" w:styleId="68">
    <w:name w:val="68"/>
    <w:basedOn w:val="TableNormal0"/>
    <w:pPr>
      <w:spacing w:before="0" w:line="240" w:lineRule="auto"/>
    </w:pPr>
    <w:tblPr>
      <w:tblStyleRowBandSize w:val="1"/>
      <w:tblStyleColBandSize w:val="1"/>
    </w:tblPr>
  </w:style>
  <w:style w:type="table" w:customStyle="1" w:styleId="67">
    <w:name w:val="67"/>
    <w:basedOn w:val="TableNormal0"/>
    <w:pPr>
      <w:spacing w:before="0" w:line="240" w:lineRule="auto"/>
    </w:pPr>
    <w:tblPr>
      <w:tblStyleRowBandSize w:val="1"/>
      <w:tblStyleColBandSize w:val="1"/>
      <w:tblCellMar>
        <w:top w:w="100" w:type="dxa"/>
        <w:left w:w="100" w:type="dxa"/>
        <w:bottom w:w="100" w:type="dxa"/>
        <w:right w:w="100" w:type="dxa"/>
      </w:tblCellMar>
    </w:tblPr>
  </w:style>
  <w:style w:type="table" w:customStyle="1" w:styleId="66">
    <w:name w:val="66"/>
    <w:basedOn w:val="TableNormal0"/>
    <w:pPr>
      <w:spacing w:before="0" w:line="240" w:lineRule="auto"/>
    </w:pPr>
    <w:tblPr>
      <w:tblStyleRowBandSize w:val="1"/>
      <w:tblStyleColBandSize w:val="1"/>
      <w:tblCellMar>
        <w:top w:w="100" w:type="dxa"/>
        <w:left w:w="100" w:type="dxa"/>
        <w:bottom w:w="100" w:type="dxa"/>
        <w:right w:w="100" w:type="dxa"/>
      </w:tblCellMar>
    </w:tblPr>
  </w:style>
  <w:style w:type="table" w:customStyle="1" w:styleId="65">
    <w:name w:val="65"/>
    <w:basedOn w:val="TableNormal0"/>
    <w:pPr>
      <w:spacing w:before="0" w:line="240" w:lineRule="auto"/>
    </w:pPr>
    <w:tblPr>
      <w:tblStyleRowBandSize w:val="1"/>
      <w:tblStyleColBandSize w:val="1"/>
      <w:tblCellMar>
        <w:top w:w="100" w:type="dxa"/>
        <w:left w:w="100" w:type="dxa"/>
        <w:bottom w:w="100" w:type="dxa"/>
        <w:right w:w="100" w:type="dxa"/>
      </w:tblCellMar>
    </w:tblPr>
  </w:style>
  <w:style w:type="table" w:customStyle="1" w:styleId="64">
    <w:name w:val="64"/>
    <w:basedOn w:val="TableNormal0"/>
    <w:pPr>
      <w:spacing w:before="0" w:line="240" w:lineRule="auto"/>
    </w:pPr>
    <w:tblPr>
      <w:tblStyleRowBandSize w:val="1"/>
      <w:tblStyleColBandSize w:val="1"/>
      <w:tblCellMar>
        <w:top w:w="100" w:type="dxa"/>
        <w:left w:w="100" w:type="dxa"/>
        <w:bottom w:w="100" w:type="dxa"/>
        <w:right w:w="100" w:type="dxa"/>
      </w:tblCellMar>
    </w:tblPr>
  </w:style>
  <w:style w:type="table" w:customStyle="1" w:styleId="63">
    <w:name w:val="63"/>
    <w:basedOn w:val="TableNormal0"/>
    <w:pPr>
      <w:spacing w:before="0" w:line="240" w:lineRule="auto"/>
    </w:pPr>
    <w:tblPr>
      <w:tblStyleRowBandSize w:val="1"/>
      <w:tblStyleColBandSize w:val="1"/>
      <w:tblCellMar>
        <w:top w:w="100" w:type="dxa"/>
        <w:left w:w="100" w:type="dxa"/>
        <w:bottom w:w="100" w:type="dxa"/>
        <w:right w:w="100" w:type="dxa"/>
      </w:tblCellMar>
    </w:tblPr>
  </w:style>
  <w:style w:type="table" w:customStyle="1" w:styleId="62">
    <w:name w:val="62"/>
    <w:basedOn w:val="TableNormal0"/>
    <w:pPr>
      <w:spacing w:before="0" w:line="240" w:lineRule="auto"/>
    </w:pPr>
    <w:tblPr>
      <w:tblStyleRowBandSize w:val="1"/>
      <w:tblStyleColBandSize w:val="1"/>
      <w:tblCellMar>
        <w:top w:w="100" w:type="dxa"/>
        <w:left w:w="100" w:type="dxa"/>
        <w:bottom w:w="100" w:type="dxa"/>
        <w:right w:w="100" w:type="dxa"/>
      </w:tblCellMar>
    </w:tblPr>
  </w:style>
  <w:style w:type="table" w:customStyle="1" w:styleId="61">
    <w:name w:val="61"/>
    <w:basedOn w:val="TableNormal0"/>
    <w:pPr>
      <w:spacing w:before="0" w:line="240" w:lineRule="auto"/>
    </w:pPr>
    <w:tblPr>
      <w:tblStyleRowBandSize w:val="1"/>
      <w:tblStyleColBandSize w:val="1"/>
      <w:tblCellMar>
        <w:top w:w="100" w:type="dxa"/>
        <w:left w:w="100" w:type="dxa"/>
        <w:bottom w:w="100" w:type="dxa"/>
        <w:right w:w="100" w:type="dxa"/>
      </w:tblCellMar>
    </w:tblPr>
  </w:style>
  <w:style w:type="table" w:customStyle="1" w:styleId="60">
    <w:name w:val="60"/>
    <w:basedOn w:val="TableNormal0"/>
    <w:pPr>
      <w:spacing w:before="0" w:line="240" w:lineRule="auto"/>
    </w:pPr>
    <w:tblPr>
      <w:tblStyleRowBandSize w:val="1"/>
      <w:tblStyleColBandSize w:val="1"/>
      <w:tblCellMar>
        <w:top w:w="100" w:type="dxa"/>
        <w:left w:w="100" w:type="dxa"/>
        <w:bottom w:w="100" w:type="dxa"/>
        <w:right w:w="100" w:type="dxa"/>
      </w:tblCellMar>
    </w:tblPr>
  </w:style>
  <w:style w:type="table" w:customStyle="1" w:styleId="59">
    <w:name w:val="59"/>
    <w:basedOn w:val="TableNormal0"/>
    <w:pPr>
      <w:spacing w:before="0" w:line="240" w:lineRule="auto"/>
    </w:pPr>
    <w:tblPr>
      <w:tblStyleRowBandSize w:val="1"/>
      <w:tblStyleColBandSize w:val="1"/>
      <w:tblCellMar>
        <w:top w:w="100" w:type="dxa"/>
        <w:left w:w="100" w:type="dxa"/>
        <w:bottom w:w="100" w:type="dxa"/>
        <w:right w:w="100" w:type="dxa"/>
      </w:tblCellMar>
    </w:tblPr>
  </w:style>
  <w:style w:type="table" w:customStyle="1" w:styleId="58">
    <w:name w:val="58"/>
    <w:basedOn w:val="TableNormal0"/>
    <w:pPr>
      <w:spacing w:before="0" w:line="240" w:lineRule="auto"/>
    </w:pPr>
    <w:tblPr>
      <w:tblStyleRowBandSize w:val="1"/>
      <w:tblStyleColBandSize w:val="1"/>
    </w:tblPr>
  </w:style>
  <w:style w:type="table" w:customStyle="1" w:styleId="57">
    <w:name w:val="57"/>
    <w:basedOn w:val="TableNormal0"/>
    <w:pPr>
      <w:spacing w:before="0" w:line="240" w:lineRule="auto"/>
    </w:pPr>
    <w:tblPr>
      <w:tblStyleRowBandSize w:val="1"/>
      <w:tblStyleColBandSize w:val="1"/>
    </w:tblPr>
  </w:style>
  <w:style w:type="table" w:customStyle="1" w:styleId="56">
    <w:name w:val="56"/>
    <w:basedOn w:val="TableNormal0"/>
    <w:pPr>
      <w:spacing w:before="0" w:line="240" w:lineRule="auto"/>
    </w:pPr>
    <w:tblPr>
      <w:tblStyleRowBandSize w:val="1"/>
      <w:tblStyleColBandSize w:val="1"/>
    </w:tblPr>
  </w:style>
  <w:style w:type="table" w:customStyle="1" w:styleId="55">
    <w:name w:val="55"/>
    <w:basedOn w:val="TableNormal0"/>
    <w:pPr>
      <w:spacing w:before="0" w:line="240" w:lineRule="auto"/>
    </w:pPr>
    <w:tblPr>
      <w:tblStyleRowBandSize w:val="1"/>
      <w:tblStyleColBandSize w:val="1"/>
    </w:tblPr>
  </w:style>
  <w:style w:type="table" w:customStyle="1" w:styleId="54">
    <w:name w:val="54"/>
    <w:basedOn w:val="TableNormal0"/>
    <w:pPr>
      <w:spacing w:before="0" w:line="240" w:lineRule="auto"/>
    </w:pPr>
    <w:tblPr>
      <w:tblStyleRowBandSize w:val="1"/>
      <w:tblStyleColBandSize w:val="1"/>
    </w:tblPr>
  </w:style>
  <w:style w:type="table" w:customStyle="1" w:styleId="53">
    <w:name w:val="53"/>
    <w:basedOn w:val="TableNormal0"/>
    <w:pPr>
      <w:spacing w:before="0" w:line="240" w:lineRule="auto"/>
    </w:pPr>
    <w:tblPr>
      <w:tblStyleRowBandSize w:val="1"/>
      <w:tblStyleColBandSize w:val="1"/>
      <w:tblCellMar>
        <w:left w:w="108" w:type="dxa"/>
        <w:right w:w="108" w:type="dxa"/>
      </w:tblCellMar>
    </w:tblPr>
  </w:style>
  <w:style w:type="table" w:customStyle="1" w:styleId="52">
    <w:name w:val="52"/>
    <w:basedOn w:val="TableNormal0"/>
    <w:pPr>
      <w:spacing w:before="0" w:line="240" w:lineRule="auto"/>
    </w:pPr>
    <w:tblPr>
      <w:tblStyleRowBandSize w:val="1"/>
      <w:tblStyleColBandSize w:val="1"/>
      <w:tblCellMar>
        <w:top w:w="100" w:type="dxa"/>
        <w:left w:w="100" w:type="dxa"/>
        <w:bottom w:w="100" w:type="dxa"/>
        <w:right w:w="100" w:type="dxa"/>
      </w:tblCellMar>
    </w:tblPr>
  </w:style>
  <w:style w:type="table" w:customStyle="1" w:styleId="51">
    <w:name w:val="51"/>
    <w:basedOn w:val="TableNormal1"/>
    <w:tblPr>
      <w:tblStyleRowBandSize w:val="1"/>
      <w:tblStyleColBandSize w:val="1"/>
    </w:tblPr>
  </w:style>
  <w:style w:type="table" w:customStyle="1" w:styleId="50">
    <w:name w:val="50"/>
    <w:basedOn w:val="TableNormal1"/>
    <w:pPr>
      <w:spacing w:before="0" w:line="240" w:lineRule="auto"/>
    </w:pPr>
    <w:tblPr>
      <w:tblStyleRowBandSize w:val="1"/>
      <w:tblStyleColBandSize w:val="1"/>
    </w:tblPr>
  </w:style>
  <w:style w:type="table" w:customStyle="1" w:styleId="49">
    <w:name w:val="49"/>
    <w:basedOn w:val="TableNormal1"/>
    <w:pPr>
      <w:spacing w:before="0" w:line="240" w:lineRule="auto"/>
    </w:pPr>
    <w:tblPr>
      <w:tblStyleRowBandSize w:val="1"/>
      <w:tblStyleColBandSize w:val="1"/>
    </w:tblPr>
  </w:style>
  <w:style w:type="table" w:customStyle="1" w:styleId="48">
    <w:name w:val="48"/>
    <w:basedOn w:val="TableNormal1"/>
    <w:pPr>
      <w:spacing w:before="0" w:line="240" w:lineRule="auto"/>
    </w:pPr>
    <w:tblPr>
      <w:tblStyleRowBandSize w:val="1"/>
      <w:tblStyleColBandSize w:val="1"/>
    </w:tblPr>
  </w:style>
  <w:style w:type="table" w:customStyle="1" w:styleId="47">
    <w:name w:val="47"/>
    <w:basedOn w:val="TableNormal1"/>
    <w:pPr>
      <w:spacing w:before="0" w:line="240" w:lineRule="auto"/>
    </w:pPr>
    <w:tblPr>
      <w:tblStyleRowBandSize w:val="1"/>
      <w:tblStyleColBandSize w:val="1"/>
    </w:tblPr>
  </w:style>
  <w:style w:type="table" w:customStyle="1" w:styleId="46">
    <w:name w:val="46"/>
    <w:basedOn w:val="TableNormal1"/>
    <w:pPr>
      <w:spacing w:before="0" w:line="240" w:lineRule="auto"/>
    </w:pPr>
    <w:tblPr>
      <w:tblStyleRowBandSize w:val="1"/>
      <w:tblStyleColBandSize w:val="1"/>
    </w:tblPr>
  </w:style>
  <w:style w:type="table" w:customStyle="1" w:styleId="45">
    <w:name w:val="45"/>
    <w:basedOn w:val="TableNormal1"/>
    <w:pPr>
      <w:spacing w:before="0" w:line="240" w:lineRule="auto"/>
    </w:pPr>
    <w:tblPr>
      <w:tblStyleRowBandSize w:val="1"/>
      <w:tblStyleColBandSize w:val="1"/>
    </w:tblPr>
  </w:style>
  <w:style w:type="table" w:customStyle="1" w:styleId="44">
    <w:name w:val="44"/>
    <w:basedOn w:val="TableNormal1"/>
    <w:pPr>
      <w:spacing w:before="0" w:line="240" w:lineRule="auto"/>
    </w:pPr>
    <w:tblPr>
      <w:tblStyleRowBandSize w:val="1"/>
      <w:tblStyleColBandSize w:val="1"/>
    </w:tblPr>
  </w:style>
  <w:style w:type="table" w:customStyle="1" w:styleId="43">
    <w:name w:val="43"/>
    <w:basedOn w:val="TableNormal1"/>
    <w:pPr>
      <w:spacing w:before="0" w:line="240" w:lineRule="auto"/>
    </w:pPr>
    <w:tblPr>
      <w:tblStyleRowBandSize w:val="1"/>
      <w:tblStyleColBandSize w:val="1"/>
    </w:tblPr>
  </w:style>
  <w:style w:type="table" w:customStyle="1" w:styleId="42">
    <w:name w:val="42"/>
    <w:basedOn w:val="TableNormal1"/>
    <w:pPr>
      <w:spacing w:before="0" w:line="240" w:lineRule="auto"/>
    </w:pPr>
    <w:tblPr>
      <w:tblStyleRowBandSize w:val="1"/>
      <w:tblStyleColBandSize w:val="1"/>
    </w:tblPr>
  </w:style>
  <w:style w:type="table" w:customStyle="1" w:styleId="41">
    <w:name w:val="41"/>
    <w:basedOn w:val="TableNormal1"/>
    <w:pPr>
      <w:spacing w:before="0" w:line="240" w:lineRule="auto"/>
    </w:pPr>
    <w:tblPr>
      <w:tblStyleRowBandSize w:val="1"/>
      <w:tblStyleColBandSize w:val="1"/>
      <w:tblCellMar>
        <w:top w:w="0" w:type="dxa"/>
        <w:left w:w="0" w:type="dxa"/>
        <w:bottom w:w="0" w:type="dxa"/>
        <w:right w:w="0" w:type="dxa"/>
      </w:tblCellMar>
    </w:tblPr>
  </w:style>
  <w:style w:type="table" w:customStyle="1" w:styleId="40">
    <w:name w:val="40"/>
    <w:basedOn w:val="TableNormal1"/>
    <w:pPr>
      <w:spacing w:before="0" w:line="240" w:lineRule="auto"/>
    </w:pPr>
    <w:tblPr>
      <w:tblStyleRowBandSize w:val="1"/>
      <w:tblStyleColBandSize w:val="1"/>
      <w:tblCellMar>
        <w:top w:w="0" w:type="dxa"/>
        <w:left w:w="0" w:type="dxa"/>
        <w:bottom w:w="0" w:type="dxa"/>
        <w:right w:w="0" w:type="dxa"/>
      </w:tblCellMar>
    </w:tblPr>
  </w:style>
  <w:style w:type="table" w:customStyle="1" w:styleId="39">
    <w:name w:val="39"/>
    <w:basedOn w:val="TableNormal1"/>
    <w:pPr>
      <w:spacing w:before="0" w:line="240" w:lineRule="auto"/>
    </w:pPr>
    <w:tblPr>
      <w:tblStyleRowBandSize w:val="1"/>
      <w:tblStyleColBandSize w:val="1"/>
      <w:tblCellMar>
        <w:top w:w="0" w:type="dxa"/>
        <w:left w:w="0" w:type="dxa"/>
        <w:bottom w:w="0" w:type="dxa"/>
        <w:right w:w="0" w:type="dxa"/>
      </w:tblCellMar>
    </w:tblPr>
  </w:style>
  <w:style w:type="table" w:customStyle="1" w:styleId="38">
    <w:name w:val="38"/>
    <w:basedOn w:val="TableNormal1"/>
    <w:pPr>
      <w:spacing w:before="0" w:line="240" w:lineRule="auto"/>
    </w:pPr>
    <w:tblPr>
      <w:tblStyleRowBandSize w:val="1"/>
      <w:tblStyleColBandSize w:val="1"/>
      <w:tblCellMar>
        <w:top w:w="0" w:type="dxa"/>
        <w:left w:w="0" w:type="dxa"/>
        <w:bottom w:w="0" w:type="dxa"/>
        <w:right w:w="0" w:type="dxa"/>
      </w:tblCellMar>
    </w:tblPr>
  </w:style>
  <w:style w:type="table" w:customStyle="1" w:styleId="37">
    <w:name w:val="37"/>
    <w:basedOn w:val="TableNormal1"/>
    <w:pPr>
      <w:spacing w:before="0" w:line="240" w:lineRule="auto"/>
    </w:pPr>
    <w:tblPr>
      <w:tblStyleRowBandSize w:val="1"/>
      <w:tblStyleColBandSize w:val="1"/>
      <w:tblCellMar>
        <w:top w:w="0" w:type="dxa"/>
        <w:left w:w="0" w:type="dxa"/>
        <w:bottom w:w="0" w:type="dxa"/>
        <w:right w:w="0" w:type="dxa"/>
      </w:tblCellMar>
    </w:tblPr>
  </w:style>
  <w:style w:type="table" w:customStyle="1" w:styleId="36">
    <w:name w:val="36"/>
    <w:basedOn w:val="TableNormal1"/>
    <w:pPr>
      <w:spacing w:before="0" w:line="240" w:lineRule="auto"/>
    </w:pPr>
    <w:tblPr>
      <w:tblStyleRowBandSize w:val="1"/>
      <w:tblStyleColBandSize w:val="1"/>
      <w:tblCellMar>
        <w:top w:w="0" w:type="dxa"/>
        <w:left w:w="108" w:type="dxa"/>
        <w:bottom w:w="0" w:type="dxa"/>
        <w:right w:w="108" w:type="dxa"/>
      </w:tblCellMar>
    </w:tblPr>
  </w:style>
  <w:style w:type="table" w:customStyle="1" w:styleId="35">
    <w:name w:val="35"/>
    <w:basedOn w:val="TableNormal1"/>
    <w:pPr>
      <w:spacing w:before="0" w:line="240" w:lineRule="auto"/>
    </w:pPr>
    <w:tblPr>
      <w:tblStyleRowBandSize w:val="1"/>
      <w:tblStyleColBandSize w:val="1"/>
    </w:tblPr>
  </w:style>
  <w:style w:type="table" w:customStyle="1" w:styleId="34">
    <w:name w:val="34"/>
    <w:basedOn w:val="TableNormal2"/>
    <w:tblPr>
      <w:tblStyleRowBandSize w:val="1"/>
      <w:tblStyleColBandSize w:val="1"/>
    </w:tblPr>
  </w:style>
  <w:style w:type="table" w:customStyle="1" w:styleId="33">
    <w:name w:val="33"/>
    <w:basedOn w:val="TableNormal2"/>
    <w:pPr>
      <w:spacing w:before="0" w:line="240" w:lineRule="auto"/>
    </w:pPr>
    <w:tblPr>
      <w:tblStyleRowBandSize w:val="1"/>
      <w:tblStyleColBandSize w:val="1"/>
    </w:tblPr>
  </w:style>
  <w:style w:type="table" w:customStyle="1" w:styleId="32">
    <w:name w:val="32"/>
    <w:basedOn w:val="TableNormal2"/>
    <w:pPr>
      <w:spacing w:before="0" w:line="240" w:lineRule="auto"/>
    </w:pPr>
    <w:tblPr>
      <w:tblStyleRowBandSize w:val="1"/>
      <w:tblStyleColBandSize w:val="1"/>
    </w:tblPr>
  </w:style>
  <w:style w:type="table" w:customStyle="1" w:styleId="31">
    <w:name w:val="31"/>
    <w:basedOn w:val="TableNormal2"/>
    <w:pPr>
      <w:spacing w:before="0" w:line="240" w:lineRule="auto"/>
    </w:pPr>
    <w:tblPr>
      <w:tblStyleRowBandSize w:val="1"/>
      <w:tblStyleColBandSize w:val="1"/>
    </w:tblPr>
  </w:style>
  <w:style w:type="table" w:customStyle="1" w:styleId="30">
    <w:name w:val="30"/>
    <w:basedOn w:val="TableNormal2"/>
    <w:pPr>
      <w:spacing w:before="0" w:line="240" w:lineRule="auto"/>
    </w:pPr>
    <w:tblPr>
      <w:tblStyleRowBandSize w:val="1"/>
      <w:tblStyleColBandSize w:val="1"/>
    </w:tblPr>
  </w:style>
  <w:style w:type="table" w:customStyle="1" w:styleId="29">
    <w:name w:val="29"/>
    <w:basedOn w:val="TableNormal2"/>
    <w:pPr>
      <w:spacing w:before="0" w:line="240" w:lineRule="auto"/>
    </w:pPr>
    <w:tblPr>
      <w:tblStyleRowBandSize w:val="1"/>
      <w:tblStyleColBandSize w:val="1"/>
    </w:tblPr>
  </w:style>
  <w:style w:type="table" w:customStyle="1" w:styleId="28">
    <w:name w:val="28"/>
    <w:basedOn w:val="TableNormal2"/>
    <w:pPr>
      <w:spacing w:before="0" w:line="240" w:lineRule="auto"/>
    </w:pPr>
    <w:tblPr>
      <w:tblStyleRowBandSize w:val="1"/>
      <w:tblStyleColBandSize w:val="1"/>
    </w:tblPr>
  </w:style>
  <w:style w:type="table" w:customStyle="1" w:styleId="27">
    <w:name w:val="27"/>
    <w:basedOn w:val="TableNormal2"/>
    <w:pPr>
      <w:spacing w:before="0" w:line="240" w:lineRule="auto"/>
    </w:pPr>
    <w:tblPr>
      <w:tblStyleRowBandSize w:val="1"/>
      <w:tblStyleColBandSize w:val="1"/>
    </w:tblPr>
  </w:style>
  <w:style w:type="table" w:customStyle="1" w:styleId="26">
    <w:name w:val="26"/>
    <w:basedOn w:val="TableNormal2"/>
    <w:pPr>
      <w:spacing w:before="0" w:line="240" w:lineRule="auto"/>
    </w:pPr>
    <w:tblPr>
      <w:tblStyleRowBandSize w:val="1"/>
      <w:tblStyleColBandSize w:val="1"/>
    </w:tblPr>
  </w:style>
  <w:style w:type="table" w:customStyle="1" w:styleId="25">
    <w:name w:val="25"/>
    <w:basedOn w:val="TableNormal2"/>
    <w:pPr>
      <w:spacing w:before="0" w:line="240" w:lineRule="auto"/>
    </w:pPr>
    <w:tblPr>
      <w:tblStyleRowBandSize w:val="1"/>
      <w:tblStyleColBandSize w:val="1"/>
    </w:tblPr>
  </w:style>
  <w:style w:type="table" w:customStyle="1" w:styleId="24">
    <w:name w:val="24"/>
    <w:basedOn w:val="TableNormal2"/>
    <w:pPr>
      <w:spacing w:before="0" w:line="240" w:lineRule="auto"/>
    </w:pPr>
    <w:tblPr>
      <w:tblStyleRowBandSize w:val="1"/>
      <w:tblStyleColBandSize w:val="1"/>
      <w:tblCellMar>
        <w:top w:w="0" w:type="dxa"/>
        <w:left w:w="0" w:type="dxa"/>
        <w:bottom w:w="0" w:type="dxa"/>
        <w:right w:w="0" w:type="dxa"/>
      </w:tblCellMar>
    </w:tblPr>
  </w:style>
  <w:style w:type="table" w:customStyle="1" w:styleId="23">
    <w:name w:val="23"/>
    <w:basedOn w:val="TableNormal2"/>
    <w:pPr>
      <w:spacing w:before="0" w:line="240" w:lineRule="auto"/>
    </w:pPr>
    <w:tblPr>
      <w:tblStyleRowBandSize w:val="1"/>
      <w:tblStyleColBandSize w:val="1"/>
      <w:tblCellMar>
        <w:top w:w="0" w:type="dxa"/>
        <w:left w:w="0" w:type="dxa"/>
        <w:bottom w:w="0" w:type="dxa"/>
        <w:right w:w="0" w:type="dxa"/>
      </w:tblCellMar>
    </w:tblPr>
  </w:style>
  <w:style w:type="table" w:customStyle="1" w:styleId="22">
    <w:name w:val="22"/>
    <w:basedOn w:val="TableNormal2"/>
    <w:pPr>
      <w:spacing w:before="0" w:line="240" w:lineRule="auto"/>
    </w:pPr>
    <w:tblPr>
      <w:tblStyleRowBandSize w:val="1"/>
      <w:tblStyleColBandSize w:val="1"/>
      <w:tblCellMar>
        <w:top w:w="0" w:type="dxa"/>
        <w:left w:w="0" w:type="dxa"/>
        <w:bottom w:w="0" w:type="dxa"/>
        <w:right w:w="0" w:type="dxa"/>
      </w:tblCellMar>
    </w:tblPr>
  </w:style>
  <w:style w:type="table" w:customStyle="1" w:styleId="21">
    <w:name w:val="21"/>
    <w:basedOn w:val="TableNormal2"/>
    <w:pPr>
      <w:spacing w:before="0" w:line="240" w:lineRule="auto"/>
    </w:pPr>
    <w:tblPr>
      <w:tblStyleRowBandSize w:val="1"/>
      <w:tblStyleColBandSize w:val="1"/>
      <w:tblCellMar>
        <w:top w:w="0" w:type="dxa"/>
        <w:left w:w="0" w:type="dxa"/>
        <w:bottom w:w="0" w:type="dxa"/>
        <w:right w:w="0" w:type="dxa"/>
      </w:tblCellMar>
    </w:tblPr>
  </w:style>
  <w:style w:type="table" w:customStyle="1" w:styleId="20">
    <w:name w:val="20"/>
    <w:basedOn w:val="TableNormal2"/>
    <w:pPr>
      <w:spacing w:before="0" w:line="240" w:lineRule="auto"/>
    </w:pPr>
    <w:tblPr>
      <w:tblStyleRowBandSize w:val="1"/>
      <w:tblStyleColBandSize w:val="1"/>
      <w:tblCellMar>
        <w:top w:w="0" w:type="dxa"/>
        <w:left w:w="0" w:type="dxa"/>
        <w:bottom w:w="0" w:type="dxa"/>
        <w:right w:w="0" w:type="dxa"/>
      </w:tblCellMar>
    </w:tblPr>
  </w:style>
  <w:style w:type="table" w:customStyle="1" w:styleId="19">
    <w:name w:val="19"/>
    <w:basedOn w:val="TableNormal2"/>
    <w:pPr>
      <w:spacing w:before="0" w:line="240" w:lineRule="auto"/>
    </w:pPr>
    <w:tblPr>
      <w:tblStyleRowBandSize w:val="1"/>
      <w:tblStyleColBandSize w:val="1"/>
      <w:tblCellMar>
        <w:top w:w="0" w:type="dxa"/>
        <w:left w:w="108" w:type="dxa"/>
        <w:bottom w:w="0" w:type="dxa"/>
        <w:right w:w="108" w:type="dxa"/>
      </w:tblCellMar>
    </w:tblPr>
  </w:style>
  <w:style w:type="table" w:customStyle="1" w:styleId="18">
    <w:name w:val="18"/>
    <w:basedOn w:val="TableNormal2"/>
    <w:pPr>
      <w:spacing w:before="0" w:line="240" w:lineRule="auto"/>
    </w:pPr>
    <w:tblPr>
      <w:tblStyleRowBandSize w:val="1"/>
      <w:tblStyleColBandSize w:val="1"/>
    </w:tblPr>
  </w:style>
  <w:style w:type="paragraph" w:styleId="ndiceremissivo1">
    <w:name w:val="index 1"/>
    <w:basedOn w:val="Normal"/>
    <w:next w:val="Normal"/>
    <w:autoRedefine/>
    <w:uiPriority w:val="99"/>
    <w:semiHidden/>
    <w:unhideWhenUsed/>
    <w:rsid w:val="00503FD0"/>
    <w:pPr>
      <w:spacing w:before="0" w:line="240" w:lineRule="auto"/>
      <w:ind w:left="220" w:hanging="220"/>
    </w:pPr>
  </w:style>
  <w:style w:type="paragraph" w:styleId="Subttulo">
    <w:name w:val="Subtitle"/>
    <w:basedOn w:val="Normal"/>
    <w:next w:val="Normal"/>
    <w:uiPriority w:val="11"/>
    <w:qFormat/>
    <w:pPr>
      <w:keepNext/>
      <w:keepLines/>
      <w:spacing w:after="200"/>
      <w:ind w:right="0"/>
      <w:jc w:val="left"/>
    </w:pPr>
    <w:rPr>
      <w:sz w:val="32"/>
      <w:szCs w:val="32"/>
    </w:rPr>
  </w:style>
  <w:style w:type="table" w:customStyle="1" w:styleId="17">
    <w:name w:val="17"/>
    <w:basedOn w:val="TableNormal3"/>
    <w:tblPr>
      <w:tblStyleRowBandSize w:val="1"/>
      <w:tblStyleColBandSize w:val="1"/>
    </w:tblPr>
  </w:style>
  <w:style w:type="table" w:customStyle="1" w:styleId="16">
    <w:name w:val="16"/>
    <w:basedOn w:val="TableNormal3"/>
    <w:pPr>
      <w:spacing w:before="0" w:line="240" w:lineRule="auto"/>
    </w:pPr>
    <w:tblPr>
      <w:tblStyleRowBandSize w:val="1"/>
      <w:tblStyleColBandSize w:val="1"/>
    </w:tblPr>
  </w:style>
  <w:style w:type="table" w:customStyle="1" w:styleId="15">
    <w:name w:val="15"/>
    <w:basedOn w:val="TableNormal3"/>
    <w:pPr>
      <w:spacing w:before="0" w:line="240" w:lineRule="auto"/>
    </w:pPr>
    <w:tblPr>
      <w:tblStyleRowBandSize w:val="1"/>
      <w:tblStyleColBandSize w:val="1"/>
    </w:tblPr>
  </w:style>
  <w:style w:type="table" w:customStyle="1" w:styleId="14">
    <w:name w:val="14"/>
    <w:basedOn w:val="TableNormal3"/>
    <w:pPr>
      <w:spacing w:before="0" w:line="240" w:lineRule="auto"/>
    </w:pPr>
    <w:tblPr>
      <w:tblStyleRowBandSize w:val="1"/>
      <w:tblStyleColBandSize w:val="1"/>
    </w:tblPr>
  </w:style>
  <w:style w:type="table" w:customStyle="1" w:styleId="13">
    <w:name w:val="13"/>
    <w:basedOn w:val="TableNormal3"/>
    <w:pPr>
      <w:spacing w:before="0" w:line="240" w:lineRule="auto"/>
    </w:pPr>
    <w:tblPr>
      <w:tblStyleRowBandSize w:val="1"/>
      <w:tblStyleColBandSize w:val="1"/>
    </w:tblPr>
  </w:style>
  <w:style w:type="table" w:customStyle="1" w:styleId="12">
    <w:name w:val="12"/>
    <w:basedOn w:val="TableNormal3"/>
    <w:pPr>
      <w:spacing w:before="0" w:line="240" w:lineRule="auto"/>
    </w:pPr>
    <w:tblPr>
      <w:tblStyleRowBandSize w:val="1"/>
      <w:tblStyleColBandSize w:val="1"/>
    </w:tblPr>
  </w:style>
  <w:style w:type="table" w:customStyle="1" w:styleId="11">
    <w:name w:val="11"/>
    <w:basedOn w:val="TableNormal3"/>
    <w:pPr>
      <w:spacing w:before="0" w:line="240" w:lineRule="auto"/>
    </w:pPr>
    <w:tblPr>
      <w:tblStyleRowBandSize w:val="1"/>
      <w:tblStyleColBandSize w:val="1"/>
    </w:tblPr>
  </w:style>
  <w:style w:type="table" w:customStyle="1" w:styleId="10">
    <w:name w:val="10"/>
    <w:basedOn w:val="TableNormal3"/>
    <w:pPr>
      <w:spacing w:before="0" w:line="240" w:lineRule="auto"/>
    </w:pPr>
    <w:tblPr>
      <w:tblStyleRowBandSize w:val="1"/>
      <w:tblStyleColBandSize w:val="1"/>
    </w:tblPr>
  </w:style>
  <w:style w:type="table" w:customStyle="1" w:styleId="9">
    <w:name w:val="9"/>
    <w:basedOn w:val="TableNormal3"/>
    <w:pPr>
      <w:spacing w:before="0" w:line="240" w:lineRule="auto"/>
    </w:pPr>
    <w:tblPr>
      <w:tblStyleRowBandSize w:val="1"/>
      <w:tblStyleColBandSize w:val="1"/>
    </w:tblPr>
  </w:style>
  <w:style w:type="table" w:customStyle="1" w:styleId="8">
    <w:name w:val="8"/>
    <w:basedOn w:val="TableNormal3"/>
    <w:pPr>
      <w:spacing w:before="0" w:line="240" w:lineRule="auto"/>
    </w:pPr>
    <w:tblPr>
      <w:tblStyleRowBandSize w:val="1"/>
      <w:tblStyleColBandSize w:val="1"/>
    </w:tblPr>
  </w:style>
  <w:style w:type="table" w:customStyle="1" w:styleId="7">
    <w:name w:val="7"/>
    <w:basedOn w:val="TableNormal3"/>
    <w:pPr>
      <w:spacing w:before="0" w:line="240" w:lineRule="auto"/>
    </w:pPr>
    <w:tblPr>
      <w:tblStyleRowBandSize w:val="1"/>
      <w:tblStyleColBandSize w:val="1"/>
      <w:tblCellMar>
        <w:top w:w="0" w:type="dxa"/>
        <w:left w:w="0" w:type="dxa"/>
        <w:bottom w:w="0" w:type="dxa"/>
        <w:right w:w="0" w:type="dxa"/>
      </w:tblCellMar>
    </w:tblPr>
  </w:style>
  <w:style w:type="table" w:customStyle="1" w:styleId="6">
    <w:name w:val="6"/>
    <w:basedOn w:val="TableNormal3"/>
    <w:pPr>
      <w:spacing w:before="0" w:line="240" w:lineRule="auto"/>
    </w:pPr>
    <w:tblPr>
      <w:tblStyleRowBandSize w:val="1"/>
      <w:tblStyleColBandSize w:val="1"/>
      <w:tblCellMar>
        <w:top w:w="0" w:type="dxa"/>
        <w:left w:w="0" w:type="dxa"/>
        <w:bottom w:w="0" w:type="dxa"/>
        <w:right w:w="0" w:type="dxa"/>
      </w:tblCellMar>
    </w:tblPr>
  </w:style>
  <w:style w:type="table" w:customStyle="1" w:styleId="5">
    <w:name w:val="5"/>
    <w:basedOn w:val="TableNormal3"/>
    <w:pPr>
      <w:spacing w:before="0" w:line="240" w:lineRule="auto"/>
    </w:pPr>
    <w:tblPr>
      <w:tblStyleRowBandSize w:val="1"/>
      <w:tblStyleColBandSize w:val="1"/>
      <w:tblCellMar>
        <w:top w:w="0" w:type="dxa"/>
        <w:left w:w="0" w:type="dxa"/>
        <w:bottom w:w="0" w:type="dxa"/>
        <w:right w:w="0" w:type="dxa"/>
      </w:tblCellMar>
    </w:tblPr>
  </w:style>
  <w:style w:type="table" w:customStyle="1" w:styleId="4">
    <w:name w:val="4"/>
    <w:basedOn w:val="TableNormal3"/>
    <w:pPr>
      <w:spacing w:before="0" w:line="240" w:lineRule="auto"/>
    </w:pPr>
    <w:tblPr>
      <w:tblStyleRowBandSize w:val="1"/>
      <w:tblStyleColBandSize w:val="1"/>
      <w:tblCellMar>
        <w:top w:w="0" w:type="dxa"/>
        <w:left w:w="0" w:type="dxa"/>
        <w:bottom w:w="0" w:type="dxa"/>
        <w:right w:w="0" w:type="dxa"/>
      </w:tblCellMar>
    </w:tblPr>
  </w:style>
  <w:style w:type="table" w:customStyle="1" w:styleId="3">
    <w:name w:val="3"/>
    <w:basedOn w:val="TableNormal3"/>
    <w:pPr>
      <w:spacing w:before="0" w:line="240" w:lineRule="auto"/>
    </w:pPr>
    <w:tblPr>
      <w:tblStyleRowBandSize w:val="1"/>
      <w:tblStyleColBandSize w:val="1"/>
      <w:tblCellMar>
        <w:top w:w="0" w:type="dxa"/>
        <w:left w:w="0" w:type="dxa"/>
        <w:bottom w:w="0" w:type="dxa"/>
        <w:right w:w="0" w:type="dxa"/>
      </w:tblCellMar>
    </w:tblPr>
  </w:style>
  <w:style w:type="table" w:customStyle="1" w:styleId="2">
    <w:name w:val="2"/>
    <w:basedOn w:val="TableNormal3"/>
    <w:pPr>
      <w:spacing w:before="0" w:line="240" w:lineRule="auto"/>
    </w:pPr>
    <w:tblPr>
      <w:tblStyleRowBandSize w:val="1"/>
      <w:tblStyleColBandSize w:val="1"/>
      <w:tblCellMar>
        <w:top w:w="0" w:type="dxa"/>
        <w:left w:w="108" w:type="dxa"/>
        <w:bottom w:w="0" w:type="dxa"/>
        <w:right w:w="108" w:type="dxa"/>
      </w:tblCellMar>
    </w:tblPr>
  </w:style>
  <w:style w:type="table" w:customStyle="1" w:styleId="1">
    <w:name w:val="1"/>
    <w:basedOn w:val="TableNormal3"/>
    <w:pPr>
      <w:spacing w:before="0" w:line="240" w:lineRule="auto"/>
    </w:pPr>
    <w:tblPr>
      <w:tblStyleRowBandSize w:val="1"/>
      <w:tblStyleColBandSize w:val="1"/>
    </w:tblPr>
  </w:style>
  <w:style w:type="paragraph" w:styleId="ndice1">
    <w:name w:val="toc 1"/>
    <w:basedOn w:val="Normal"/>
    <w:next w:val="Normal"/>
    <w:autoRedefine/>
    <w:uiPriority w:val="39"/>
    <w:unhideWhenUsed/>
    <w:rsid w:val="00FB2631"/>
    <w:pPr>
      <w:tabs>
        <w:tab w:val="left" w:pos="440"/>
        <w:tab w:val="right" w:pos="6228"/>
      </w:tabs>
      <w:spacing w:before="80" w:line="240" w:lineRule="auto"/>
      <w:ind w:right="0"/>
      <w:jc w:val="left"/>
    </w:pPr>
    <w:rPr>
      <w:rFonts w:cstheme="majorHAnsi"/>
      <w:b/>
      <w:bCs/>
      <w:caps/>
      <w:noProof/>
      <w:sz w:val="18"/>
      <w:szCs w:val="18"/>
    </w:rPr>
  </w:style>
  <w:style w:type="paragraph" w:styleId="ndice2">
    <w:name w:val="toc 2"/>
    <w:basedOn w:val="ndice1"/>
    <w:next w:val="Normal"/>
    <w:autoRedefine/>
    <w:uiPriority w:val="39"/>
    <w:unhideWhenUsed/>
    <w:rsid w:val="00A66FD2"/>
    <w:pPr>
      <w:ind w:left="284"/>
    </w:pPr>
  </w:style>
  <w:style w:type="paragraph" w:styleId="ndice3">
    <w:name w:val="toc 3"/>
    <w:basedOn w:val="Normal"/>
    <w:next w:val="Normal"/>
    <w:autoRedefine/>
    <w:uiPriority w:val="39"/>
    <w:unhideWhenUsed/>
    <w:rsid w:val="00CF390C"/>
    <w:pPr>
      <w:spacing w:before="0"/>
      <w:ind w:left="220"/>
      <w:jc w:val="left"/>
    </w:pPr>
    <w:rPr>
      <w:rFonts w:asciiTheme="minorHAnsi" w:hAnsiTheme="minorHAnsi"/>
      <w:sz w:val="20"/>
      <w:szCs w:val="20"/>
    </w:rPr>
  </w:style>
  <w:style w:type="paragraph" w:styleId="ndice4">
    <w:name w:val="toc 4"/>
    <w:basedOn w:val="Normal"/>
    <w:next w:val="Normal"/>
    <w:autoRedefine/>
    <w:uiPriority w:val="39"/>
    <w:unhideWhenUsed/>
    <w:rsid w:val="00CF390C"/>
    <w:pPr>
      <w:spacing w:before="0"/>
      <w:ind w:left="440"/>
      <w:jc w:val="left"/>
    </w:pPr>
    <w:rPr>
      <w:rFonts w:asciiTheme="minorHAnsi" w:hAnsiTheme="minorHAnsi"/>
      <w:sz w:val="20"/>
      <w:szCs w:val="20"/>
    </w:rPr>
  </w:style>
  <w:style w:type="paragraph" w:styleId="ndice5">
    <w:name w:val="toc 5"/>
    <w:basedOn w:val="Normal"/>
    <w:next w:val="Normal"/>
    <w:autoRedefine/>
    <w:uiPriority w:val="39"/>
    <w:unhideWhenUsed/>
    <w:rsid w:val="00CF390C"/>
    <w:pPr>
      <w:spacing w:before="0"/>
      <w:ind w:left="660"/>
      <w:jc w:val="left"/>
    </w:pPr>
    <w:rPr>
      <w:rFonts w:asciiTheme="minorHAnsi" w:hAnsiTheme="minorHAnsi"/>
      <w:sz w:val="20"/>
      <w:szCs w:val="20"/>
    </w:rPr>
  </w:style>
  <w:style w:type="paragraph" w:styleId="ndice6">
    <w:name w:val="toc 6"/>
    <w:basedOn w:val="Normal"/>
    <w:next w:val="Normal"/>
    <w:autoRedefine/>
    <w:uiPriority w:val="39"/>
    <w:unhideWhenUsed/>
    <w:rsid w:val="00CF390C"/>
    <w:pPr>
      <w:spacing w:before="0"/>
      <w:ind w:left="880"/>
      <w:jc w:val="left"/>
    </w:pPr>
    <w:rPr>
      <w:rFonts w:asciiTheme="minorHAnsi" w:hAnsiTheme="minorHAnsi"/>
      <w:sz w:val="20"/>
      <w:szCs w:val="20"/>
    </w:rPr>
  </w:style>
  <w:style w:type="paragraph" w:styleId="ndice7">
    <w:name w:val="toc 7"/>
    <w:basedOn w:val="Normal"/>
    <w:next w:val="Normal"/>
    <w:autoRedefine/>
    <w:uiPriority w:val="39"/>
    <w:unhideWhenUsed/>
    <w:rsid w:val="00CF390C"/>
    <w:pPr>
      <w:spacing w:before="0"/>
      <w:ind w:left="1100"/>
      <w:jc w:val="left"/>
    </w:pPr>
    <w:rPr>
      <w:rFonts w:asciiTheme="minorHAnsi" w:hAnsiTheme="minorHAnsi"/>
      <w:sz w:val="20"/>
      <w:szCs w:val="20"/>
    </w:rPr>
  </w:style>
  <w:style w:type="paragraph" w:styleId="ndice8">
    <w:name w:val="toc 8"/>
    <w:basedOn w:val="Normal"/>
    <w:next w:val="Normal"/>
    <w:autoRedefine/>
    <w:uiPriority w:val="39"/>
    <w:unhideWhenUsed/>
    <w:rsid w:val="00CF390C"/>
    <w:pPr>
      <w:spacing w:before="0"/>
      <w:ind w:left="1320"/>
      <w:jc w:val="left"/>
    </w:pPr>
    <w:rPr>
      <w:rFonts w:asciiTheme="minorHAnsi" w:hAnsiTheme="minorHAnsi"/>
      <w:sz w:val="20"/>
      <w:szCs w:val="20"/>
    </w:rPr>
  </w:style>
  <w:style w:type="paragraph" w:styleId="ndice9">
    <w:name w:val="toc 9"/>
    <w:basedOn w:val="Normal"/>
    <w:next w:val="Normal"/>
    <w:autoRedefine/>
    <w:uiPriority w:val="39"/>
    <w:unhideWhenUsed/>
    <w:rsid w:val="00CF390C"/>
    <w:pPr>
      <w:spacing w:before="0"/>
      <w:ind w:left="1540"/>
      <w:jc w:val="left"/>
    </w:pPr>
    <w:rPr>
      <w:rFonts w:asciiTheme="minorHAnsi" w:hAnsiTheme="minorHAnsi"/>
      <w:sz w:val="20"/>
      <w:szCs w:val="20"/>
    </w:rPr>
  </w:style>
  <w:style w:type="character" w:styleId="Hiperligao">
    <w:name w:val="Hyperlink"/>
    <w:basedOn w:val="Tipodeletrapredefinidodopargrafo"/>
    <w:uiPriority w:val="99"/>
    <w:unhideWhenUsed/>
    <w:rsid w:val="00CF390C"/>
    <w:rPr>
      <w:color w:val="0000FF" w:themeColor="hyperlink"/>
      <w:u w:val="single"/>
    </w:rPr>
  </w:style>
  <w:style w:type="paragraph" w:styleId="Cabealhodondice">
    <w:name w:val="TOC Heading"/>
    <w:basedOn w:val="Normal"/>
    <w:next w:val="Normal"/>
    <w:uiPriority w:val="39"/>
    <w:unhideWhenUsed/>
    <w:qFormat/>
    <w:rsid w:val="00A66FD2"/>
    <w:pPr>
      <w:keepNext/>
      <w:keepLines/>
      <w:spacing w:before="4000" w:after="200" w:line="240" w:lineRule="auto"/>
      <w:ind w:right="0"/>
      <w:jc w:val="left"/>
    </w:pPr>
    <w:rPr>
      <w:rFonts w:ascii="Helvetica Neue" w:eastAsiaTheme="majorEastAsia" w:hAnsi="Helvetica Neue" w:cstheme="majorBidi"/>
      <w:b/>
      <w:bCs/>
      <w:sz w:val="28"/>
      <w:szCs w:val="28"/>
    </w:rPr>
  </w:style>
  <w:style w:type="paragraph" w:customStyle="1" w:styleId="Estilo1">
    <w:name w:val="Estilo1"/>
    <w:basedOn w:val="ndice1"/>
    <w:qFormat/>
    <w:rsid w:val="0088384A"/>
    <w:rPr>
      <w:b w:val="0"/>
      <w:bCs w:val="0"/>
    </w:rPr>
  </w:style>
  <w:style w:type="paragraph" w:styleId="Textodenotaderodap">
    <w:name w:val="footnote text"/>
    <w:basedOn w:val="Normal"/>
    <w:link w:val="TextodenotaderodapCarter"/>
    <w:uiPriority w:val="99"/>
    <w:unhideWhenUsed/>
    <w:rsid w:val="00CA2845"/>
    <w:pPr>
      <w:spacing w:before="0" w:line="240" w:lineRule="auto"/>
    </w:pPr>
    <w:rPr>
      <w:sz w:val="20"/>
      <w:szCs w:val="20"/>
    </w:rPr>
  </w:style>
  <w:style w:type="character" w:customStyle="1" w:styleId="TextodenotaderodapCarter">
    <w:name w:val="Texto de nota de rodapé Caráter"/>
    <w:basedOn w:val="Tipodeletrapredefinidodopargrafo"/>
    <w:link w:val="Textodenotaderodap"/>
    <w:uiPriority w:val="99"/>
    <w:rsid w:val="00CA2845"/>
    <w:rPr>
      <w:sz w:val="20"/>
      <w:szCs w:val="20"/>
    </w:rPr>
  </w:style>
  <w:style w:type="character" w:styleId="Refdenotaderodap">
    <w:name w:val="footnote reference"/>
    <w:basedOn w:val="Tipodeletrapredefinidodopargrafo"/>
    <w:uiPriority w:val="99"/>
    <w:semiHidden/>
    <w:unhideWhenUsed/>
    <w:rsid w:val="00CA2845"/>
    <w:rPr>
      <w:vertAlign w:val="superscript"/>
    </w:rPr>
  </w:style>
  <w:style w:type="character" w:styleId="MenoNoResolvida">
    <w:name w:val="Unresolved Mention"/>
    <w:basedOn w:val="Tipodeletrapredefinidodopargrafo"/>
    <w:uiPriority w:val="99"/>
    <w:semiHidden/>
    <w:unhideWhenUsed/>
    <w:rsid w:val="00F3701B"/>
    <w:rPr>
      <w:color w:val="605E5C"/>
      <w:shd w:val="clear" w:color="auto" w:fill="E1DFDD"/>
    </w:rPr>
  </w:style>
  <w:style w:type="character" w:styleId="Hiperligaovisitada">
    <w:name w:val="FollowedHyperlink"/>
    <w:basedOn w:val="Tipodeletrapredefinidodopargrafo"/>
    <w:uiPriority w:val="99"/>
    <w:semiHidden/>
    <w:unhideWhenUsed/>
    <w:rsid w:val="00A92C8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4.xml"/><Relationship Id="rId3" Type="http://schemas.openxmlformats.org/officeDocument/2006/relationships/numbering" Target="numbering.xml"/><Relationship Id="rId21" Type="http://schemas.openxmlformats.org/officeDocument/2006/relationships/hyperlink" Target="https://europa.eu/youreurope/citizens/health/planned-healthcare/right-to-treatment/index_en.htm"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eur-lex.europa.eu/legal-content/EN/TXT/?uri=celex:61964CJ000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footer" Target="footer5.xml"/><Relationship Id="rId10" Type="http://schemas.openxmlformats.org/officeDocument/2006/relationships/header" Target="header2.xml"/><Relationship Id="rId19" Type="http://schemas.openxmlformats.org/officeDocument/2006/relationships/hyperlink" Target="http://hdl.handle.net/11328/4760"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5.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footer5.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8" Type="http://schemas.openxmlformats.org/officeDocument/2006/relationships/hyperlink" Target="https://www.europarl.europa.eu/factsheets/pt/sheet/3/os-tratados-de-maastricht-e-de-amesterdao" TargetMode="External"/><Relationship Id="rId13" Type="http://schemas.openxmlformats.org/officeDocument/2006/relationships/hyperlink" Target="https://www.europarl.europa.eu/doceo/document/TA-9-2022-0244_EN.html" TargetMode="External"/><Relationship Id="rId18" Type="http://schemas.openxmlformats.org/officeDocument/2006/relationships/hyperlink" Target="https://eurocid.mne.gov.pt/artigos/eurobarometro-cidadania-europeia-2021-2022" TargetMode="External"/><Relationship Id="rId3" Type="http://schemas.openxmlformats.org/officeDocument/2006/relationships/hyperlink" Target="https://revistajuridica.presidencia.gov.br/index.php/saj/article/view/461" TargetMode="External"/><Relationship Id="rId21" Type="http://schemas.openxmlformats.org/officeDocument/2006/relationships/hyperlink" Target="https://european-union.europa.eu/principles-countries-history/facts-and-figures-european-union_pt" TargetMode="External"/><Relationship Id="rId7" Type="http://schemas.openxmlformats.org/officeDocument/2006/relationships/hyperlink" Target="https://eur-lex.europa.eu/legal-content/pt/TXT/?uri=LEGISSUM:xy0027" TargetMode="External"/><Relationship Id="rId12" Type="http://schemas.openxmlformats.org/officeDocument/2006/relationships/hyperlink" Target="https://www.rtp.pt/noticias/mundo/irlandeses-chumbam-tratado-de-lisboa-em-referendo_n148250" TargetMode="External"/><Relationship Id="rId17" Type="http://schemas.openxmlformats.org/officeDocument/2006/relationships/hyperlink" Target="http://hdl.handle.net/11328/636" TargetMode="External"/><Relationship Id="rId2" Type="http://schemas.openxmlformats.org/officeDocument/2006/relationships/hyperlink" Target="https://diariodarepublica.pt/dr/lexionario/termo/confederacao" TargetMode="External"/><Relationship Id="rId16" Type="http://schemas.openxmlformats.org/officeDocument/2006/relationships/hyperlink" Target="https://eur-lex.europa.eu/legal-content/PT/ALL/?uri=OJ%3AC%3A2004%3A310%3ATOC" TargetMode="External"/><Relationship Id="rId20" Type="http://schemas.openxmlformats.org/officeDocument/2006/relationships/hyperlink" Target="https://pt.euronews.com/my-europe/2024/05/27/ja-foi-longe-demais-paises-da-ue-mostram-se-descontentes-com-vetos-da-hungria-a-ajuda-a-uc" TargetMode="External"/><Relationship Id="rId1" Type="http://schemas.openxmlformats.org/officeDocument/2006/relationships/hyperlink" Target="https://revista.direito.ufmg.br/index.php/revista/pt/article/view/1431" TargetMode="External"/><Relationship Id="rId6" Type="http://schemas.openxmlformats.org/officeDocument/2006/relationships/hyperlink" Target="https://www.europarl.europa.eu/about-parliament/pt/in-the-past/the-parliament-and-the-treaties/euratom-treaty" TargetMode="External"/><Relationship Id="rId11" Type="http://schemas.openxmlformats.org/officeDocument/2006/relationships/hyperlink" Target="https://www.senate.gov/about/origins-foundations/senate-and-constitution/constitution.htm" TargetMode="External"/><Relationship Id="rId24" Type="http://schemas.openxmlformats.org/officeDocument/2006/relationships/hyperlink" Target="https://europa.eu/youreurope/citizens/health/planned-healthcare/right-to-treatment/index_en.htm" TargetMode="External"/><Relationship Id="rId5" Type="http://schemas.openxmlformats.org/officeDocument/2006/relationships/hyperlink" Target="https://eur-lex.europa.eu/EN/legal-content/summary/treaty-establishing-the-european-coal-and-steel-community-ecsc-treaty.html" TargetMode="External"/><Relationship Id="rId15" Type="http://schemas.openxmlformats.org/officeDocument/2006/relationships/hyperlink" Target="https://www.europarl.europa.eu/doceo/document/TA-8-2017-0048_EN.html" TargetMode="External"/><Relationship Id="rId23" Type="http://schemas.openxmlformats.org/officeDocument/2006/relationships/hyperlink" Target="https://employment-social-affairs.ec.europa.eu/policies-and-activities/moving-working-europe/eu-social-security-coordination/european-health-insurance-card_en" TargetMode="External"/><Relationship Id="rId10" Type="http://schemas.openxmlformats.org/officeDocument/2006/relationships/hyperlink" Target="https://www.parlamento.pt/europa/paginas/tratadodelisboa.aspx" TargetMode="External"/><Relationship Id="rId19" Type="http://schemas.openxmlformats.org/officeDocument/2006/relationships/hyperlink" Target="https://www.rtp.pt/noticias/rtpeuropa/hungria-e-polonia-bloqueiam-aprovacao-de-orcamento-plurianual-da-uniao-europeia_n1275803" TargetMode="External"/><Relationship Id="rId4" Type="http://schemas.openxmlformats.org/officeDocument/2006/relationships/hyperlink" Target="https://european-union.europa.eu/principles-countries-history/history-eu_pt" TargetMode="External"/><Relationship Id="rId9" Type="http://schemas.openxmlformats.org/officeDocument/2006/relationships/hyperlink" Target="https://www.europeanlawblog.eu/pub/j31o9yk8/release/2" TargetMode="External"/><Relationship Id="rId14" Type="http://schemas.openxmlformats.org/officeDocument/2006/relationships/hyperlink" Target="https://www.europarl.europa.eu/resources/library/media/20220509RES29121/20220509RES29121.pdf" TargetMode="External"/><Relationship Id="rId22" Type="http://schemas.openxmlformats.org/officeDocument/2006/relationships/hyperlink" Target="https://www.politico.eu/article/europe-needs-new-coalition-of-the-willing-regain-power-world-stage-says-mario-draghi/"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FFFFFF"/>
      </a:dk1>
      <a:lt1>
        <a:sysClr val="window" lastClr="20202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HlcCuuq5+/Puis52AEYpq0YFKA==">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FA27390-0DE2-5C45-AC09-42A5178F0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32510</Words>
  <Characters>175556</Characters>
  <Application>Microsoft Office Word</Application>
  <DocSecurity>0</DocSecurity>
  <Lines>1462</Lines>
  <Paragraphs>415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207651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Alberto Rosado Correia</dc:creator>
  <cp:keywords/>
  <dc:description/>
  <cp:lastModifiedBy>Domingos Alexandre Matias de Oliveira</cp:lastModifiedBy>
  <cp:revision>2</cp:revision>
  <dcterms:created xsi:type="dcterms:W3CDTF">2026-06-19T11:22:00Z</dcterms:created>
  <dcterms:modified xsi:type="dcterms:W3CDTF">2026-06-19T11:22:00Z</dcterms:modified>
</cp:coreProperties>
</file>