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9D7815" w14:textId="3B4B7BD7" w:rsidR="00DB203C" w:rsidRPr="00DB203C" w:rsidRDefault="00DB203C" w:rsidP="00DB203C">
      <w:pPr>
        <w:spacing w:line="360" w:lineRule="auto"/>
        <w:ind w:left="-426"/>
        <w:jc w:val="center"/>
      </w:pPr>
      <w:r>
        <w:rPr>
          <w:noProof/>
        </w:rPr>
        <w:drawing>
          <wp:inline distT="0" distB="0" distL="0" distR="0" wp14:anchorId="656D3890" wp14:editId="47FBB655">
            <wp:extent cx="6321833" cy="3562350"/>
            <wp:effectExtent l="0" t="0" r="3175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097" cy="3567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8A8299" w14:textId="7393A13C" w:rsidR="00B91617" w:rsidRDefault="00C23967" w:rsidP="00B91617">
      <w:pPr>
        <w:pStyle w:val="Ttulo3"/>
        <w:shd w:val="clear" w:color="auto" w:fill="F8F9FA"/>
        <w:rPr>
          <w:rFonts w:ascii="Ubuntu" w:eastAsia="Times New Roman" w:hAnsi="Ubuntu" w:cs="Times New Roman"/>
          <w:b/>
          <w:bCs/>
          <w:color w:val="000000"/>
          <w:sz w:val="27"/>
          <w:szCs w:val="27"/>
          <w:lang w:eastAsia="pt-PT"/>
        </w:rPr>
      </w:pPr>
      <w:r w:rsidRPr="00C23967">
        <w:rPr>
          <w:rFonts w:ascii="Ubuntu" w:eastAsia="Times New Roman" w:hAnsi="Ubuntu" w:cs="Times New Roman"/>
          <w:b/>
          <w:bCs/>
          <w:color w:val="000000"/>
          <w:sz w:val="27"/>
          <w:szCs w:val="27"/>
          <w:lang w:eastAsia="pt-PT"/>
        </w:rPr>
        <w:t xml:space="preserve">Sobre o </w:t>
      </w:r>
      <w:r w:rsidR="008E3173">
        <w:rPr>
          <w:rFonts w:ascii="Ubuntu" w:eastAsia="Times New Roman" w:hAnsi="Ubuntu" w:cs="Times New Roman"/>
          <w:b/>
          <w:bCs/>
          <w:color w:val="000000"/>
          <w:sz w:val="27"/>
          <w:szCs w:val="27"/>
          <w:lang w:eastAsia="pt-PT"/>
        </w:rPr>
        <w:t>Congresso</w:t>
      </w:r>
      <w:r w:rsidRPr="00C23967">
        <w:rPr>
          <w:rFonts w:ascii="Ubuntu" w:eastAsia="Times New Roman" w:hAnsi="Ubuntu" w:cs="Times New Roman"/>
          <w:b/>
          <w:bCs/>
          <w:color w:val="000000"/>
          <w:sz w:val="27"/>
          <w:szCs w:val="27"/>
          <w:lang w:eastAsia="pt-PT"/>
        </w:rPr>
        <w:t xml:space="preserve"> </w:t>
      </w:r>
    </w:p>
    <w:p w14:paraId="41181C25" w14:textId="77777777" w:rsidR="00876103" w:rsidRDefault="00C23967" w:rsidP="00876103">
      <w:pPr>
        <w:pStyle w:val="Ttulo3"/>
        <w:shd w:val="clear" w:color="auto" w:fill="F8F9FA"/>
        <w:jc w:val="both"/>
        <w:rPr>
          <w:rFonts w:ascii="Ubuntu" w:eastAsia="Times New Roman" w:hAnsi="Ubuntu" w:cs="Times New Roman"/>
          <w:b/>
          <w:bCs/>
          <w:color w:val="BF8F00" w:themeColor="accent4" w:themeShade="BF"/>
          <w:sz w:val="48"/>
          <w:szCs w:val="48"/>
          <w:lang w:eastAsia="pt-PT"/>
        </w:rPr>
      </w:pPr>
      <w:r w:rsidRPr="00C23967">
        <w:rPr>
          <w:rFonts w:ascii="Ubuntu" w:eastAsia="Times New Roman" w:hAnsi="Ubuntu" w:cs="Times New Roman"/>
          <w:b/>
          <w:bCs/>
          <w:color w:val="000000"/>
          <w:sz w:val="27"/>
          <w:szCs w:val="27"/>
          <w:lang w:eastAsia="pt-PT"/>
        </w:rPr>
        <w:br/>
      </w:r>
      <w:r w:rsidR="00713F82" w:rsidRPr="00713F82">
        <w:rPr>
          <w:rFonts w:ascii="Ubuntu" w:eastAsia="Times New Roman" w:hAnsi="Ubuntu" w:cs="Times New Roman"/>
          <w:b/>
          <w:bCs/>
          <w:color w:val="BF8F00" w:themeColor="accent4" w:themeShade="BF"/>
          <w:sz w:val="48"/>
          <w:szCs w:val="48"/>
          <w:lang w:eastAsia="pt-PT"/>
        </w:rPr>
        <w:t>VI Congreso Internacional sobre Derecho, Gobernanza e Innovación</w:t>
      </w:r>
    </w:p>
    <w:p w14:paraId="199710C9" w14:textId="0A56DAE4" w:rsidR="00C23967" w:rsidRPr="00B91617" w:rsidRDefault="00713F82" w:rsidP="00876103">
      <w:pPr>
        <w:pStyle w:val="Ttulo3"/>
        <w:shd w:val="clear" w:color="auto" w:fill="F8F9FA"/>
        <w:jc w:val="right"/>
        <w:rPr>
          <w:rFonts w:ascii="Ubuntu" w:eastAsia="Times New Roman" w:hAnsi="Ubuntu" w:cs="Times New Roman"/>
          <w:b/>
          <w:bCs/>
          <w:color w:val="BF8F00" w:themeColor="accent4" w:themeShade="BF"/>
          <w:sz w:val="48"/>
          <w:szCs w:val="48"/>
          <w:lang w:eastAsia="pt-PT"/>
        </w:rPr>
      </w:pPr>
      <w:r w:rsidRPr="00713F82">
        <w:rPr>
          <w:rFonts w:ascii="Ubuntu" w:eastAsia="Times New Roman" w:hAnsi="Ubuntu" w:cs="Times New Roman"/>
          <w:b/>
          <w:bCs/>
          <w:color w:val="BF8F00" w:themeColor="accent4" w:themeShade="BF"/>
          <w:sz w:val="48"/>
          <w:szCs w:val="48"/>
          <w:lang w:eastAsia="pt-PT"/>
        </w:rPr>
        <w:t xml:space="preserve"> (IV CIDIGIN)</w:t>
      </w:r>
    </w:p>
    <w:p w14:paraId="002EE095" w14:textId="77777777" w:rsidR="00F44414" w:rsidRDefault="00F44414" w:rsidP="00C23967">
      <w:pPr>
        <w:jc w:val="center"/>
      </w:pPr>
    </w:p>
    <w:p w14:paraId="7DF102F4" w14:textId="7EE61472" w:rsidR="006F1ECA" w:rsidRDefault="00381FFE" w:rsidP="00A10663">
      <w:pPr>
        <w:spacing w:line="360" w:lineRule="auto"/>
        <w:jc w:val="center"/>
        <w:rPr>
          <w:rStyle w:val="Hiperligao"/>
          <w:rFonts w:ascii="Verdana" w:hAnsi="Verdana"/>
          <w:sz w:val="20"/>
          <w:szCs w:val="20"/>
        </w:rPr>
      </w:pPr>
      <w:hyperlink r:id="rId8" w:history="1">
        <w:r w:rsidR="00713F82" w:rsidRPr="00C11C17">
          <w:rPr>
            <w:rStyle w:val="Hiperligao"/>
          </w:rPr>
          <w:t xml:space="preserve"> https://iberojur.com/cidigin-madrid/</w:t>
        </w:r>
      </w:hyperlink>
      <w:r w:rsidR="00713F82">
        <w:t xml:space="preserve"> </w:t>
      </w:r>
      <w:r w:rsidR="00DF4214">
        <w:t xml:space="preserve"> </w:t>
      </w:r>
    </w:p>
    <w:p w14:paraId="41B9F0CD" w14:textId="77777777" w:rsidR="00D9730A" w:rsidRDefault="00D9730A" w:rsidP="00A10663">
      <w:pPr>
        <w:spacing w:line="360" w:lineRule="auto"/>
        <w:jc w:val="center"/>
        <w:rPr>
          <w:rFonts w:ascii="Arial" w:hAnsi="Arial" w:cs="Arial"/>
          <w:bCs/>
          <w:u w:val="single"/>
        </w:rPr>
      </w:pPr>
    </w:p>
    <w:p w14:paraId="756A4AD6" w14:textId="77777777" w:rsidR="00876103" w:rsidRDefault="00713F82" w:rsidP="00876103">
      <w:pPr>
        <w:spacing w:line="360" w:lineRule="auto"/>
        <w:jc w:val="center"/>
        <w:rPr>
          <w:rFonts w:ascii="Arial" w:hAnsi="Arial" w:cs="Arial"/>
          <w:b/>
          <w:bCs/>
          <w:u w:val="single"/>
        </w:rPr>
      </w:pPr>
      <w:r w:rsidRPr="00713F82">
        <w:rPr>
          <w:rFonts w:ascii="Arial" w:hAnsi="Arial" w:cs="Arial"/>
          <w:b/>
          <w:bCs/>
          <w:u w:val="single"/>
        </w:rPr>
        <w:t xml:space="preserve">Governança digital e participação cidadã: </w:t>
      </w:r>
    </w:p>
    <w:p w14:paraId="1D9A2E3D" w14:textId="09C5FD2A" w:rsidR="00207533" w:rsidRDefault="00713F82" w:rsidP="00876103">
      <w:pPr>
        <w:spacing w:line="360" w:lineRule="auto"/>
        <w:jc w:val="center"/>
        <w:rPr>
          <w:rFonts w:ascii="Arial" w:hAnsi="Arial" w:cs="Arial"/>
          <w:b/>
          <w:bCs/>
          <w:u w:val="single"/>
        </w:rPr>
      </w:pPr>
      <w:r w:rsidRPr="00713F82">
        <w:rPr>
          <w:rFonts w:ascii="Arial" w:hAnsi="Arial" w:cs="Arial"/>
          <w:b/>
          <w:bCs/>
          <w:u w:val="single"/>
        </w:rPr>
        <w:t>uma proposta de plataforma de incentivo para políticas públicas</w:t>
      </w:r>
    </w:p>
    <w:p w14:paraId="0B8DECD5" w14:textId="77777777" w:rsidR="00876103" w:rsidRDefault="00876103" w:rsidP="00876103">
      <w:pPr>
        <w:spacing w:line="360" w:lineRule="auto"/>
        <w:jc w:val="center"/>
      </w:pPr>
    </w:p>
    <w:p w14:paraId="4E969992" w14:textId="139C58A4" w:rsidR="001F5CA4" w:rsidRDefault="00713F82" w:rsidP="00207533">
      <w:pPr>
        <w:spacing w:line="360" w:lineRule="auto"/>
        <w:ind w:firstLine="708"/>
        <w:jc w:val="both"/>
        <w:rPr>
          <w:rStyle w:val="Hiperligao"/>
          <w:sz w:val="20"/>
          <w:szCs w:val="20"/>
        </w:rPr>
      </w:pPr>
      <w:r>
        <w:rPr>
          <w:rFonts w:ascii="Times New Roman" w:hAnsi="Times New Roman" w:cs="Times New Roman"/>
          <w:i/>
          <w:iCs/>
        </w:rPr>
        <w:t>Ana Caroline de Melo Tavares</w:t>
      </w:r>
      <w:r w:rsidR="001F5CA4" w:rsidRPr="006623EA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Mestranda</w:t>
      </w:r>
      <w:r w:rsidR="001F5CA4" w:rsidRPr="006623EA">
        <w:tab/>
      </w:r>
      <w:hyperlink r:id="rId9" w:history="1">
        <w:r w:rsidRPr="00C11C17">
          <w:rPr>
            <w:rStyle w:val="Hiperligao"/>
            <w:sz w:val="20"/>
            <w:szCs w:val="20"/>
          </w:rPr>
          <w:t>42292@</w:t>
        </w:r>
        <w:r w:rsidR="00D71E84">
          <w:rPr>
            <w:rStyle w:val="Hiperligao"/>
            <w:sz w:val="20"/>
            <w:szCs w:val="20"/>
          </w:rPr>
          <w:t>alunos.</w:t>
        </w:r>
        <w:r w:rsidRPr="00C11C17">
          <w:rPr>
            <w:rStyle w:val="Hiperligao"/>
            <w:sz w:val="20"/>
            <w:szCs w:val="20"/>
          </w:rPr>
          <w:t>upt.pt</w:t>
        </w:r>
      </w:hyperlink>
    </w:p>
    <w:p w14:paraId="1BFC7E2D" w14:textId="4081349A" w:rsidR="00F44414" w:rsidRPr="006623EA" w:rsidRDefault="00F44414" w:rsidP="00207533">
      <w:pPr>
        <w:spacing w:line="360" w:lineRule="auto"/>
        <w:ind w:firstLine="708"/>
        <w:jc w:val="both"/>
        <w:rPr>
          <w:sz w:val="20"/>
          <w:szCs w:val="20"/>
        </w:rPr>
      </w:pPr>
      <w:r w:rsidRPr="009D7094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Dora Resende Alves, PhD</w:t>
      </w:r>
      <w:r w:rsidRPr="004E0BFA">
        <w:rPr>
          <w:i/>
          <w:iCs/>
        </w:rPr>
        <w:t xml:space="preserve">   </w:t>
      </w:r>
      <w:r w:rsidRPr="004E0BFA"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hyperlink r:id="rId10" w:history="1">
        <w:r w:rsidRPr="007C0A8C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   </w:t>
      </w:r>
    </w:p>
    <w:p w14:paraId="3EECA730" w14:textId="77777777" w:rsidR="00207533" w:rsidRPr="006B0A59" w:rsidRDefault="00207533" w:rsidP="00207533">
      <w:pPr>
        <w:spacing w:line="360" w:lineRule="auto"/>
        <w:ind w:firstLine="708"/>
        <w:jc w:val="both"/>
      </w:pPr>
    </w:p>
    <w:p w14:paraId="6567B200" w14:textId="77777777" w:rsidR="00F44414" w:rsidRDefault="00F44414" w:rsidP="00207533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7D6ABCA" w14:textId="21195F3F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5732CEE" w14:textId="77777777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E5FE800" w14:textId="6B03C381" w:rsidR="00207533" w:rsidRDefault="00207533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+351225572474.</w:t>
      </w:r>
    </w:p>
    <w:p w14:paraId="0A701C56" w14:textId="77777777" w:rsidR="006623EA" w:rsidRDefault="006623EA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6B6E6FB4" w14:textId="7F49A152" w:rsidR="00207533" w:rsidRDefault="00207533" w:rsidP="006623EA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Instituto Jurídico Portucalense,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</w:p>
    <w:p w14:paraId="780F361E" w14:textId="77777777" w:rsidR="00163401" w:rsidRPr="006B0A59" w:rsidRDefault="00163401" w:rsidP="00207533">
      <w:pPr>
        <w:rPr>
          <w:b/>
          <w:bCs/>
        </w:rPr>
      </w:pPr>
    </w:p>
    <w:p w14:paraId="06C038D1" w14:textId="4C25F6B5" w:rsidR="00207533" w:rsidRDefault="00A10663" w:rsidP="00207533">
      <w:pPr>
        <w:jc w:val="both"/>
        <w:rPr>
          <w:b/>
          <w:bCs/>
          <w:lang w:val="es-ES"/>
        </w:rPr>
      </w:pPr>
      <w:proofErr w:type="spellStart"/>
      <w:r>
        <w:rPr>
          <w:b/>
          <w:bCs/>
          <w:lang w:val="es-ES"/>
        </w:rPr>
        <w:t>Eixo</w:t>
      </w:r>
      <w:proofErr w:type="spellEnd"/>
      <w:r w:rsidR="00207533">
        <w:rPr>
          <w:b/>
          <w:bCs/>
          <w:lang w:val="es-ES"/>
        </w:rPr>
        <w:t xml:space="preserve"> temátic</w:t>
      </w:r>
      <w:r>
        <w:rPr>
          <w:b/>
          <w:bCs/>
          <w:lang w:val="es-ES"/>
        </w:rPr>
        <w:t>o</w:t>
      </w:r>
      <w:r w:rsidR="00207533" w:rsidRPr="00ED6672">
        <w:rPr>
          <w:b/>
          <w:bCs/>
          <w:lang w:val="es-ES"/>
        </w:rPr>
        <w:t>:</w:t>
      </w:r>
      <w:r w:rsidR="00207533">
        <w:rPr>
          <w:b/>
          <w:bCs/>
          <w:lang w:val="es-ES"/>
        </w:rPr>
        <w:t xml:space="preserve">  </w:t>
      </w:r>
    </w:p>
    <w:p w14:paraId="2CAD75DD" w14:textId="14118F68" w:rsidR="00B17BD0" w:rsidRPr="00F44414" w:rsidRDefault="00713F82" w:rsidP="00F44414">
      <w:pPr>
        <w:shd w:val="clear" w:color="auto" w:fill="EFEFEF"/>
        <w:rPr>
          <w:rFonts w:ascii="Open Sans" w:eastAsia="Times New Roman" w:hAnsi="Open Sans" w:cs="Open Sans"/>
          <w:color w:val="5E5E5E"/>
          <w:sz w:val="24"/>
          <w:szCs w:val="24"/>
        </w:rPr>
      </w:pPr>
      <w:r w:rsidRPr="00713F82">
        <w:rPr>
          <w:rFonts w:ascii="Open Sans" w:eastAsia="Times New Roman" w:hAnsi="Open Sans" w:cs="Open Sans"/>
          <w:color w:val="5E5E5E"/>
          <w:sz w:val="24"/>
          <w:szCs w:val="24"/>
        </w:rPr>
        <w:t>As Portas da Justiça Contemporânea: inovações, desafios e oportunidades</w:t>
      </w:r>
    </w:p>
    <w:p w14:paraId="4FD091FF" w14:textId="77777777" w:rsidR="002A7133" w:rsidRDefault="002A7133" w:rsidP="007F351B">
      <w:pPr>
        <w:rPr>
          <w:b/>
          <w:bCs/>
        </w:rPr>
      </w:pPr>
    </w:p>
    <w:p w14:paraId="5AF60463" w14:textId="7518B47A" w:rsidR="00207533" w:rsidRPr="007F351B" w:rsidRDefault="00207533" w:rsidP="007F351B">
      <w:pPr>
        <w:rPr>
          <w:b/>
          <w:bCs/>
        </w:rPr>
      </w:pPr>
      <w:r w:rsidRPr="00843F90">
        <w:rPr>
          <w:b/>
          <w:bCs/>
        </w:rPr>
        <w:t>Resumo:</w:t>
      </w:r>
      <w:r>
        <w:rPr>
          <w:b/>
          <w:bCs/>
        </w:rPr>
        <w:t xml:space="preserve">    </w:t>
      </w:r>
    </w:p>
    <w:p w14:paraId="45FBC4B2" w14:textId="77777777" w:rsidR="00297028" w:rsidRPr="00297028" w:rsidRDefault="00297028" w:rsidP="00297028">
      <w:pPr>
        <w:ind w:firstLine="708"/>
        <w:jc w:val="both"/>
        <w:rPr>
          <w:rFonts w:ascii="Garamond" w:hAnsi="Garamond"/>
          <w:sz w:val="24"/>
          <w:szCs w:val="24"/>
        </w:rPr>
      </w:pPr>
      <w:r w:rsidRPr="00297028">
        <w:rPr>
          <w:rFonts w:ascii="Garamond" w:hAnsi="Garamond"/>
          <w:sz w:val="24"/>
          <w:szCs w:val="24"/>
        </w:rPr>
        <w:t>A governança digital e a participação cidadã são temas de grande encorajamento no debate sobre políticas públicas e inovação. A tecnologia tem transformado a maneira como as pessoas se relacionam com as instituições públicas, proporcionando novas formas de incentivo e participação ativa. O uso de plataformas digitais para a interação entre governos e cidadãos tem se mostrado uma estratégia eficiente para promover a transparência, a colaboração e a participação da sociedade na gestão pública.</w:t>
      </w:r>
    </w:p>
    <w:p w14:paraId="6561B14A" w14:textId="77777777" w:rsidR="00297028" w:rsidRPr="00297028" w:rsidRDefault="00297028" w:rsidP="00297028">
      <w:pPr>
        <w:ind w:firstLine="708"/>
        <w:jc w:val="both"/>
        <w:rPr>
          <w:rFonts w:ascii="Garamond" w:hAnsi="Garamond"/>
          <w:sz w:val="24"/>
          <w:szCs w:val="24"/>
        </w:rPr>
      </w:pPr>
      <w:r w:rsidRPr="00297028">
        <w:rPr>
          <w:rFonts w:ascii="Garamond" w:hAnsi="Garamond"/>
          <w:sz w:val="24"/>
          <w:szCs w:val="24"/>
        </w:rPr>
        <w:t>Este artigo propõe uma plataforma de incentivo para a participação cidadã na construção e implementação de políticas públicas. O objetivo dessa plataforma é aproximar os cidadãos e os governos, promovendo uma gestão pública mais democrática, transparente e eficiente. A plataforma foi projetada para ser de fácil uso e acessível, permitindo que os usuários contribuam com ideias, sugestões e comentários sobre políticas públicas e projetos aprovados. Além disso, a plataforma inclui ferramentas de análise de dados e de visualização, permitindo que os gestores acompanhem a opinião pública sobre temas específicos e permitam ajustes nas políticas públicas em tempo real.</w:t>
      </w:r>
    </w:p>
    <w:p w14:paraId="4E733379" w14:textId="77777777" w:rsidR="00297028" w:rsidRPr="00297028" w:rsidRDefault="00297028" w:rsidP="00297028">
      <w:pPr>
        <w:ind w:firstLine="708"/>
        <w:jc w:val="both"/>
        <w:rPr>
          <w:rFonts w:ascii="Garamond" w:hAnsi="Garamond"/>
          <w:sz w:val="24"/>
          <w:szCs w:val="24"/>
        </w:rPr>
      </w:pPr>
      <w:r w:rsidRPr="00297028">
        <w:rPr>
          <w:rFonts w:ascii="Garamond" w:hAnsi="Garamond"/>
          <w:sz w:val="24"/>
          <w:szCs w:val="24"/>
        </w:rPr>
        <w:t>Espera-se que a proposta da plataforma contribua para uma maior participação cidadã na construção e implementação de políticas públicas, promovendo uma gestão pública mais democrática, transparente e eficiente. A plataforma facilitará o engajamento dos cidadãos, permitindo que suas vozes sejam ouvidas e consideradas na tomada de decisões. Além disso, os gestores públicos poderão utilizar as ferramentas de análise de dados e de visualização para obter insights valiosos sobre as necessidades e influenciados pela sociedade, o que ajudará a direcionar suas ações e políticas de forma mais eficaz.</w:t>
      </w:r>
    </w:p>
    <w:p w14:paraId="439CFD31" w14:textId="77777777" w:rsidR="00297028" w:rsidRPr="00297028" w:rsidRDefault="00297028" w:rsidP="00297028">
      <w:pPr>
        <w:ind w:firstLine="708"/>
        <w:jc w:val="both"/>
        <w:rPr>
          <w:rFonts w:ascii="Garamond" w:hAnsi="Garamond"/>
          <w:sz w:val="24"/>
          <w:szCs w:val="24"/>
        </w:rPr>
      </w:pPr>
      <w:r w:rsidRPr="00297028">
        <w:rPr>
          <w:rFonts w:ascii="Garamond" w:hAnsi="Garamond"/>
          <w:sz w:val="24"/>
          <w:szCs w:val="24"/>
        </w:rPr>
        <w:t>No contexto teórico, foram desenvolvidas as perspectivas jurídicas sobre políticas públicas, governança e inovação. As políticas públicas são ações e medidas adotadas pelo Estado para solucionar problemas coletivos e atender às demandas da sociedade. A análise das políticas públicas envolve a identificação dos objetivos, instrumentos e impactos dessas políticas. A abordagem de ciclo de políticas públicas, que compreende as fases de agendamento, formulação, implementação e avaliação, é uma das principais perspectivas teóricas sobre o tema. A análise jurídica desempenha um papel importante na identificação de lacunas e problemas na legislação e nas políticas públicas, bem como na promoção da transparência e da prestação de contas na gestão pública.</w:t>
      </w:r>
    </w:p>
    <w:p w14:paraId="30541CAF" w14:textId="77777777" w:rsidR="00297028" w:rsidRPr="00297028" w:rsidRDefault="00297028" w:rsidP="00297028">
      <w:pPr>
        <w:ind w:firstLine="708"/>
        <w:jc w:val="both"/>
        <w:rPr>
          <w:rFonts w:ascii="Garamond" w:hAnsi="Garamond"/>
          <w:sz w:val="24"/>
          <w:szCs w:val="24"/>
        </w:rPr>
      </w:pPr>
      <w:r w:rsidRPr="00297028">
        <w:rPr>
          <w:rFonts w:ascii="Garamond" w:hAnsi="Garamond"/>
          <w:sz w:val="24"/>
          <w:szCs w:val="24"/>
        </w:rPr>
        <w:t>A governança é o conjunto de processos, estruturas e relações que permitem a coordenação e o controle do poder em uma sociedade. A abordagem de governança multinível reconhece que as decisões e ações na gestão pública são tomadas em diversos níveis e que esses níveis estão interconectados. A análise jurídica contribui para a promoção da transparência e da prestação de contas na gestão pública, além de auxiliar na identificação de lacunas e problemas na legislação e nas políticas públicas.</w:t>
      </w:r>
    </w:p>
    <w:p w14:paraId="30F6B84A" w14:textId="77777777" w:rsidR="00297028" w:rsidRPr="00297028" w:rsidRDefault="00297028" w:rsidP="00297028">
      <w:pPr>
        <w:ind w:firstLine="708"/>
        <w:jc w:val="both"/>
        <w:rPr>
          <w:rFonts w:ascii="Garamond" w:hAnsi="Garamond"/>
          <w:sz w:val="24"/>
          <w:szCs w:val="24"/>
        </w:rPr>
      </w:pPr>
      <w:r w:rsidRPr="00297028">
        <w:rPr>
          <w:rFonts w:ascii="Garamond" w:hAnsi="Garamond"/>
          <w:sz w:val="24"/>
          <w:szCs w:val="24"/>
        </w:rPr>
        <w:t xml:space="preserve">A inovação em políticas públicas envolve a introdução de novidades em processos, produtos ou serviços que geram valor para a sociedade. A abordagem de inovação social </w:t>
      </w:r>
      <w:r w:rsidRPr="00297028">
        <w:rPr>
          <w:rFonts w:ascii="Garamond" w:hAnsi="Garamond"/>
          <w:sz w:val="24"/>
          <w:szCs w:val="24"/>
        </w:rPr>
        <w:lastRenderedPageBreak/>
        <w:t>destaca a importância da participação da sociedade na construção de soluções para os problemas sociais. A análise jurídica desempenha um papel relevante na identificação de possíveis soluções para os problemas sociais, bem como na promoção da transparência e da prestação de contas na gestão pública.</w:t>
      </w:r>
    </w:p>
    <w:p w14:paraId="5D1814C3" w14:textId="77777777" w:rsidR="00297028" w:rsidRPr="00297028" w:rsidRDefault="00297028" w:rsidP="00297028">
      <w:pPr>
        <w:ind w:firstLine="708"/>
        <w:jc w:val="both"/>
        <w:rPr>
          <w:rFonts w:ascii="Garamond" w:hAnsi="Garamond"/>
          <w:sz w:val="24"/>
          <w:szCs w:val="24"/>
        </w:rPr>
      </w:pPr>
      <w:r w:rsidRPr="00297028">
        <w:rPr>
          <w:rFonts w:ascii="Garamond" w:hAnsi="Garamond"/>
          <w:sz w:val="24"/>
          <w:szCs w:val="24"/>
        </w:rPr>
        <w:t>Embora a análise jurídica seja fundamental na análise de políticas públicas e de governança, existem desafios e limitações para sua aplicação. A complexidade dos problemas sociais e das políticas públicas requer abordagens interdisciplinares e multifacetadas. Além disso, questões de interpretação e aplicação da legislação e das normas jurídicas podem limitar a abordagem jurídica.</w:t>
      </w:r>
    </w:p>
    <w:p w14:paraId="038A9A18" w14:textId="77777777" w:rsidR="00297028" w:rsidRPr="00297028" w:rsidRDefault="00297028" w:rsidP="00297028">
      <w:pPr>
        <w:ind w:firstLine="708"/>
        <w:jc w:val="both"/>
        <w:rPr>
          <w:rFonts w:ascii="Garamond" w:hAnsi="Garamond"/>
          <w:sz w:val="24"/>
          <w:szCs w:val="24"/>
        </w:rPr>
      </w:pPr>
      <w:r w:rsidRPr="00297028">
        <w:rPr>
          <w:rFonts w:ascii="Garamond" w:hAnsi="Garamond"/>
          <w:sz w:val="24"/>
          <w:szCs w:val="24"/>
        </w:rPr>
        <w:t>A inovação em políticas públicas e governança apresenta tanto desafios quanto oportunidades. A introdução de novas tecnologias e abordagens inovadoras pode melhorar a gestão pública, mas também pode gerar desigualdades sociais e desafios em relação à privacidade e proteção de dados pessoais. No entanto, a inovação oferece oportunidades para ampliar o acesso aos serviços públicos, promover a participação cidadã, melhorar a qualidade de vida e contribuir para o desenvolvimento sustentável.</w:t>
      </w:r>
    </w:p>
    <w:p w14:paraId="5B00EA87" w14:textId="1D06D388" w:rsidR="00297028" w:rsidRPr="00297028" w:rsidRDefault="00297028" w:rsidP="00297028">
      <w:pPr>
        <w:ind w:firstLine="708"/>
        <w:jc w:val="both"/>
        <w:rPr>
          <w:rFonts w:ascii="Garamond" w:hAnsi="Garamond"/>
          <w:sz w:val="24"/>
          <w:szCs w:val="24"/>
        </w:rPr>
      </w:pPr>
      <w:r w:rsidRPr="00297028">
        <w:rPr>
          <w:rFonts w:ascii="Garamond" w:hAnsi="Garamond"/>
          <w:sz w:val="24"/>
          <w:szCs w:val="24"/>
        </w:rPr>
        <w:t>Diante dos desafios e oportunidades da inovação em políticas públicas e governança, propondo-se a criação de um Observatório Jurídico sobre Políticas Públicas, Governança e Inovação. Esse Observatório seria um espaço dedicado à produção e divulgação de estudos e pesquisas com abordagem jurídica nessas áreas. Ele teria como objetivo promover a reflexão crítica, desenvolver soluções inovadoras e efetivas e monitorar as políticas e práticas implementadas pelos órgãos governamentais.</w:t>
      </w:r>
    </w:p>
    <w:p w14:paraId="220C4BB6" w14:textId="16AD21E1" w:rsidR="004064CC" w:rsidRPr="00A8197D" w:rsidRDefault="00297028" w:rsidP="00297028">
      <w:pPr>
        <w:ind w:firstLine="708"/>
        <w:jc w:val="both"/>
        <w:rPr>
          <w:rFonts w:ascii="Garamond" w:hAnsi="Garamond"/>
          <w:sz w:val="24"/>
          <w:szCs w:val="24"/>
        </w:rPr>
      </w:pPr>
      <w:r w:rsidRPr="00297028">
        <w:rPr>
          <w:rFonts w:ascii="Garamond" w:hAnsi="Garamond"/>
          <w:sz w:val="24"/>
          <w:szCs w:val="24"/>
        </w:rPr>
        <w:t>Em conclusão, a governança digital, a participação cidadã e a inovação em políticas públicas são elementos fundamentais para promover uma gestão pública mais democrática, transparente e eficiente. A análise jurídica desempenha um papel importante na identificação de lacunas e problemas, na promoção da transparência e prestação de contas, e na busca por soluções inovadoras. A criação de um Observatório Jurídico sobre Políticas Públicas, Governança e Inovação pode contribuir para a melhoria da gestão pública e o desenvolvimento de políticas mais efetivas e eficientes.</w:t>
      </w:r>
    </w:p>
    <w:p w14:paraId="4BE2BF4F" w14:textId="245D2E89" w:rsidR="00207533" w:rsidRDefault="00207533" w:rsidP="00207533">
      <w:pPr>
        <w:spacing w:line="360" w:lineRule="auto"/>
        <w:jc w:val="both"/>
      </w:pPr>
      <w:r w:rsidRPr="00773CF6">
        <w:rPr>
          <w:b/>
          <w:bCs/>
        </w:rPr>
        <w:t xml:space="preserve">Palavras-chave: </w:t>
      </w:r>
      <w:r w:rsidR="00F44414" w:rsidRPr="00F44414">
        <w:t>Democracia;</w:t>
      </w:r>
      <w:r w:rsidR="00F44414">
        <w:rPr>
          <w:b/>
          <w:bCs/>
        </w:rPr>
        <w:t xml:space="preserve"> </w:t>
      </w:r>
      <w:r w:rsidR="00572B8C">
        <w:t>governança</w:t>
      </w:r>
      <w:r w:rsidR="00C9780B" w:rsidRPr="00C9780B">
        <w:t>; União Europeia</w:t>
      </w:r>
      <w:r>
        <w:t xml:space="preserve">  </w:t>
      </w:r>
    </w:p>
    <w:p w14:paraId="75116BBB" w14:textId="385EDC25" w:rsidR="00E4192F" w:rsidRPr="00E4192F" w:rsidRDefault="00207533" w:rsidP="00E4192F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Referências breves</w:t>
      </w:r>
    </w:p>
    <w:p w14:paraId="3FA5709E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ALBUQUERQUE, A. et al. (2017). Inovação em Políticas Públicas: Estudo Comparativo de Experiências Internacionais. Brasília: Ipea.</w:t>
      </w:r>
    </w:p>
    <w:p w14:paraId="48DE34EA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BARROS, FM (2017). Políticas Públicas: Conceitos, Esquemas de Análise, Casos Práticos. São Paulo: Atlas.</w:t>
      </w:r>
    </w:p>
    <w:p w14:paraId="0FA0E04F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BASTOS, RM (2018). Inovação, Direitos e Políticas Públicas. In: SANTOS, BS; MENDES, JM (Org.). Políticas Públicas e Direitos Humanos no Brasil. São Paulo: Cortez.</w:t>
      </w:r>
    </w:p>
    <w:p w14:paraId="29C9EE5F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BRESSER-PEREIRA, LC (1996). Estado e sociedade no Brasil: introdução ao estudo da administração pública. São Paulo: Brasiliense.</w:t>
      </w:r>
    </w:p>
    <w:p w14:paraId="42CA8AC7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BRASIL. (1988). Constituição da República Federativa do Brasil. Brasília: Senado Federal.</w:t>
      </w:r>
    </w:p>
    <w:p w14:paraId="6F3ACD15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BRASIL. (2017). Decreto nº 9.203, de 22 de novembro de 2017. Institui a Política Nacional de Inovação. Brasília: Presidência da República.</w:t>
      </w:r>
    </w:p>
    <w:p w14:paraId="3DDA81D6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lastRenderedPageBreak/>
        <w:t>BRASIL. (2018). Lei nº 13.709, de 14 de agosto de 2018. Lei Geral de Proteção de Dados Pessoais. Brasília: Presidência da República.</w:t>
      </w:r>
    </w:p>
    <w:p w14:paraId="02B3B51B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COUTINHO, RMA (2017). Análise jurídica de políticas públicas: uma perspectiva crítica. Revista de Direito Administrativo, v. 274, p. 223-252.</w:t>
      </w:r>
    </w:p>
    <w:p w14:paraId="43376F6D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CRUZ, MLA (2018). Governança Digital: Oportunidades e Desafios para a Participação Social e a Inovação. In: MARQUES, FPS; BITTENCOURT, RA (Org.). Políticas Públicas, Inovação e Sustentabilidade. São Paulo: Atlas.</w:t>
      </w:r>
    </w:p>
    <w:p w14:paraId="40BA7F4B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GIL, AC (2008). Métodos e Técnicas de Pesquisa Social. São Paulo: Atlas.</w:t>
      </w:r>
    </w:p>
    <w:p w14:paraId="4DB230CB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HOOGHE, L.; MARCOS, G. (2003). Governação a vários níveis e integração europeia. Lanham: Rowman &amp; Littlefield.</w:t>
      </w:r>
    </w:p>
    <w:p w14:paraId="4806BFB3" w14:textId="77777777" w:rsidR="008E3173" w:rsidRPr="008E3173" w:rsidRDefault="008E3173" w:rsidP="008E3173">
      <w:pPr>
        <w:spacing w:line="360" w:lineRule="auto"/>
        <w:jc w:val="both"/>
        <w:rPr>
          <w:sz w:val="20"/>
          <w:szCs w:val="20"/>
        </w:rPr>
      </w:pPr>
      <w:r w:rsidRPr="008E3173">
        <w:rPr>
          <w:sz w:val="20"/>
          <w:szCs w:val="20"/>
        </w:rPr>
        <w:t>LIMA, LCB; ROCHA, CH (2016). Análise de políticas públicas: conceitos básicos. Rio de Janeiro: Fiocruz.</w:t>
      </w:r>
    </w:p>
    <w:p w14:paraId="0B70D41A" w14:textId="45F51BB4" w:rsidR="00207533" w:rsidRDefault="008E3173" w:rsidP="008E3173">
      <w:pPr>
        <w:spacing w:line="360" w:lineRule="auto"/>
        <w:jc w:val="both"/>
      </w:pPr>
      <w:r w:rsidRPr="008E3173">
        <w:rPr>
          <w:sz w:val="20"/>
          <w:szCs w:val="20"/>
        </w:rPr>
        <w:t>MARTINS, AB (2015). Governança e Participação: Possibilidades e Limites para a Inovação em Políticas Públicas. In: CUNHA, JM (Org.). Políticas Públicas: Desafios e Perspectivas. São Paulo: Saraiva</w:t>
      </w:r>
    </w:p>
    <w:p w14:paraId="084D6C0D" w14:textId="77777777" w:rsidR="00876103" w:rsidRDefault="00876103" w:rsidP="00C9780B">
      <w:pPr>
        <w:ind w:right="-1135"/>
        <w:jc w:val="both"/>
        <w:rPr>
          <w:b/>
          <w:bCs/>
        </w:rPr>
      </w:pPr>
    </w:p>
    <w:p w14:paraId="5FA45846" w14:textId="77777777" w:rsidR="00876103" w:rsidRDefault="00876103" w:rsidP="00C9780B">
      <w:pPr>
        <w:ind w:right="-1135"/>
        <w:jc w:val="both"/>
        <w:rPr>
          <w:b/>
          <w:bCs/>
        </w:rPr>
      </w:pPr>
    </w:p>
    <w:p w14:paraId="76C0FCCD" w14:textId="1D36F010" w:rsidR="00C129DB" w:rsidRDefault="007607D8" w:rsidP="00C9780B">
      <w:pPr>
        <w:ind w:right="-1135"/>
        <w:jc w:val="both"/>
        <w:rPr>
          <w:b/>
          <w:bCs/>
        </w:rPr>
      </w:pPr>
      <w:r>
        <w:rPr>
          <w:b/>
          <w:bCs/>
        </w:rPr>
        <w:t>Breve nota académica dos autores</w:t>
      </w:r>
    </w:p>
    <w:p w14:paraId="11F05ED6" w14:textId="0B3A50AA" w:rsidR="00BB1895" w:rsidRPr="00BB1895" w:rsidRDefault="008E3173" w:rsidP="00BB1895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>
        <w:rPr>
          <w:rFonts w:ascii="Times New Roman" w:hAnsi="Times New Roman" w:cs="Times New Roman"/>
          <w:noProof/>
          <w:sz w:val="20"/>
          <w:szCs w:val="20"/>
          <w:u w:val="single"/>
        </w:rPr>
        <w:t>ANA CAROLINE DE MELO TAVARES</w:t>
      </w:r>
    </w:p>
    <w:p w14:paraId="5D26909B" w14:textId="48CB997E" w:rsidR="0057473E" w:rsidRDefault="008E3173" w:rsidP="008E317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r w:rsidRPr="008E3173">
        <w:rPr>
          <w:rFonts w:asciiTheme="minorHAnsi" w:eastAsiaTheme="minorHAnsi" w:hAnsiTheme="minorHAnsi" w:cstheme="minorBidi"/>
          <w:sz w:val="20"/>
          <w:szCs w:val="20"/>
          <w:lang w:eastAsia="en-US"/>
        </w:rPr>
        <w:t>Mestranda em Ciências Jurídico-Políticas na Faculdade de Direito da Universidade de Portucalense.</w:t>
      </w: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r w:rsidRPr="008E3173">
        <w:rPr>
          <w:rFonts w:asciiTheme="minorHAnsi" w:eastAsiaTheme="minorHAnsi" w:hAnsiTheme="minorHAnsi" w:cstheme="minorBidi"/>
          <w:sz w:val="20"/>
          <w:szCs w:val="20"/>
          <w:lang w:eastAsia="en-US"/>
        </w:rPr>
        <w:t>Membro da Área Científica de Política e Governança Internacional do Instituto Jurídico Portucalense.</w:t>
      </w: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r w:rsidRPr="008E3173">
        <w:rPr>
          <w:rFonts w:asciiTheme="minorHAnsi" w:eastAsiaTheme="minorHAnsi" w:hAnsiTheme="minorHAnsi" w:cstheme="minorBidi"/>
          <w:sz w:val="20"/>
          <w:szCs w:val="20"/>
          <w:lang w:eastAsia="en-US"/>
        </w:rPr>
        <w:t>Pesquisador Instituto Jurídico Portucalense (IJP).</w:t>
      </w: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r w:rsidRPr="008E3173">
        <w:rPr>
          <w:rFonts w:asciiTheme="minorHAnsi" w:eastAsiaTheme="minorHAnsi" w:hAnsiTheme="minorHAnsi" w:cstheme="minorBidi"/>
          <w:sz w:val="20"/>
          <w:szCs w:val="20"/>
          <w:lang w:eastAsia="en-US"/>
        </w:rPr>
        <w:t>E-mail: anacarolinetavares@hotmail.com.</w:t>
      </w:r>
      <w:r w:rsidR="003763C4" w:rsidRPr="003763C4">
        <w:t xml:space="preserve"> </w:t>
      </w:r>
      <w:hyperlink r:id="rId11" w:history="1">
        <w:r w:rsidR="003763C4" w:rsidRPr="003763C4">
          <w:rPr>
            <w:rStyle w:val="Hiperligao"/>
            <w:rFonts w:asciiTheme="minorHAnsi" w:eastAsiaTheme="minorHAnsi" w:hAnsiTheme="minorHAnsi" w:cstheme="minorBidi"/>
            <w:sz w:val="20"/>
            <w:szCs w:val="20"/>
            <w:lang w:eastAsia="en-US"/>
          </w:rPr>
          <w:t>https://orcid.org/0000-0001-5533-935X</w:t>
        </w:r>
      </w:hyperlink>
    </w:p>
    <w:p w14:paraId="7A47E3D0" w14:textId="68C4D77E" w:rsidR="00BB1895" w:rsidRDefault="008E3173" w:rsidP="00132668">
      <w:pPr>
        <w:ind w:right="-1135"/>
        <w:jc w:val="right"/>
        <w:rPr>
          <w:b/>
          <w:bCs/>
        </w:rPr>
      </w:pPr>
      <w:r>
        <w:rPr>
          <w:noProof/>
        </w:rPr>
        <w:drawing>
          <wp:inline distT="0" distB="0" distL="0" distR="0" wp14:anchorId="7B903D0A" wp14:editId="3B1CCAF5">
            <wp:extent cx="1610995" cy="1954070"/>
            <wp:effectExtent l="0" t="0" r="8255" b="8255"/>
            <wp:docPr id="210986948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652" cy="1965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D8BB4" w14:textId="6BCCCB16" w:rsidR="007607D8" w:rsidRDefault="00BB1895" w:rsidP="007607D8">
      <w:pPr>
        <w:rPr>
          <w:rFonts w:cs="Times New Roman"/>
        </w:rPr>
      </w:pPr>
      <w:r>
        <w:rPr>
          <w:noProof/>
        </w:rPr>
        <w:lastRenderedPageBreak/>
        <w:drawing>
          <wp:inline distT="0" distB="0" distL="0" distR="0" wp14:anchorId="1D090727" wp14:editId="3A7313D6">
            <wp:extent cx="1628775" cy="2009775"/>
            <wp:effectExtent l="0" t="0" r="9525" b="952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579B7" w14:textId="77777777" w:rsidR="007607D8" w:rsidRPr="00997EDE" w:rsidRDefault="007607D8" w:rsidP="007607D8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 w:rsidRPr="00997EDE"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  <w:t>DORA RESENDE ALVES</w:t>
      </w:r>
    </w:p>
    <w:p w14:paraId="233B4F1A" w14:textId="22529F37" w:rsidR="007607D8" w:rsidRPr="00997EDE" w:rsidRDefault="007607D8" w:rsidP="00BB1895">
      <w:pPr>
        <w:spacing w:after="0" w:line="240" w:lineRule="auto"/>
        <w:jc w:val="both"/>
        <w:rPr>
          <w:sz w:val="20"/>
          <w:szCs w:val="20"/>
        </w:rPr>
      </w:pPr>
      <w:bookmarkStart w:id="0" w:name="_Hlk45608775"/>
      <w:r w:rsidRPr="00997EDE">
        <w:rPr>
          <w:sz w:val="20"/>
          <w:szCs w:val="20"/>
        </w:rPr>
        <w:t xml:space="preserve">Professora Associada do Departamento de Direito da Universidade Portucalense (UPT), com experiência em unidades curriculares no domínio do Direito da União Europeia, Direito Constitucional e da História do Direito, lecionando desde 1993. Doutora pela Universidad de Vigo (Espanha) com tese sobre tema do direito da concorrência da União Europeia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na linha de investigação </w:t>
      </w:r>
      <w:r w:rsidRPr="00997EDE">
        <w:rPr>
          <w:i/>
          <w:iCs/>
          <w:sz w:val="20"/>
          <w:szCs w:val="20"/>
        </w:rPr>
        <w:t>Política e Governança Internacional</w:t>
      </w:r>
      <w:r w:rsidRPr="00997EDE">
        <w:rPr>
          <w:sz w:val="20"/>
          <w:szCs w:val="20"/>
        </w:rPr>
        <w:t>, Centro de Investigação da Universidade Portucalense. Editora-adjunta da Revista Jurídica Portucalense.</w:t>
      </w:r>
      <w:bookmarkEnd w:id="0"/>
      <w:r w:rsidRPr="00997EDE">
        <w:rPr>
          <w:sz w:val="20"/>
          <w:szCs w:val="20"/>
        </w:rPr>
        <w:t xml:space="preserve"> </w:t>
      </w:r>
    </w:p>
    <w:p w14:paraId="35566865" w14:textId="77777777" w:rsidR="007607D8" w:rsidRPr="00654315" w:rsidRDefault="007607D8" w:rsidP="007607D8">
      <w:pPr>
        <w:adjustRightInd w:val="0"/>
        <w:spacing w:after="0" w:line="240" w:lineRule="auto"/>
        <w:jc w:val="right"/>
        <w:rPr>
          <w:rStyle w:val="Hiperligao"/>
          <w:sz w:val="16"/>
          <w:szCs w:val="16"/>
        </w:rPr>
      </w:pPr>
      <w:r w:rsidRPr="00654315">
        <w:rPr>
          <w:sz w:val="16"/>
          <w:szCs w:val="16"/>
        </w:rPr>
        <w:t xml:space="preserve">ORCID – </w:t>
      </w:r>
      <w:r w:rsidRPr="00297028">
        <w:rPr>
          <w:color w:val="1F497D"/>
          <w:sz w:val="16"/>
          <w:szCs w:val="16"/>
        </w:rPr>
        <w:t xml:space="preserve">0000-0003-4720-1400 </w:t>
      </w:r>
      <w:r w:rsidRPr="00654315">
        <w:rPr>
          <w:sz w:val="16"/>
          <w:szCs w:val="16"/>
        </w:rPr>
        <w:t xml:space="preserve"> </w:t>
      </w:r>
      <w:hyperlink r:id="rId14" w:tgtFrame="_blank" w:tooltip="Go to my personal page at http://orcid.org/" w:history="1">
        <w:r w:rsidRPr="00654315">
          <w:rPr>
            <w:rStyle w:val="Hiperligao"/>
            <w:rFonts w:cs="Arial"/>
            <w:sz w:val="16"/>
            <w:szCs w:val="16"/>
            <w:shd w:val="clear" w:color="auto" w:fill="FFFFFF"/>
          </w:rPr>
          <w:t>http://orcid.org/0000-0003-4720-1400</w:t>
        </w:r>
      </w:hyperlink>
    </w:p>
    <w:p w14:paraId="4EEFBD43" w14:textId="77777777" w:rsidR="007607D8" w:rsidRPr="00654315" w:rsidRDefault="007607D8" w:rsidP="007607D8">
      <w:pPr>
        <w:jc w:val="right"/>
        <w:rPr>
          <w:rFonts w:cs="Times New Roman"/>
          <w:sz w:val="16"/>
          <w:szCs w:val="16"/>
        </w:rPr>
      </w:pPr>
      <w:r w:rsidRPr="00654315">
        <w:rPr>
          <w:rStyle w:val="Hiperligao"/>
          <w:rFonts w:cs="Arial"/>
          <w:sz w:val="16"/>
          <w:szCs w:val="16"/>
          <w:shd w:val="clear" w:color="auto" w:fill="FFFFFF"/>
        </w:rPr>
        <w:t xml:space="preserve">Ciência Vitae - </w:t>
      </w:r>
      <w:hyperlink r:id="rId15" w:history="1">
        <w:r w:rsidRPr="00654315">
          <w:rPr>
            <w:rStyle w:val="Hiperligao"/>
            <w:sz w:val="16"/>
            <w:szCs w:val="16"/>
          </w:rPr>
          <w:t>http://www.cienciavitae.pt//CA1A-FE14-5CC1</w:t>
        </w:r>
      </w:hyperlink>
      <w:r w:rsidRPr="00654315">
        <w:rPr>
          <w:color w:val="000000"/>
          <w:sz w:val="16"/>
          <w:szCs w:val="16"/>
        </w:rPr>
        <w:t xml:space="preserve">     </w:t>
      </w:r>
    </w:p>
    <w:p w14:paraId="5C1E57EF" w14:textId="77777777" w:rsidR="007607D8" w:rsidRDefault="007607D8" w:rsidP="00C9780B">
      <w:pPr>
        <w:ind w:right="-1135"/>
        <w:jc w:val="both"/>
        <w:rPr>
          <w:b/>
          <w:bCs/>
        </w:rPr>
      </w:pPr>
    </w:p>
    <w:p w14:paraId="3BB3126F" w14:textId="5B3C749A" w:rsidR="00C9780B" w:rsidRDefault="00C9780B" w:rsidP="00C9780B">
      <w:pPr>
        <w:ind w:right="-1135"/>
        <w:jc w:val="both"/>
        <w:rPr>
          <w:rFonts w:ascii="Times New Roman" w:hAnsi="Times New Roman" w:cs="Times New Roman"/>
        </w:rPr>
      </w:pPr>
    </w:p>
    <w:p w14:paraId="7036BD02" w14:textId="77777777" w:rsidR="00140350" w:rsidRDefault="00140350" w:rsidP="002A7133">
      <w:bookmarkStart w:id="1" w:name="_GoBack"/>
      <w:bookmarkEnd w:id="1"/>
    </w:p>
    <w:sectPr w:rsidR="00140350" w:rsidSect="00DB203C">
      <w:pgSz w:w="11906" w:h="16838"/>
      <w:pgMar w:top="56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8733B1" w14:textId="77777777" w:rsidR="00381FFE" w:rsidRDefault="00381FFE" w:rsidP="00207533">
      <w:pPr>
        <w:spacing w:after="0" w:line="240" w:lineRule="auto"/>
      </w:pPr>
      <w:r>
        <w:separator/>
      </w:r>
    </w:p>
  </w:endnote>
  <w:endnote w:type="continuationSeparator" w:id="0">
    <w:p w14:paraId="1E70AA9A" w14:textId="77777777" w:rsidR="00381FFE" w:rsidRDefault="00381FFE" w:rsidP="002075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Yu Gothic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E48E57" w14:textId="77777777" w:rsidR="00381FFE" w:rsidRDefault="00381FFE" w:rsidP="00207533">
      <w:pPr>
        <w:spacing w:after="0" w:line="240" w:lineRule="auto"/>
      </w:pPr>
      <w:r>
        <w:separator/>
      </w:r>
    </w:p>
  </w:footnote>
  <w:footnote w:type="continuationSeparator" w:id="0">
    <w:p w14:paraId="5E56150B" w14:textId="77777777" w:rsidR="00381FFE" w:rsidRDefault="00381FFE" w:rsidP="002075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4713BB"/>
    <w:multiLevelType w:val="multilevel"/>
    <w:tmpl w:val="37A6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648004C"/>
    <w:multiLevelType w:val="multilevel"/>
    <w:tmpl w:val="12A0D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FB048B"/>
    <w:multiLevelType w:val="hybridMultilevel"/>
    <w:tmpl w:val="7DDCC0C4"/>
    <w:lvl w:ilvl="0" w:tplc="08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8C0EA4"/>
    <w:multiLevelType w:val="multilevel"/>
    <w:tmpl w:val="AE2673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31"/>
    <w:rsid w:val="00021A2F"/>
    <w:rsid w:val="00055175"/>
    <w:rsid w:val="000879CF"/>
    <w:rsid w:val="000A1E8B"/>
    <w:rsid w:val="000C7A56"/>
    <w:rsid w:val="0010164D"/>
    <w:rsid w:val="00102C2D"/>
    <w:rsid w:val="00116C72"/>
    <w:rsid w:val="00132668"/>
    <w:rsid w:val="00140350"/>
    <w:rsid w:val="00163401"/>
    <w:rsid w:val="00164031"/>
    <w:rsid w:val="00177E86"/>
    <w:rsid w:val="00183CE7"/>
    <w:rsid w:val="001D37C2"/>
    <w:rsid w:val="001F5CA4"/>
    <w:rsid w:val="00206805"/>
    <w:rsid w:val="00207533"/>
    <w:rsid w:val="00207D00"/>
    <w:rsid w:val="0021166E"/>
    <w:rsid w:val="00216189"/>
    <w:rsid w:val="00262E56"/>
    <w:rsid w:val="00265572"/>
    <w:rsid w:val="00297028"/>
    <w:rsid w:val="002A7133"/>
    <w:rsid w:val="002F20E2"/>
    <w:rsid w:val="002F3B7D"/>
    <w:rsid w:val="00305A70"/>
    <w:rsid w:val="00310344"/>
    <w:rsid w:val="00312DAC"/>
    <w:rsid w:val="00333271"/>
    <w:rsid w:val="00370A29"/>
    <w:rsid w:val="00374812"/>
    <w:rsid w:val="003763C4"/>
    <w:rsid w:val="00381FFE"/>
    <w:rsid w:val="003923A2"/>
    <w:rsid w:val="003D48F3"/>
    <w:rsid w:val="00402D2E"/>
    <w:rsid w:val="004064CC"/>
    <w:rsid w:val="0043202F"/>
    <w:rsid w:val="00432AB2"/>
    <w:rsid w:val="00455147"/>
    <w:rsid w:val="004655CF"/>
    <w:rsid w:val="00485D1F"/>
    <w:rsid w:val="004C7651"/>
    <w:rsid w:val="004E70BE"/>
    <w:rsid w:val="00544E9B"/>
    <w:rsid w:val="00556343"/>
    <w:rsid w:val="00563BFB"/>
    <w:rsid w:val="00572B8C"/>
    <w:rsid w:val="0057473E"/>
    <w:rsid w:val="00575180"/>
    <w:rsid w:val="005C7943"/>
    <w:rsid w:val="005F30BF"/>
    <w:rsid w:val="005F499D"/>
    <w:rsid w:val="0060005C"/>
    <w:rsid w:val="006227D8"/>
    <w:rsid w:val="006341D8"/>
    <w:rsid w:val="006623EA"/>
    <w:rsid w:val="00662405"/>
    <w:rsid w:val="006F1ECA"/>
    <w:rsid w:val="00713F82"/>
    <w:rsid w:val="00721202"/>
    <w:rsid w:val="007533DF"/>
    <w:rsid w:val="007607D8"/>
    <w:rsid w:val="00797076"/>
    <w:rsid w:val="007B7F80"/>
    <w:rsid w:val="007F351B"/>
    <w:rsid w:val="00806E2E"/>
    <w:rsid w:val="008417C4"/>
    <w:rsid w:val="00861341"/>
    <w:rsid w:val="008677F5"/>
    <w:rsid w:val="00876103"/>
    <w:rsid w:val="00897D13"/>
    <w:rsid w:val="008A5A7C"/>
    <w:rsid w:val="008C76B3"/>
    <w:rsid w:val="008E3173"/>
    <w:rsid w:val="008F11BF"/>
    <w:rsid w:val="00936D18"/>
    <w:rsid w:val="00940FC4"/>
    <w:rsid w:val="00955A50"/>
    <w:rsid w:val="009633F6"/>
    <w:rsid w:val="009654C5"/>
    <w:rsid w:val="0097632D"/>
    <w:rsid w:val="009779AC"/>
    <w:rsid w:val="00980DAC"/>
    <w:rsid w:val="0099791B"/>
    <w:rsid w:val="00997B64"/>
    <w:rsid w:val="00997EDE"/>
    <w:rsid w:val="009B5A7A"/>
    <w:rsid w:val="009C1FC3"/>
    <w:rsid w:val="009D7094"/>
    <w:rsid w:val="009E677A"/>
    <w:rsid w:val="009F649D"/>
    <w:rsid w:val="00A10663"/>
    <w:rsid w:val="00A42D00"/>
    <w:rsid w:val="00A71353"/>
    <w:rsid w:val="00A825A7"/>
    <w:rsid w:val="00AA2381"/>
    <w:rsid w:val="00AE55ED"/>
    <w:rsid w:val="00AF6237"/>
    <w:rsid w:val="00B14F78"/>
    <w:rsid w:val="00B17BD0"/>
    <w:rsid w:val="00B4724B"/>
    <w:rsid w:val="00B623C8"/>
    <w:rsid w:val="00B91617"/>
    <w:rsid w:val="00BB1895"/>
    <w:rsid w:val="00BD6F6F"/>
    <w:rsid w:val="00BE238F"/>
    <w:rsid w:val="00C04309"/>
    <w:rsid w:val="00C129DB"/>
    <w:rsid w:val="00C23967"/>
    <w:rsid w:val="00C30B33"/>
    <w:rsid w:val="00C34DE2"/>
    <w:rsid w:val="00C66374"/>
    <w:rsid w:val="00C732CF"/>
    <w:rsid w:val="00C9780B"/>
    <w:rsid w:val="00CC4A47"/>
    <w:rsid w:val="00CD0114"/>
    <w:rsid w:val="00CF2D15"/>
    <w:rsid w:val="00D71E84"/>
    <w:rsid w:val="00D9730A"/>
    <w:rsid w:val="00DB1833"/>
    <w:rsid w:val="00DB203C"/>
    <w:rsid w:val="00DB5053"/>
    <w:rsid w:val="00DC3BBD"/>
    <w:rsid w:val="00DC72EC"/>
    <w:rsid w:val="00DD1BF6"/>
    <w:rsid w:val="00DF0C96"/>
    <w:rsid w:val="00DF4214"/>
    <w:rsid w:val="00E1249C"/>
    <w:rsid w:val="00E2460B"/>
    <w:rsid w:val="00E3584E"/>
    <w:rsid w:val="00E4192F"/>
    <w:rsid w:val="00E519F7"/>
    <w:rsid w:val="00E855DD"/>
    <w:rsid w:val="00EC43F6"/>
    <w:rsid w:val="00EE0488"/>
    <w:rsid w:val="00EE1A41"/>
    <w:rsid w:val="00EE4CF5"/>
    <w:rsid w:val="00F03F8A"/>
    <w:rsid w:val="00F22E39"/>
    <w:rsid w:val="00F42AB1"/>
    <w:rsid w:val="00F44414"/>
    <w:rsid w:val="00F60C48"/>
    <w:rsid w:val="00F6475E"/>
    <w:rsid w:val="00FC2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FC35C"/>
  <w15:chartTrackingRefBased/>
  <w15:docId w15:val="{178DA4B3-5384-4905-A17C-71300DBB0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74812"/>
    <w:rPr>
      <w:lang w:val="pt-BR"/>
    </w:rPr>
  </w:style>
  <w:style w:type="paragraph" w:styleId="Ttulo1">
    <w:name w:val="heading 1"/>
    <w:basedOn w:val="Normal"/>
    <w:next w:val="Normal"/>
    <w:link w:val="Ttulo1Carter"/>
    <w:uiPriority w:val="9"/>
    <w:qFormat/>
    <w:rsid w:val="001403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633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183CE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link w:val="Ttulo4Carter"/>
    <w:uiPriority w:val="9"/>
    <w:qFormat/>
    <w:rsid w:val="0016403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arter">
    <w:name w:val="Título 4 Caráter"/>
    <w:basedOn w:val="Tipodeletrapredefinidodopargrafo"/>
    <w:link w:val="Ttulo4"/>
    <w:uiPriority w:val="9"/>
    <w:rsid w:val="00164031"/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633F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ligao">
    <w:name w:val="Hyperlink"/>
    <w:basedOn w:val="Tipodeletrapredefinidodopargrafo"/>
    <w:unhideWhenUsed/>
    <w:rsid w:val="009633F6"/>
    <w:rPr>
      <w:color w:val="0000FF"/>
      <w:u w:val="single"/>
    </w:rPr>
  </w:style>
  <w:style w:type="paragraph" w:customStyle="1" w:styleId="elementor-icon-list-item">
    <w:name w:val="elementor-icon-list-item"/>
    <w:basedOn w:val="Normal"/>
    <w:rsid w:val="00B62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elementor-icon-list-text">
    <w:name w:val="elementor-icon-list-text"/>
    <w:basedOn w:val="Tipodeletrapredefinidodopargrafo"/>
    <w:rsid w:val="00B623C8"/>
  </w:style>
  <w:style w:type="character" w:customStyle="1" w:styleId="elementor-heading-title">
    <w:name w:val="elementor-heading-title"/>
    <w:basedOn w:val="Tipodeletrapredefinidodopargrafo"/>
    <w:rsid w:val="00B623C8"/>
  </w:style>
  <w:style w:type="paragraph" w:customStyle="1" w:styleId="font8">
    <w:name w:val="font_8"/>
    <w:basedOn w:val="Normal"/>
    <w:uiPriority w:val="99"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Default">
    <w:name w:val="Default"/>
    <w:rsid w:val="00207533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paragraph" w:styleId="Textodenotaderodap">
    <w:name w:val="footnote text"/>
    <w:basedOn w:val="Normal"/>
    <w:link w:val="TextodenotaderodapCarter"/>
    <w:uiPriority w:val="99"/>
    <w:rsid w:val="00207533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207533"/>
    <w:rPr>
      <w:rFonts w:ascii="Arial" w:eastAsia="Times New Roman" w:hAnsi="Arial" w:cs="Arial"/>
      <w:sz w:val="20"/>
      <w:szCs w:val="20"/>
    </w:rPr>
  </w:style>
  <w:style w:type="character" w:styleId="Forte">
    <w:name w:val="Strong"/>
    <w:uiPriority w:val="22"/>
    <w:qFormat/>
    <w:rsid w:val="00207533"/>
    <w:rPr>
      <w:b/>
      <w:bCs/>
    </w:rPr>
  </w:style>
  <w:style w:type="character" w:styleId="Refdenotaderodap">
    <w:name w:val="footnote reference"/>
    <w:uiPriority w:val="99"/>
    <w:rsid w:val="00207533"/>
    <w:rPr>
      <w:vertAlign w:val="superscript"/>
    </w:rPr>
  </w:style>
  <w:style w:type="paragraph" w:styleId="NormalWeb">
    <w:name w:val="Normal (Web)"/>
    <w:basedOn w:val="Normal"/>
    <w:uiPriority w:val="99"/>
    <w:unhideWhenUsed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207533"/>
    <w:pPr>
      <w:spacing w:after="0" w:line="240" w:lineRule="auto"/>
    </w:pPr>
    <w:rPr>
      <w:rFonts w:ascii="Calibri" w:hAnsi="Calibri" w:cs="Calibri"/>
      <w:lang w:eastAsia="pt-PT"/>
    </w:rPr>
  </w:style>
  <w:style w:type="paragraph" w:styleId="Textosimples">
    <w:name w:val="Plain Text"/>
    <w:basedOn w:val="Normal"/>
    <w:link w:val="TextosimplesCarter"/>
    <w:uiPriority w:val="99"/>
    <w:unhideWhenUsed/>
    <w:rsid w:val="00207533"/>
    <w:pPr>
      <w:spacing w:after="0" w:line="240" w:lineRule="auto"/>
    </w:pPr>
    <w:rPr>
      <w:rFonts w:ascii="Calibri" w:hAnsi="Calibri"/>
      <w:szCs w:val="21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rsid w:val="00207533"/>
    <w:rPr>
      <w:rFonts w:ascii="Calibri" w:hAnsi="Calibri"/>
      <w:szCs w:val="21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75180"/>
    <w:rPr>
      <w:color w:val="605E5C"/>
      <w:shd w:val="clear" w:color="auto" w:fill="E1DFDD"/>
    </w:rPr>
  </w:style>
  <w:style w:type="character" w:customStyle="1" w:styleId="name">
    <w:name w:val="name"/>
    <w:basedOn w:val="Tipodeletrapredefinidodopargrafo"/>
    <w:rsid w:val="006623EA"/>
  </w:style>
  <w:style w:type="character" w:styleId="nfase">
    <w:name w:val="Emphasis"/>
    <w:basedOn w:val="Tipodeletrapredefinidodopargrafo"/>
    <w:uiPriority w:val="20"/>
    <w:qFormat/>
    <w:rsid w:val="00EE0488"/>
    <w:rPr>
      <w:i/>
      <w:iCs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1403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rgba">
    <w:name w:val="rgba"/>
    <w:basedOn w:val="Tipodeletrapredefinidodopargrafo"/>
    <w:rsid w:val="00140350"/>
  </w:style>
  <w:style w:type="paragraph" w:styleId="Bibliografia">
    <w:name w:val="Bibliography"/>
    <w:basedOn w:val="Normal"/>
    <w:next w:val="Normal"/>
    <w:uiPriority w:val="37"/>
    <w:semiHidden/>
    <w:unhideWhenUsed/>
    <w:rsid w:val="0043202F"/>
  </w:style>
  <w:style w:type="character" w:styleId="Hiperligaovisitada">
    <w:name w:val="FollowedHyperlink"/>
    <w:basedOn w:val="Tipodeletrapredefinidodopargrafo"/>
    <w:uiPriority w:val="99"/>
    <w:semiHidden/>
    <w:unhideWhenUsed/>
    <w:rsid w:val="000879CF"/>
    <w:rPr>
      <w:color w:val="954F72" w:themeColor="followedHyperlink"/>
      <w:u w:val="single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183CE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citetitle">
    <w:name w:val="cite_title"/>
    <w:basedOn w:val="Tipodeletrapredefinidodopargrafo"/>
    <w:rsid w:val="00C9780B"/>
  </w:style>
  <w:style w:type="paragraph" w:styleId="Corpodetexto">
    <w:name w:val="Body Text"/>
    <w:basedOn w:val="Normal"/>
    <w:link w:val="CorpodetextoCarter"/>
    <w:uiPriority w:val="1"/>
    <w:qFormat/>
    <w:rsid w:val="0010164D"/>
    <w:pPr>
      <w:widowControl w:val="0"/>
      <w:autoSpaceDE w:val="0"/>
      <w:autoSpaceDN w:val="0"/>
      <w:adjustRightInd w:val="0"/>
      <w:spacing w:after="0" w:line="240" w:lineRule="auto"/>
      <w:ind w:left="122" w:firstLine="566"/>
    </w:pPr>
    <w:rPr>
      <w:rFonts w:ascii="Calibri" w:eastAsia="Times New Roman" w:hAnsi="Calibri" w:cs="Calibri"/>
      <w:sz w:val="24"/>
      <w:szCs w:val="24"/>
      <w:lang w:eastAsia="pt-BR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10164D"/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text-primary">
    <w:name w:val="text-primary"/>
    <w:basedOn w:val="Tipodeletrapredefinidodopargrafo"/>
    <w:rsid w:val="00C23967"/>
  </w:style>
  <w:style w:type="paragraph" w:customStyle="1" w:styleId="fw-bold">
    <w:name w:val="fw-bold"/>
    <w:basedOn w:val="Normal"/>
    <w:rsid w:val="00BB18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57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8199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06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0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431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748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6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26057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58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8405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31811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3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59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2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0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%20https://iberojur.com/cidigin-madrid/" TargetMode="External"/><Relationship Id="rId13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orcid.org/0000-0001-5533-935X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cienciavitae.pt//CA1A-FE14-5CC1" TargetMode="External"/><Relationship Id="rId10" Type="http://schemas.openxmlformats.org/officeDocument/2006/relationships/hyperlink" Target="mailto:dra@upt.p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42292@upt.pt" TargetMode="External"/><Relationship Id="rId14" Type="http://schemas.openxmlformats.org/officeDocument/2006/relationships/hyperlink" Target="http://orcid.org/0000-0003-4720-140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1500</Words>
  <Characters>8103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Filipa FM. Marinho</cp:lastModifiedBy>
  <cp:revision>2</cp:revision>
  <dcterms:created xsi:type="dcterms:W3CDTF">2023-07-19T11:40:00Z</dcterms:created>
  <dcterms:modified xsi:type="dcterms:W3CDTF">2023-07-19T11:40:00Z</dcterms:modified>
</cp:coreProperties>
</file>