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BC2" w:rsidRDefault="00020BC2"/>
    <w:p w:rsidR="00020BC2" w:rsidRDefault="00020BC2"/>
    <w:p w:rsidR="00020BC2" w:rsidRDefault="00020BC2" w:rsidP="00F90ABB">
      <w:pPr>
        <w:spacing w:line="360" w:lineRule="auto"/>
        <w:ind w:firstLine="708"/>
        <w:jc w:val="both"/>
      </w:pPr>
    </w:p>
    <w:p w:rsidR="00020BC2" w:rsidRPr="00661049" w:rsidRDefault="00020BC2" w:rsidP="0071236B">
      <w:pPr>
        <w:pStyle w:val="Heading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  <w:r w:rsidRPr="009E4724"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>I</w:t>
      </w:r>
      <w:r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>I</w:t>
      </w:r>
      <w:r w:rsidRPr="009E4724"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 xml:space="preserve"> Congreso Internacional Comunicación y Pensamiento. </w:t>
      </w:r>
      <w:r w:rsidRPr="00661049"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>Internet y redes sociales: nuevas libertades, nuevas esclavitudes.</w:t>
      </w:r>
    </w:p>
    <w:p w:rsidR="00020BC2" w:rsidRPr="00661049" w:rsidRDefault="00020BC2" w:rsidP="0071236B">
      <w:pPr>
        <w:pStyle w:val="Heading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  <w:r w:rsidRPr="00661049"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>5, 6 y 7 de abril de 2017.</w:t>
      </w:r>
    </w:p>
    <w:p w:rsidR="00020BC2" w:rsidRPr="00661049" w:rsidRDefault="00020BC2" w:rsidP="0071236B">
      <w:pPr>
        <w:jc w:val="right"/>
        <w:outlineLvl w:val="0"/>
        <w:rPr>
          <w:b/>
          <w:bCs/>
          <w:sz w:val="18"/>
          <w:szCs w:val="18"/>
        </w:rPr>
      </w:pPr>
    </w:p>
    <w:p w:rsidR="00020BC2" w:rsidRPr="00843F90" w:rsidRDefault="00020BC2" w:rsidP="0071236B">
      <w:pPr>
        <w:pStyle w:val="Header"/>
        <w:jc w:val="right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  <w:r w:rsidRPr="00843F90"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 xml:space="preserve">Universidad de </w:t>
      </w:r>
      <w:r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>Sevilla</w:t>
      </w:r>
    </w:p>
    <w:p w:rsidR="00020BC2" w:rsidRPr="0071236B" w:rsidRDefault="00020BC2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:rsidR="00020BC2" w:rsidRDefault="00020BC2" w:rsidP="00F90ABB">
      <w:pPr>
        <w:spacing w:line="360" w:lineRule="auto"/>
        <w:jc w:val="both"/>
        <w:rPr>
          <w:sz w:val="22"/>
          <w:szCs w:val="22"/>
          <w:u w:val="single"/>
        </w:rPr>
      </w:pPr>
    </w:p>
    <w:p w:rsidR="00020BC2" w:rsidRDefault="00020BC2" w:rsidP="00F90ABB">
      <w:pPr>
        <w:spacing w:line="360" w:lineRule="auto"/>
        <w:jc w:val="both"/>
        <w:rPr>
          <w:sz w:val="22"/>
          <w:szCs w:val="22"/>
          <w:u w:val="single"/>
        </w:rPr>
      </w:pPr>
    </w:p>
    <w:p w:rsidR="00020BC2" w:rsidRDefault="00020BC2" w:rsidP="00F90ABB">
      <w:pPr>
        <w:spacing w:line="360" w:lineRule="auto"/>
        <w:jc w:val="both"/>
        <w:rPr>
          <w:sz w:val="22"/>
          <w:szCs w:val="22"/>
          <w:u w:val="single"/>
        </w:rPr>
      </w:pPr>
    </w:p>
    <w:p w:rsidR="00020BC2" w:rsidRDefault="00020BC2" w:rsidP="00F90ABB">
      <w:pPr>
        <w:spacing w:line="360" w:lineRule="auto"/>
        <w:jc w:val="both"/>
        <w:rPr>
          <w:sz w:val="22"/>
          <w:szCs w:val="22"/>
          <w:u w:val="single"/>
        </w:rPr>
      </w:pPr>
    </w:p>
    <w:p w:rsidR="00020BC2" w:rsidRPr="00C000BB" w:rsidRDefault="00020BC2" w:rsidP="00F90AB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A importância dos meios de comunicação na promoção do direito à</w:t>
      </w:r>
      <w:r w:rsidRPr="000E352B">
        <w:rPr>
          <w:sz w:val="22"/>
          <w:szCs w:val="22"/>
          <w:u w:val="single"/>
        </w:rPr>
        <w:t xml:space="preserve"> educaç</w:t>
      </w:r>
      <w:r>
        <w:rPr>
          <w:sz w:val="22"/>
          <w:szCs w:val="22"/>
          <w:u w:val="single"/>
        </w:rPr>
        <w:t>ão e à informação.</w:t>
      </w:r>
    </w:p>
    <w:p w:rsidR="00020BC2" w:rsidRDefault="00020BC2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253539">
        <w:rPr>
          <w:rFonts w:ascii="Times New Roman" w:hAnsi="Times New Roman" w:cs="Times New Roman"/>
          <w:color w:val="auto"/>
          <w:sz w:val="20"/>
          <w:szCs w:val="20"/>
        </w:rPr>
        <w:tab/>
      </w:r>
    </w:p>
    <w:p w:rsidR="00020BC2" w:rsidRDefault="00020BC2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020BC2" w:rsidRPr="00253539" w:rsidRDefault="00020BC2" w:rsidP="0071236B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253539">
        <w:rPr>
          <w:rFonts w:ascii="Times New Roman" w:hAnsi="Times New Roman" w:cs="Times New Roman"/>
          <w:i/>
          <w:iCs/>
          <w:color w:val="auto"/>
          <w:sz w:val="20"/>
          <w:szCs w:val="20"/>
        </w:rPr>
        <w:t>Maria Manuela Magalhães Silva</w:t>
      </w:r>
      <w:r w:rsidRPr="00253539">
        <w:rPr>
          <w:rFonts w:ascii="Times New Roman" w:hAnsi="Times New Roman" w:cs="Times New Roman"/>
          <w:sz w:val="20"/>
          <w:szCs w:val="20"/>
        </w:rPr>
        <w:t>, PhD</w:t>
      </w:r>
      <w:r w:rsidRPr="00253539">
        <w:rPr>
          <w:rFonts w:ascii="Times New Roman" w:hAnsi="Times New Roman" w:cs="Times New Roman"/>
          <w:i/>
          <w:iCs/>
          <w:sz w:val="20"/>
          <w:szCs w:val="20"/>
        </w:rPr>
        <w:t xml:space="preserve">   </w:t>
      </w:r>
      <w:r w:rsidRPr="00253539">
        <w:rPr>
          <w:rFonts w:ascii="Times New Roman" w:hAnsi="Times New Roman" w:cs="Times New Roman"/>
          <w:color w:val="auto"/>
          <w:sz w:val="20"/>
          <w:szCs w:val="20"/>
        </w:rPr>
        <w:tab/>
      </w:r>
      <w:hyperlink r:id="rId4" w:history="1">
        <w:r w:rsidRPr="00253539">
          <w:rPr>
            <w:rStyle w:val="Hyperlink"/>
            <w:rFonts w:cs="Times New Roman"/>
            <w:sz w:val="20"/>
            <w:szCs w:val="20"/>
          </w:rPr>
          <w:t>mmdmms@upt.pt</w:t>
        </w:r>
      </w:hyperlink>
      <w:r w:rsidRPr="00253539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:rsidR="00020BC2" w:rsidRDefault="00020BC2" w:rsidP="0071236B">
      <w:pPr>
        <w:spacing w:line="360" w:lineRule="auto"/>
        <w:ind w:firstLine="708"/>
        <w:jc w:val="both"/>
      </w:pPr>
      <w:r w:rsidRPr="004E0BFA">
        <w:rPr>
          <w:i/>
          <w:iCs/>
          <w:sz w:val="20"/>
          <w:szCs w:val="20"/>
        </w:rPr>
        <w:t>Dora Resende Alves</w:t>
      </w:r>
      <w:r w:rsidRPr="004E0BFA">
        <w:rPr>
          <w:sz w:val="20"/>
          <w:szCs w:val="20"/>
        </w:rPr>
        <w:t>, PhD</w:t>
      </w:r>
      <w:r w:rsidRPr="004E0BFA">
        <w:rPr>
          <w:i/>
          <w:iCs/>
          <w:sz w:val="20"/>
          <w:szCs w:val="20"/>
        </w:rPr>
        <w:t xml:space="preserve">   </w:t>
      </w:r>
      <w:r w:rsidRPr="004E0BFA">
        <w:rPr>
          <w:i/>
          <w:iCs/>
          <w:sz w:val="20"/>
          <w:szCs w:val="20"/>
        </w:rPr>
        <w:tab/>
      </w:r>
      <w:r>
        <w:rPr>
          <w:i/>
          <w:iCs/>
          <w:sz w:val="20"/>
          <w:szCs w:val="20"/>
        </w:rPr>
        <w:tab/>
      </w:r>
      <w:hyperlink r:id="rId5" w:history="1">
        <w:r w:rsidRPr="004E0BFA">
          <w:rPr>
            <w:rStyle w:val="Hyperlink"/>
            <w:sz w:val="20"/>
            <w:szCs w:val="20"/>
          </w:rPr>
          <w:t>dra@upt.pt</w:t>
        </w:r>
      </w:hyperlink>
      <w:r w:rsidRPr="004E0BFA">
        <w:rPr>
          <w:sz w:val="20"/>
          <w:szCs w:val="20"/>
        </w:rPr>
        <w:t xml:space="preserve">       </w:t>
      </w:r>
      <w:r w:rsidRPr="004E0BFA">
        <w:rPr>
          <w:sz w:val="20"/>
          <w:szCs w:val="20"/>
        </w:rPr>
        <w:tab/>
      </w:r>
    </w:p>
    <w:p w:rsidR="00020BC2" w:rsidRDefault="00020BC2" w:rsidP="0071236B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20BC2" w:rsidRPr="008D2A9C" w:rsidRDefault="00020BC2" w:rsidP="0071236B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AFFILIA</w:t>
      </w:r>
      <w:r w:rsidRPr="007917B1">
        <w:rPr>
          <w:rFonts w:ascii="Times New Roman" w:hAnsi="Times New Roman" w:cs="Times New Roman"/>
          <w:b/>
          <w:bCs/>
          <w:sz w:val="20"/>
          <w:szCs w:val="20"/>
        </w:rPr>
        <w:t>TION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+351225572609.</w:t>
      </w:r>
    </w:p>
    <w:p w:rsidR="00020BC2" w:rsidRPr="0071236B" w:rsidRDefault="00020BC2" w:rsidP="00282214">
      <w:pPr>
        <w:rPr>
          <w:b/>
          <w:bCs/>
        </w:rPr>
      </w:pPr>
    </w:p>
    <w:p w:rsidR="00020BC2" w:rsidRDefault="00020BC2" w:rsidP="00282214">
      <w:pPr>
        <w:rPr>
          <w:b/>
          <w:bCs/>
          <w:lang w:val="es-ES"/>
        </w:rPr>
      </w:pPr>
    </w:p>
    <w:p w:rsidR="00020BC2" w:rsidRDefault="00020BC2" w:rsidP="00282214">
      <w:pPr>
        <w:rPr>
          <w:b/>
          <w:bCs/>
          <w:lang w:val="es-ES"/>
        </w:rPr>
      </w:pPr>
      <w:r w:rsidRPr="00ED6672">
        <w:rPr>
          <w:b/>
          <w:bCs/>
          <w:lang w:val="es-ES"/>
        </w:rPr>
        <w:t>Áreas temáticas possíveis:</w:t>
      </w:r>
    </w:p>
    <w:p w:rsidR="00020BC2" w:rsidRDefault="00020BC2" w:rsidP="00282214">
      <w:pPr>
        <w:rPr>
          <w:b/>
          <w:bCs/>
          <w:lang w:val="es-ES"/>
        </w:rPr>
      </w:pPr>
    </w:p>
    <w:p w:rsidR="00020BC2" w:rsidRDefault="00020BC2" w:rsidP="00282214">
      <w:pPr>
        <w:rPr>
          <w:rFonts w:ascii="Calibri" w:hAnsi="Calibri" w:cs="Calibri"/>
          <w:color w:val="545252"/>
          <w:sz w:val="21"/>
          <w:szCs w:val="21"/>
          <w:shd w:val="clear" w:color="auto" w:fill="FFFFFF"/>
        </w:rPr>
      </w:pPr>
      <w:r w:rsidRPr="00ED6672">
        <w:rPr>
          <w:sz w:val="22"/>
          <w:szCs w:val="22"/>
          <w:lang w:val="es-ES"/>
        </w:rPr>
        <w:t>Área de trabajo 0</w:t>
      </w:r>
      <w:r>
        <w:rPr>
          <w:sz w:val="22"/>
          <w:szCs w:val="22"/>
          <w:lang w:val="es-ES"/>
        </w:rPr>
        <w:t>2:</w:t>
      </w:r>
      <w:r w:rsidRPr="00ED6672">
        <w:rPr>
          <w:sz w:val="22"/>
          <w:szCs w:val="22"/>
          <w:lang w:val="es-ES"/>
        </w:rPr>
        <w:t xml:space="preserve"> </w:t>
      </w:r>
      <w:r>
        <w:rPr>
          <w:rFonts w:ascii="Calibri" w:hAnsi="Calibri" w:cs="Calibri"/>
          <w:color w:val="545252"/>
          <w:sz w:val="21"/>
          <w:szCs w:val="21"/>
          <w:shd w:val="clear" w:color="auto" w:fill="FFFFFF"/>
        </w:rPr>
        <w:t>Alfabetización mediática y Educomunicación.</w:t>
      </w:r>
    </w:p>
    <w:p w:rsidR="00020BC2" w:rsidRDefault="00020BC2" w:rsidP="00282214">
      <w:pPr>
        <w:pStyle w:val="font8"/>
        <w:rPr>
          <w:sz w:val="22"/>
          <w:szCs w:val="22"/>
          <w:lang w:val="es-ES_tradnl"/>
        </w:rPr>
      </w:pPr>
      <w:r w:rsidRPr="009E4724">
        <w:rPr>
          <w:sz w:val="22"/>
          <w:szCs w:val="22"/>
          <w:lang w:val="es-ES_tradnl"/>
        </w:rPr>
        <w:t>Área de trabajo 07</w:t>
      </w:r>
      <w:r>
        <w:rPr>
          <w:sz w:val="22"/>
          <w:szCs w:val="22"/>
          <w:lang w:val="es-ES_tradnl"/>
        </w:rPr>
        <w:t xml:space="preserve"> - </w:t>
      </w:r>
      <w:r w:rsidRPr="009E4724">
        <w:rPr>
          <w:sz w:val="22"/>
          <w:szCs w:val="22"/>
          <w:lang w:val="es-ES_tradnl"/>
        </w:rPr>
        <w:t>Otras líneas de trabajo</w:t>
      </w:r>
    </w:p>
    <w:p w:rsidR="00020BC2" w:rsidRPr="00282214" w:rsidRDefault="00020BC2" w:rsidP="00282214">
      <w:pPr>
        <w:rPr>
          <w:b/>
          <w:bCs/>
          <w:lang w:val="es-ES_tradnl"/>
        </w:rPr>
      </w:pPr>
    </w:p>
    <w:p w:rsidR="00020BC2" w:rsidRDefault="00020BC2" w:rsidP="00F90ABB">
      <w:pPr>
        <w:spacing w:line="360" w:lineRule="auto"/>
        <w:ind w:firstLine="708"/>
        <w:jc w:val="both"/>
      </w:pPr>
    </w:p>
    <w:p w:rsidR="00020BC2" w:rsidRPr="0009297C" w:rsidRDefault="00020BC2" w:rsidP="00282214">
      <w:pPr>
        <w:pStyle w:val="font8"/>
        <w:rPr>
          <w:sz w:val="22"/>
          <w:szCs w:val="22"/>
          <w:lang w:val="es-ES_tradnl"/>
        </w:rPr>
      </w:pPr>
    </w:p>
    <w:p w:rsidR="00020BC2" w:rsidRPr="00843F90" w:rsidRDefault="00020BC2" w:rsidP="00282214">
      <w:pPr>
        <w:rPr>
          <w:b/>
          <w:bCs/>
        </w:rPr>
      </w:pPr>
      <w:r w:rsidRPr="00843F90">
        <w:rPr>
          <w:b/>
          <w:bCs/>
        </w:rPr>
        <w:t>Resumo:</w:t>
      </w:r>
    </w:p>
    <w:p w:rsidR="00020BC2" w:rsidRDefault="00020BC2" w:rsidP="00F90ABB">
      <w:pPr>
        <w:spacing w:line="360" w:lineRule="auto"/>
        <w:ind w:firstLine="708"/>
        <w:jc w:val="both"/>
      </w:pPr>
    </w:p>
    <w:p w:rsidR="00020BC2" w:rsidRPr="00282214" w:rsidRDefault="00020BC2" w:rsidP="00282214">
      <w:pPr>
        <w:spacing w:line="360" w:lineRule="auto"/>
        <w:ind w:firstLine="708"/>
        <w:jc w:val="both"/>
        <w:rPr>
          <w:sz w:val="22"/>
          <w:szCs w:val="22"/>
        </w:rPr>
      </w:pPr>
      <w:r w:rsidRPr="00282214">
        <w:rPr>
          <w:sz w:val="22"/>
          <w:szCs w:val="22"/>
        </w:rPr>
        <w:t xml:space="preserve">O direito à educação </w:t>
      </w:r>
      <w:r>
        <w:rPr>
          <w:sz w:val="22"/>
          <w:szCs w:val="22"/>
        </w:rPr>
        <w:t xml:space="preserve">e à informação são </w:t>
      </w:r>
      <w:r w:rsidRPr="00282214">
        <w:rPr>
          <w:sz w:val="22"/>
          <w:szCs w:val="22"/>
        </w:rPr>
        <w:t>direitos</w:t>
      </w:r>
      <w:r>
        <w:rPr>
          <w:sz w:val="22"/>
          <w:szCs w:val="22"/>
        </w:rPr>
        <w:t xml:space="preserve"> fundamentais </w:t>
      </w:r>
      <w:r w:rsidRPr="00282214">
        <w:rPr>
          <w:sz w:val="22"/>
          <w:szCs w:val="22"/>
        </w:rPr>
        <w:t>em democracia</w:t>
      </w:r>
      <w:r>
        <w:rPr>
          <w:sz w:val="22"/>
          <w:szCs w:val="22"/>
        </w:rPr>
        <w:t>.</w:t>
      </w:r>
    </w:p>
    <w:p w:rsidR="00020BC2" w:rsidRDefault="00020BC2" w:rsidP="00F90ABB">
      <w:pPr>
        <w:spacing w:line="360" w:lineRule="auto"/>
        <w:ind w:firstLine="708"/>
        <w:jc w:val="both"/>
      </w:pPr>
      <w:r>
        <w:t>Saber se o direito à educação e à informação e ao conhecimento se concretiza pela consagração constitucional do direito à educação e como</w:t>
      </w:r>
      <w:r w:rsidRPr="00C000BB">
        <w:t xml:space="preserve"> é possível encontrá-lo consagrado</w:t>
      </w:r>
      <w:r>
        <w:t xml:space="preserve">, </w:t>
      </w:r>
      <w:r w:rsidRPr="00C000BB">
        <w:t>quer ao nível do direito interno dos Estados quer ao nível do direito da União Europeia</w:t>
      </w:r>
      <w:r>
        <w:t xml:space="preserve"> </w:t>
      </w:r>
      <w:r w:rsidRPr="00C000BB">
        <w:t>é hoje da maior pertinência</w:t>
      </w:r>
      <w:r>
        <w:t>,</w:t>
      </w:r>
      <w:r w:rsidRPr="00C000BB">
        <w:t xml:space="preserve"> </w:t>
      </w:r>
      <w:r>
        <w:t>com</w:t>
      </w:r>
      <w:r w:rsidRPr="00C000BB">
        <w:t xml:space="preserve"> os direitos fundamentais </w:t>
      </w:r>
      <w:r>
        <w:t>na agenda política</w:t>
      </w:r>
      <w:r w:rsidRPr="00AA7D83">
        <w:t>.</w:t>
      </w:r>
    </w:p>
    <w:p w:rsidR="00020BC2" w:rsidRDefault="00020BC2" w:rsidP="00282214">
      <w:pPr>
        <w:spacing w:line="360" w:lineRule="auto"/>
        <w:ind w:firstLine="708"/>
        <w:jc w:val="both"/>
      </w:pPr>
      <w:r>
        <w:t>O objetivo desta análise é demonstrar que o papel da comunicação social é crucial, e que a UE promove ativamente a educação, investigação e inovação. Estas são as vias para promover o desenvolvimento com base n</w:t>
      </w:r>
      <w:r w:rsidRPr="007843E6">
        <w:t>o crescimento</w:t>
      </w:r>
      <w:r>
        <w:t xml:space="preserve"> do emprego e da  </w:t>
      </w:r>
      <w:r w:rsidRPr="007843E6">
        <w:t>coesão social</w:t>
      </w:r>
      <w:r>
        <w:t xml:space="preserve">. </w:t>
      </w:r>
      <w:r w:rsidRPr="007843E6">
        <w:t xml:space="preserve">Os </w:t>
      </w:r>
      <w:r>
        <w:t>meios de comunicação social p</w:t>
      </w:r>
      <w:r w:rsidRPr="007843E6">
        <w:t xml:space="preserve">odem dar um  </w:t>
      </w:r>
      <w:r w:rsidRPr="007843E6">
        <w:br/>
        <w:t>contribu</w:t>
      </w:r>
      <w:r>
        <w:t>to fundamental para enfrentar problemas importantes</w:t>
      </w:r>
      <w:r w:rsidRPr="007843E6">
        <w:t xml:space="preserve"> </w:t>
      </w:r>
      <w:r>
        <w:t>ligados ao</w:t>
      </w:r>
      <w:r w:rsidRPr="007843E6">
        <w:t xml:space="preserve"> crescimento  </w:t>
      </w:r>
      <w:r w:rsidRPr="007843E6">
        <w:br/>
        <w:t>económico</w:t>
      </w:r>
      <w:r>
        <w:t xml:space="preserve"> e este vector vem mesmo consagrado no âmbito da estratégia global do programa Europa 2020.</w:t>
      </w:r>
    </w:p>
    <w:p w:rsidR="00020BC2" w:rsidRDefault="00020BC2" w:rsidP="00F90ABB">
      <w:pPr>
        <w:spacing w:line="360" w:lineRule="auto"/>
        <w:ind w:firstLine="708"/>
        <w:jc w:val="both"/>
      </w:pPr>
      <w:r>
        <w:t xml:space="preserve">Na dimensão nacional portuguesa, o direito à educação e informação é apresentado como um direito cultural da Constituição. Já no direito de vertente europeia, o direito à educação surge em protocolo da Convenção Europeia dos Direitos do Homem de 1950 e é consagrado na Carta dos Direitos Fundamentais da União Europeia. </w:t>
      </w:r>
      <w:r w:rsidRPr="00A77398">
        <w:t>Em qualquer dos casos há uma dimensão pos</w:t>
      </w:r>
      <w:r>
        <w:t>itiva neste direito que envolve</w:t>
      </w:r>
      <w:r w:rsidRPr="00A77398">
        <w:t xml:space="preserve"> a intervenção do</w:t>
      </w:r>
      <w:r>
        <w:t>s</w:t>
      </w:r>
      <w:r w:rsidRPr="00A77398">
        <w:t xml:space="preserve"> Estados</w:t>
      </w:r>
      <w:r>
        <w:t>, e os meios de comunicação social podem ter um papel relevante neste âmbito.</w:t>
      </w:r>
    </w:p>
    <w:p w:rsidR="00020BC2" w:rsidRDefault="00020BC2" w:rsidP="00F90ABB">
      <w:pPr>
        <w:spacing w:line="360" w:lineRule="auto"/>
        <w:ind w:firstLine="708"/>
        <w:jc w:val="both"/>
      </w:pPr>
      <w:r w:rsidRPr="00E04717">
        <w:t xml:space="preserve">Atendendo aos pressupostos e objetivos delineados acima, e considerando </w:t>
      </w:r>
      <w:r>
        <w:t>a natureza embrionária deste estudo, foi desenhada uma metodologia que se concentra na revisão da literatura sobre os vários temas abordados, com especial enfoque na questão da educação e informação. Dedutivamente, será assim possível inferir o contributo do direito interno e europeu bem como da comunicação social para a concretização deste desiderato. O estado da arte, de pendor teórico-académico, será consolidado através da interpretação normativa e jurisprudencial sistemática e metodologicamente selecionada dos textos legais e de textos informativos emanados pelos meios de comunicação.</w:t>
      </w:r>
    </w:p>
    <w:p w:rsidR="00020BC2" w:rsidRPr="00BD743C" w:rsidRDefault="00020BC2" w:rsidP="0071236B">
      <w:pPr>
        <w:ind w:firstLine="851"/>
        <w:jc w:val="both"/>
      </w:pPr>
    </w:p>
    <w:p w:rsidR="00020BC2" w:rsidRDefault="00020BC2" w:rsidP="0071236B">
      <w:pPr>
        <w:spacing w:line="360" w:lineRule="auto"/>
        <w:ind w:firstLine="708"/>
        <w:jc w:val="both"/>
        <w:rPr>
          <w:b/>
          <w:bCs/>
        </w:rPr>
      </w:pPr>
    </w:p>
    <w:p w:rsidR="00020BC2" w:rsidRDefault="00020BC2" w:rsidP="0071236B">
      <w:pPr>
        <w:spacing w:line="360" w:lineRule="auto"/>
        <w:ind w:firstLine="708"/>
        <w:jc w:val="both"/>
        <w:rPr>
          <w:b/>
          <w:bCs/>
        </w:rPr>
      </w:pPr>
    </w:p>
    <w:p w:rsidR="00020BC2" w:rsidRDefault="00020BC2" w:rsidP="0071236B">
      <w:pPr>
        <w:spacing w:line="360" w:lineRule="auto"/>
        <w:ind w:firstLine="708"/>
        <w:jc w:val="both"/>
      </w:pPr>
      <w:r w:rsidRPr="0071236B">
        <w:t xml:space="preserve">Palavras-chaves: direitos fundamentais; direito à educação e informação; democracia; direito interno, direito europeu; meios de comunicação; </w:t>
      </w:r>
    </w:p>
    <w:p w:rsidR="00020BC2" w:rsidRDefault="00020BC2" w:rsidP="0071236B">
      <w:pPr>
        <w:spacing w:line="360" w:lineRule="auto"/>
        <w:ind w:firstLine="708"/>
        <w:jc w:val="both"/>
      </w:pPr>
    </w:p>
    <w:p w:rsidR="00020BC2" w:rsidRDefault="00020BC2" w:rsidP="0071236B">
      <w:pPr>
        <w:spacing w:line="360" w:lineRule="auto"/>
        <w:ind w:firstLine="708"/>
        <w:jc w:val="both"/>
      </w:pPr>
    </w:p>
    <w:p w:rsidR="00020BC2" w:rsidRDefault="00020BC2" w:rsidP="0071236B">
      <w:pPr>
        <w:spacing w:line="360" w:lineRule="auto"/>
        <w:ind w:firstLine="708"/>
        <w:jc w:val="both"/>
      </w:pPr>
    </w:p>
    <w:p w:rsidR="00020BC2" w:rsidRDefault="00020BC2" w:rsidP="0071236B">
      <w:pPr>
        <w:spacing w:after="200" w:line="276" w:lineRule="auto"/>
        <w:jc w:val="both"/>
        <w:rPr>
          <w:b/>
          <w:bCs/>
        </w:rPr>
      </w:pPr>
      <w:r w:rsidRPr="0071236B">
        <w:rPr>
          <w:b/>
          <w:bCs/>
        </w:rPr>
        <w:t xml:space="preserve">Short </w:t>
      </w:r>
      <w:r w:rsidRPr="0071236B">
        <w:rPr>
          <w:b/>
          <w:bCs/>
          <w:i/>
          <w:iCs/>
        </w:rPr>
        <w:t>cv</w:t>
      </w:r>
      <w:r w:rsidRPr="0071236B">
        <w:rPr>
          <w:b/>
          <w:bCs/>
        </w:rPr>
        <w:t xml:space="preserve"> by </w:t>
      </w:r>
      <w:r w:rsidRPr="0071236B">
        <w:rPr>
          <w:b/>
          <w:bCs/>
          <w:i/>
          <w:iCs/>
        </w:rPr>
        <w:t>Maria Manuela Magalhães</w:t>
      </w:r>
      <w:r>
        <w:rPr>
          <w:b/>
          <w:bCs/>
          <w:i/>
          <w:iCs/>
        </w:rPr>
        <w:t xml:space="preserve"> Silva</w:t>
      </w:r>
      <w:r w:rsidRPr="0071236B">
        <w:rPr>
          <w:b/>
          <w:bCs/>
        </w:rPr>
        <w:t xml:space="preserve">:   </w:t>
      </w:r>
      <w:r>
        <w:rPr>
          <w:b/>
          <w:bCs/>
        </w:rPr>
        <w:t xml:space="preserve">Ponente </w:t>
      </w:r>
    </w:p>
    <w:p w:rsidR="00020BC2" w:rsidRPr="0071236B" w:rsidRDefault="00020BC2" w:rsidP="0071236B">
      <w:pPr>
        <w:spacing w:after="200" w:line="276" w:lineRule="auto"/>
        <w:jc w:val="both"/>
        <w:rPr>
          <w:b/>
          <w:bCs/>
        </w:rPr>
      </w:pPr>
      <w:r>
        <w:rPr>
          <w:rFonts w:ascii="Arial" w:hAnsi="Arial" w:cs="Arial"/>
          <w:color w:val="000000"/>
          <w:sz w:val="20"/>
          <w:szCs w:val="20"/>
          <w:lang w:eastAsia="en-US"/>
        </w:rPr>
        <w:t xml:space="preserve">Professora Associada da </w:t>
      </w:r>
      <w:r w:rsidRPr="004158AF">
        <w:rPr>
          <w:rFonts w:ascii="Arial" w:hAnsi="Arial" w:cs="Arial"/>
          <w:color w:val="000000"/>
          <w:sz w:val="20"/>
          <w:szCs w:val="20"/>
          <w:lang w:eastAsia="en-US"/>
        </w:rPr>
        <w:t>Universidade Portucalense</w:t>
      </w:r>
      <w:r>
        <w:rPr>
          <w:rFonts w:ascii="Arial" w:hAnsi="Arial" w:cs="Arial"/>
          <w:color w:val="000000"/>
          <w:sz w:val="20"/>
          <w:szCs w:val="20"/>
          <w:lang w:eastAsia="en-US"/>
        </w:rPr>
        <w:t>- Infante D. Henrique</w:t>
      </w:r>
      <w:r w:rsidRPr="004158AF">
        <w:rPr>
          <w:rFonts w:ascii="Arial" w:hAnsi="Arial" w:cs="Arial"/>
          <w:color w:val="000000"/>
          <w:sz w:val="20"/>
          <w:szCs w:val="20"/>
          <w:lang w:eastAsia="en-US"/>
        </w:rPr>
        <w:t xml:space="preserve">, Doutora em Direito - Ciências jurídico-políticas. Membro integrado e Investigadora principal do Instituto Jurídico Portucalense (IJP) da Universidade Portucalense Infante D. Henrique, </w:t>
      </w:r>
      <w:r w:rsidRPr="004158AF">
        <w:rPr>
          <w:rFonts w:ascii="Arial" w:hAnsi="Arial" w:cs="Arial"/>
          <w:sz w:val="20"/>
          <w:szCs w:val="20"/>
          <w:lang w:eastAsia="en-US"/>
        </w:rPr>
        <w:t>investigadora associada do Centro de Investigação em Direito Europeu, Económico, Financeiro e Fiscal – CIDEEFF, da Faculdade de Direito de Lisboa e investigadora colaboradora do Centro de Estudios Politicos y Constitucionales Comparados – CEPCC, da Universidade Autónoma do Chile.</w:t>
      </w:r>
      <w:r w:rsidRPr="004158AF">
        <w:rPr>
          <w:rFonts w:ascii="Arial" w:hAnsi="Arial" w:cs="Arial"/>
          <w:sz w:val="18"/>
          <w:szCs w:val="18"/>
          <w:lang w:eastAsia="en-US"/>
        </w:rPr>
        <w:t xml:space="preserve"> </w:t>
      </w:r>
    </w:p>
    <w:p w:rsidR="00020BC2" w:rsidRDefault="00020BC2" w:rsidP="00A96664">
      <w:pPr>
        <w:spacing w:line="360" w:lineRule="auto"/>
        <w:jc w:val="both"/>
        <w:rPr>
          <w:b/>
          <w:bCs/>
          <w:lang w:val="en-GB"/>
        </w:rPr>
      </w:pPr>
    </w:p>
    <w:p w:rsidR="00020BC2" w:rsidRDefault="00020BC2" w:rsidP="00A96664">
      <w:pPr>
        <w:spacing w:line="360" w:lineRule="auto"/>
        <w:jc w:val="both"/>
        <w:rPr>
          <w:b/>
          <w:bCs/>
          <w:lang w:val="en-GB"/>
        </w:rPr>
      </w:pPr>
    </w:p>
    <w:p w:rsidR="00020BC2" w:rsidRDefault="00020BC2" w:rsidP="00A96664">
      <w:pPr>
        <w:spacing w:line="360" w:lineRule="auto"/>
        <w:jc w:val="both"/>
        <w:rPr>
          <w:b/>
          <w:bCs/>
          <w:lang w:val="en-GB"/>
        </w:rPr>
      </w:pPr>
      <w:bookmarkStart w:id="0" w:name="_GoBack"/>
      <w:bookmarkEnd w:id="0"/>
      <w:r w:rsidRPr="006B6D01">
        <w:rPr>
          <w:b/>
          <w:bCs/>
          <w:lang w:val="en-GB"/>
        </w:rPr>
        <w:t xml:space="preserve">Short </w:t>
      </w:r>
      <w:r w:rsidRPr="006B6D01">
        <w:rPr>
          <w:b/>
          <w:bCs/>
          <w:i/>
          <w:iCs/>
          <w:lang w:val="en-GB"/>
        </w:rPr>
        <w:t>cv</w:t>
      </w:r>
      <w:r w:rsidRPr="006B6D01">
        <w:rPr>
          <w:b/>
          <w:bCs/>
          <w:lang w:val="en-GB"/>
        </w:rPr>
        <w:t xml:space="preserve"> by </w:t>
      </w:r>
      <w:r w:rsidRPr="006B6D01">
        <w:rPr>
          <w:b/>
          <w:bCs/>
          <w:i/>
          <w:iCs/>
          <w:lang w:val="en-GB"/>
        </w:rPr>
        <w:t>Dora Resende Alves</w:t>
      </w:r>
      <w:r>
        <w:rPr>
          <w:b/>
          <w:bCs/>
          <w:lang w:val="en-GB"/>
        </w:rPr>
        <w:t xml:space="preserve">:    </w:t>
      </w:r>
    </w:p>
    <w:p w:rsidR="00020BC2" w:rsidRPr="00A96664" w:rsidRDefault="00020BC2" w:rsidP="00A96664">
      <w:pPr>
        <w:pStyle w:val="FootnoteText"/>
        <w:jc w:val="both"/>
        <w:rPr>
          <w:color w:val="000000"/>
        </w:rPr>
      </w:pPr>
      <w:r w:rsidRPr="00A96664">
        <w:rPr>
          <w:color w:val="000000"/>
        </w:rPr>
        <w:t xml:space="preserve">Doutora em Direito. Professora Auxiliar da Universidade Portucalense Infante D. Henrique. Membro integrado do Instituto Jurídico Portucalense (IJP) da Universidade Portucalense Infante D. Henrique. </w:t>
      </w:r>
    </w:p>
    <w:p w:rsidR="00020BC2" w:rsidRDefault="00020BC2" w:rsidP="00A96664">
      <w:pPr>
        <w:spacing w:line="360" w:lineRule="auto"/>
        <w:jc w:val="both"/>
        <w:rPr>
          <w:b/>
          <w:bCs/>
          <w:lang w:val="en-GB"/>
        </w:rPr>
      </w:pPr>
    </w:p>
    <w:p w:rsidR="00020BC2" w:rsidRPr="00A96664" w:rsidRDefault="00020BC2" w:rsidP="0071236B">
      <w:pPr>
        <w:spacing w:line="360" w:lineRule="auto"/>
        <w:ind w:firstLine="708"/>
        <w:jc w:val="both"/>
        <w:rPr>
          <w:lang w:val="en-GB"/>
        </w:rPr>
      </w:pPr>
    </w:p>
    <w:sectPr w:rsidR="00020BC2" w:rsidRPr="00A96664" w:rsidSect="006A46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0ABB"/>
    <w:rsid w:val="00020BC2"/>
    <w:rsid w:val="0009297C"/>
    <w:rsid w:val="000E352B"/>
    <w:rsid w:val="001F1738"/>
    <w:rsid w:val="00253539"/>
    <w:rsid w:val="00282214"/>
    <w:rsid w:val="002B3E3B"/>
    <w:rsid w:val="004158AF"/>
    <w:rsid w:val="00493243"/>
    <w:rsid w:val="004A0489"/>
    <w:rsid w:val="004E0BFA"/>
    <w:rsid w:val="00567E16"/>
    <w:rsid w:val="005D4574"/>
    <w:rsid w:val="00661049"/>
    <w:rsid w:val="006A46B1"/>
    <w:rsid w:val="006B6D01"/>
    <w:rsid w:val="006F54D1"/>
    <w:rsid w:val="0071236B"/>
    <w:rsid w:val="007843E6"/>
    <w:rsid w:val="007917B1"/>
    <w:rsid w:val="007E411B"/>
    <w:rsid w:val="007E5D69"/>
    <w:rsid w:val="00843F90"/>
    <w:rsid w:val="008D2A9C"/>
    <w:rsid w:val="008E7FFE"/>
    <w:rsid w:val="00915F4D"/>
    <w:rsid w:val="009E4724"/>
    <w:rsid w:val="00A57059"/>
    <w:rsid w:val="00A77398"/>
    <w:rsid w:val="00A96664"/>
    <w:rsid w:val="00AA7D83"/>
    <w:rsid w:val="00AC5DD2"/>
    <w:rsid w:val="00BD743C"/>
    <w:rsid w:val="00C000BB"/>
    <w:rsid w:val="00C568A6"/>
    <w:rsid w:val="00DF1FA9"/>
    <w:rsid w:val="00E04717"/>
    <w:rsid w:val="00ED6672"/>
    <w:rsid w:val="00F34F7C"/>
    <w:rsid w:val="00F90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0ABB"/>
    <w:rPr>
      <w:rFonts w:ascii="Times New Roman" w:eastAsia="Times New Roman" w:hAnsi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1236B"/>
    <w:pPr>
      <w:keepNext/>
      <w:keepLines/>
      <w:spacing w:before="40" w:line="276" w:lineRule="auto"/>
      <w:outlineLvl w:val="2"/>
    </w:pPr>
    <w:rPr>
      <w:rFonts w:ascii="Calibri Light" w:hAnsi="Calibri Light" w:cs="Calibri Light"/>
      <w:color w:val="1F4D7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semiHidden/>
    <w:rsid w:val="0071236B"/>
    <w:rPr>
      <w:rFonts w:ascii="Calibri Light" w:hAnsi="Calibri Light" w:cs="Calibri Light"/>
      <w:color w:val="1F4D78"/>
      <w:sz w:val="24"/>
      <w:szCs w:val="24"/>
    </w:rPr>
  </w:style>
  <w:style w:type="paragraph" w:customStyle="1" w:styleId="font8">
    <w:name w:val="font_8"/>
    <w:basedOn w:val="Normal"/>
    <w:uiPriority w:val="99"/>
    <w:rsid w:val="00282214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rsid w:val="0071236B"/>
    <w:rPr>
      <w:color w:val="0000FF"/>
      <w:u w:val="single"/>
    </w:rPr>
  </w:style>
  <w:style w:type="paragraph" w:customStyle="1" w:styleId="Default">
    <w:name w:val="Default"/>
    <w:uiPriority w:val="99"/>
    <w:rsid w:val="0071236B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71236B"/>
    <w:pPr>
      <w:tabs>
        <w:tab w:val="center" w:pos="4252"/>
        <w:tab w:val="right" w:pos="8504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71236B"/>
    <w:rPr>
      <w:rFonts w:ascii="Calibri" w:eastAsia="Times New Roman" w:hAnsi="Calibri" w:cs="Calibri"/>
    </w:rPr>
  </w:style>
  <w:style w:type="paragraph" w:styleId="FootnoteText">
    <w:name w:val="footnote text"/>
    <w:basedOn w:val="Normal"/>
    <w:link w:val="FootnoteTextChar"/>
    <w:uiPriority w:val="99"/>
    <w:semiHidden/>
    <w:rsid w:val="00A96664"/>
    <w:rPr>
      <w:rFonts w:ascii="Arial" w:hAnsi="Arial" w:cs="Arial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96664"/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ra@upt.pt" TargetMode="External"/><Relationship Id="rId4" Type="http://schemas.openxmlformats.org/officeDocument/2006/relationships/hyperlink" Target="mailto:mmdmms@upt.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587</Words>
  <Characters>3170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 Congreso Internacional Comunicación y Pensamiento</dc:title>
  <dc:subject/>
  <dc:creator>Maria Manuela Dias Marques Magalhaes Silva</dc:creator>
  <cp:keywords/>
  <dc:description/>
  <cp:lastModifiedBy>Dora Alves</cp:lastModifiedBy>
  <cp:revision>2</cp:revision>
  <dcterms:created xsi:type="dcterms:W3CDTF">2017-01-01T23:32:00Z</dcterms:created>
  <dcterms:modified xsi:type="dcterms:W3CDTF">2017-01-01T23:32:00Z</dcterms:modified>
</cp:coreProperties>
</file>